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sz w:val="30"/>
        </w:rPr>
      </w:pPr>
      <w:r>
        <w:rPr>
          <w:rFonts w:eastAsia="黑体" w:hint="eastAsia"/>
          <w:sz w:val="30"/>
        </w:rPr>
        <w:t>任务书</w:t>
      </w: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88"/>
        <w:gridCol w:w="1440"/>
        <w:gridCol w:w="900"/>
        <w:gridCol w:w="2340"/>
        <w:gridCol w:w="1260"/>
        <w:gridCol w:w="251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12"/>
        </w:trPr>
        <w:tc>
          <w:tcPr>
            <w:tcW w:w="1188" w:type="dxa"/>
            <w:vAlign w:val="center"/>
          </w:tcPr>
          <w:p>
            <w:pPr>
              <w:jc w:val="center"/>
            </w:pPr>
            <w:r>
              <w:rPr>
                <w:rFonts w:hint="eastAsia"/>
              </w:rPr>
              <w:t>学生姓名</w:t>
            </w:r>
          </w:p>
        </w:tc>
        <w:tc>
          <w:tcPr>
            <w:tcW w:w="1440" w:type="dxa"/>
            <w:vAlign w:val="center"/>
          </w:tcPr>
          <w:p>
            <w:pPr>
              <w:jc w:val="center"/>
            </w:pPr>
          </w:p>
        </w:tc>
        <w:tc>
          <w:tcPr>
            <w:tcW w:w="900" w:type="dxa"/>
            <w:vAlign w:val="center"/>
          </w:tcPr>
          <w:p>
            <w:pPr>
              <w:jc w:val="center"/>
            </w:pPr>
            <w:r>
              <w:rPr>
                <w:rFonts w:hint="eastAsia"/>
              </w:rPr>
              <w:t>学  号</w:t>
            </w:r>
          </w:p>
        </w:tc>
        <w:tc>
          <w:tcPr>
            <w:tcW w:w="2340" w:type="dxa"/>
            <w:vAlign w:val="center"/>
          </w:tcPr>
          <w:p>
            <w:pPr>
              <w:jc w:val="center"/>
            </w:pPr>
          </w:p>
        </w:tc>
        <w:tc>
          <w:tcPr>
            <w:tcW w:w="1260" w:type="dxa"/>
            <w:vAlign w:val="center"/>
          </w:tcPr>
          <w:p>
            <w:pPr>
              <w:jc w:val="center"/>
            </w:pPr>
            <w:r>
              <w:rPr>
                <w:rFonts w:hint="eastAsia"/>
              </w:rPr>
              <w:t>专业班级</w:t>
            </w:r>
          </w:p>
        </w:tc>
        <w:tc>
          <w:tcPr>
            <w:tcW w:w="2511" w:type="dxa"/>
            <w:vAlign w:val="center"/>
          </w:tcPr>
          <w:p>
            <w:pPr>
              <w:jc w:val="center"/>
            </w:pPr>
          </w:p>
        </w:tc>
      </w:tr>
      <w:tr>
        <w:tblPrEx>
          <w:tblW w:w="9639" w:type="dxa"/>
          <w:tblInd w:w="0" w:type="dxa"/>
          <w:tblCellMar>
            <w:top w:w="0" w:type="dxa"/>
            <w:left w:w="108" w:type="dxa"/>
            <w:bottom w:w="0" w:type="dxa"/>
            <w:right w:w="108" w:type="dxa"/>
          </w:tblCellMar>
        </w:tblPrEx>
        <w:trPr>
          <w:trHeight w:val="617"/>
        </w:trPr>
        <w:tc>
          <w:tcPr>
            <w:tcW w:w="1188" w:type="dxa"/>
            <w:vAlign w:val="center"/>
          </w:tcPr>
          <w:p>
            <w:pPr>
              <w:jc w:val="center"/>
            </w:pPr>
            <w:r>
              <w:rPr>
                <w:rFonts w:hint="eastAsia"/>
              </w:rPr>
              <w:t>指导教师</w:t>
            </w:r>
          </w:p>
        </w:tc>
        <w:tc>
          <w:tcPr>
            <w:tcW w:w="1440" w:type="dxa"/>
            <w:vAlign w:val="center"/>
          </w:tcPr>
          <w:p>
            <w:pPr>
              <w:jc w:val="center"/>
            </w:pPr>
          </w:p>
        </w:tc>
        <w:tc>
          <w:tcPr>
            <w:tcW w:w="900" w:type="dxa"/>
            <w:vAlign w:val="center"/>
          </w:tcPr>
          <w:p>
            <w:pPr>
              <w:jc w:val="center"/>
            </w:pPr>
            <w:r>
              <w:rPr>
                <w:rFonts w:hint="eastAsia"/>
              </w:rPr>
              <w:t>职  称</w:t>
            </w:r>
          </w:p>
        </w:tc>
        <w:tc>
          <w:tcPr>
            <w:tcW w:w="2340" w:type="dxa"/>
            <w:vAlign w:val="center"/>
          </w:tcPr>
          <w:p>
            <w:pPr>
              <w:jc w:val="center"/>
            </w:pPr>
          </w:p>
        </w:tc>
        <w:tc>
          <w:tcPr>
            <w:tcW w:w="1260" w:type="dxa"/>
            <w:vAlign w:val="center"/>
          </w:tcPr>
          <w:p>
            <w:pPr>
              <w:jc w:val="center"/>
            </w:pPr>
            <w:r>
              <w:rPr>
                <w:rFonts w:hint="eastAsia"/>
              </w:rPr>
              <w:t>单  位</w:t>
            </w:r>
          </w:p>
        </w:tc>
        <w:tc>
          <w:tcPr>
            <w:tcW w:w="2511" w:type="dxa"/>
            <w:vAlign w:val="center"/>
          </w:tcPr>
          <w:p>
            <w:pPr>
              <w:jc w:val="center"/>
            </w:pPr>
          </w:p>
        </w:tc>
      </w:tr>
      <w:tr>
        <w:tblPrEx>
          <w:tblW w:w="9639" w:type="dxa"/>
          <w:tblInd w:w="0" w:type="dxa"/>
          <w:tblCellMar>
            <w:top w:w="0" w:type="dxa"/>
            <w:left w:w="108" w:type="dxa"/>
            <w:bottom w:w="0" w:type="dxa"/>
            <w:right w:w="108" w:type="dxa"/>
          </w:tblCellMar>
        </w:tblPrEx>
        <w:trPr>
          <w:trHeight w:val="920"/>
        </w:trPr>
        <w:tc>
          <w:tcPr>
            <w:tcW w:w="1188" w:type="dxa"/>
            <w:vAlign w:val="center"/>
          </w:tcPr>
          <w:p>
            <w:pPr>
              <w:jc w:val="center"/>
              <w:rPr>
                <w:b/>
                <w:bCs/>
              </w:rPr>
            </w:pPr>
            <w:r>
              <w:rPr>
                <w:rFonts w:hint="eastAsia"/>
                <w:b/>
                <w:bCs/>
              </w:rPr>
              <w:t>毕业论文题目</w:t>
            </w:r>
          </w:p>
        </w:tc>
        <w:tc>
          <w:tcPr>
            <w:tcW w:w="8451" w:type="dxa"/>
            <w:gridSpan w:val="5"/>
            <w:vAlign w:val="center"/>
          </w:tcPr>
          <w:p>
            <w:pPr>
              <w:jc w:val="center"/>
              <w:rPr>
                <w:b/>
                <w:bCs/>
              </w:rPr>
            </w:pPr>
            <w:bookmarkStart w:id="0" w:name="_GoBack"/>
            <w:r>
              <w:rPr>
                <w:rFonts w:hint="eastAsia"/>
                <w:b/>
                <w:bCs/>
              </w:rPr>
              <w:t>企业物流成本管理问题研究</w:t>
            </w:r>
            <w:bookmarkEnd w:id="0"/>
          </w:p>
        </w:tc>
      </w:tr>
      <w:tr>
        <w:tblPrEx>
          <w:tblW w:w="9639" w:type="dxa"/>
          <w:tblInd w:w="0" w:type="dxa"/>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毕业论文主要内容和要求：</w:t>
            </w:r>
          </w:p>
          <w:p>
            <w:pPr>
              <w:spacing w:line="360" w:lineRule="exact"/>
              <w:ind w:firstLine="412" w:firstLineChars="196"/>
              <w:rPr>
                <w:rFonts w:ascii="宋体" w:hAnsi="宋体"/>
                <w:szCs w:val="21"/>
              </w:rPr>
            </w:pPr>
            <w:r>
              <w:rPr>
                <w:rFonts w:hint="eastAsia"/>
                <w:b/>
                <w:szCs w:val="21"/>
              </w:rPr>
              <w:t>主要内容：</w:t>
            </w:r>
            <w:r>
              <w:rPr>
                <w:rFonts w:ascii="ˎ̥" w:hAnsi="ˎ̥" w:hint="eastAsia"/>
                <w:szCs w:val="21"/>
              </w:rPr>
              <w:t xml:space="preserve"> </w:t>
            </w:r>
            <w:r>
              <w:rPr>
                <w:rFonts w:ascii="宋体" w:hAnsi="宋体" w:hint="eastAsia"/>
                <w:szCs w:val="21"/>
              </w:rPr>
              <w:t>本文通过描述企业内部物流成本的含义,物流成本的构成,影响物流成本的因素、企业物流成本在企业成本中的地位以及物流成本管理的现状, 运用经验总结法和文献资料法从现行会计制度、物流成本的划分、物流成本管理的系统，物流成本的效率等方面提出企业物流成本存在的缺陷,并从降低企业物流成本角度出发提出解决方案，从而对企业优化物流成本管理、提高经济效益、优化资源配置，实现企业利润最大化作出探索与研究。</w:t>
            </w:r>
          </w:p>
          <w:p>
            <w:pPr>
              <w:spacing w:line="360" w:lineRule="exact"/>
              <w:ind w:firstLine="410" w:firstLineChars="195"/>
              <w:rPr>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论文的格式、字数等撰写方面的要求参照《中国地质大学长城学院毕业论文（设计）撰写规范》。</w:t>
            </w:r>
          </w:p>
        </w:tc>
      </w:tr>
      <w:tr>
        <w:tblPrEx>
          <w:tblW w:w="9639" w:type="dxa"/>
          <w:tblInd w:w="0" w:type="dxa"/>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毕业论文主要参考资料：</w:t>
            </w:r>
          </w:p>
          <w:p>
            <w:pPr>
              <w:spacing w:line="360" w:lineRule="exact"/>
            </w:pPr>
            <w:r>
              <w:t>[1]</w:t>
            </w:r>
            <w:r>
              <w:rPr>
                <w:rFonts w:hint="eastAsia"/>
              </w:rPr>
              <w:t xml:space="preserve">  倪凤琴.物流成本管理[M].北京:电子工业出版社,2011.15-24. </w:t>
            </w:r>
          </w:p>
          <w:p>
            <w:pPr>
              <w:spacing w:line="360" w:lineRule="exact"/>
            </w:pPr>
            <w:r>
              <w:t>[2]</w:t>
            </w:r>
            <w:r>
              <w:rPr>
                <w:rFonts w:hint="eastAsia"/>
              </w:rPr>
              <w:t xml:space="preserve">  张晓焱.物流成本管理[M].北京:航空工业出版社,2011.5-32.</w:t>
            </w:r>
          </w:p>
          <w:p>
            <w:pPr>
              <w:spacing w:line="360" w:lineRule="exact"/>
              <w:rPr>
                <w:b/>
              </w:rPr>
            </w:pPr>
            <w:r>
              <w:rPr>
                <w:rFonts w:hint="eastAsia"/>
              </w:rPr>
              <w:t>[3]  刘胜春,李严锋.第三方物流[M].大连:东北财经大学出版社,2012.2-20.</w:t>
            </w:r>
          </w:p>
          <w:p>
            <w:pPr>
              <w:spacing w:line="360" w:lineRule="exact"/>
            </w:pPr>
            <w:r>
              <w:rPr>
                <w:rFonts w:hint="eastAsia"/>
              </w:rPr>
              <w:t>[4]  柯颖.物流管理[M].北京:机械工业出版社.2013.253-257.</w:t>
            </w:r>
          </w:p>
          <w:p>
            <w:pPr>
              <w:spacing w:line="360" w:lineRule="exact"/>
              <w:rPr>
                <w:rFonts w:ascii="Arial" w:hAnsi="Arial" w:cs="Arial"/>
                <w:color w:val="333333"/>
                <w:szCs w:val="21"/>
                <w:shd w:val="clear" w:color="auto" w:fill="FFFFFF"/>
              </w:rPr>
            </w:pPr>
            <w:r>
              <w:rPr>
                <w:rFonts w:ascii="Arial" w:hAnsi="Arial" w:cs="Arial"/>
                <w:color w:val="333333"/>
                <w:szCs w:val="21"/>
                <w:shd w:val="clear" w:color="auto" w:fill="FFFFFF"/>
              </w:rPr>
              <w:t>[</w:t>
            </w:r>
            <w:r>
              <w:rPr>
                <w:rFonts w:ascii="Arial" w:hAnsi="Arial" w:cs="Arial" w:hint="eastAsia"/>
                <w:color w:val="333333"/>
                <w:szCs w:val="21"/>
                <w:shd w:val="clear" w:color="auto" w:fill="FFFFFF"/>
              </w:rPr>
              <w:t>5</w:t>
            </w:r>
            <w:r>
              <w:rPr>
                <w:rFonts w:ascii="Arial" w:hAnsi="Arial" w:cs="Arial"/>
                <w:color w:val="333333"/>
                <w:szCs w:val="21"/>
                <w:shd w:val="clear" w:color="auto" w:fill="FFFFFF"/>
              </w:rPr>
              <w:t xml:space="preserve">] </w:t>
            </w:r>
            <w:r>
              <w:rPr>
                <w:rFonts w:ascii="Arial" w:hAnsi="Arial" w:cs="Arial" w:hint="eastAsia"/>
                <w:color w:val="333333"/>
                <w:szCs w:val="21"/>
                <w:shd w:val="clear" w:color="auto" w:fill="FFFFFF"/>
              </w:rPr>
              <w:t xml:space="preserve"> 中国物流与采购联合会,中国物流学会.中国物流发展报告</w:t>
            </w:r>
            <w:r>
              <w:t>[M]</w:t>
            </w:r>
            <w:r>
              <w:rPr>
                <w:rFonts w:ascii="Arial" w:hAnsi="Arial" w:cs="Arial" w:hint="eastAsia"/>
                <w:color w:val="333333"/>
                <w:szCs w:val="21"/>
                <w:shd w:val="clear" w:color="auto" w:fill="FFFFFF"/>
              </w:rPr>
              <w:t>.北京:中国物资出版社,</w:t>
            </w:r>
            <w:r>
              <w:rPr>
                <w:rFonts w:ascii="Arial" w:hAnsi="Arial" w:cs="Arial"/>
                <w:color w:val="333333"/>
                <w:szCs w:val="21"/>
                <w:shd w:val="clear" w:color="auto" w:fill="FFFFFF"/>
              </w:rPr>
              <w:t>2010</w:t>
            </w:r>
            <w:r>
              <w:rPr>
                <w:rFonts w:hint="eastAsia"/>
              </w:rPr>
              <w:t>.15-22.</w:t>
            </w:r>
          </w:p>
          <w:p>
            <w:pPr>
              <w:spacing w:line="360" w:lineRule="exact"/>
            </w:pPr>
            <w:r>
              <w:rPr>
                <w:rFonts w:hint="eastAsia"/>
              </w:rPr>
              <w:t xml:space="preserve">[6]  </w:t>
            </w:r>
            <w:r>
              <w:t>李佳</w:t>
            </w:r>
            <w:r>
              <w:rPr>
                <w:rFonts w:hint="eastAsia"/>
              </w:rPr>
              <w:t>.</w:t>
            </w:r>
            <w:r>
              <w:t>中国企业物流成本管理现状与发展[J].环球市场信息导报,2015</w:t>
            </w:r>
            <w:r>
              <w:rPr>
                <w:rFonts w:hint="eastAsia"/>
              </w:rPr>
              <w:t>,(</w:t>
            </w:r>
            <w:r>
              <w:t>04</w:t>
            </w:r>
            <w:r>
              <w:rPr>
                <w:rFonts w:hint="eastAsia"/>
              </w:rPr>
              <w:t>)</w:t>
            </w:r>
            <w:r>
              <w:t>:62-63.</w:t>
            </w:r>
          </w:p>
          <w:p>
            <w:pPr>
              <w:spacing w:line="360" w:lineRule="exact"/>
            </w:pPr>
            <w:r>
              <w:rPr>
                <w:rFonts w:hint="eastAsia"/>
              </w:rPr>
              <w:t xml:space="preserve">[7]  </w:t>
            </w:r>
            <w:r>
              <w:t>文华.物流成本管理对企业竞争力的影响及对策研究[J].物流科技,2014</w:t>
            </w:r>
            <w:r>
              <w:rPr>
                <w:rFonts w:hint="eastAsia"/>
              </w:rPr>
              <w:t>,(</w:t>
            </w:r>
            <w:r>
              <w:t>10</w:t>
            </w:r>
            <w:r>
              <w:rPr>
                <w:rFonts w:hint="eastAsia"/>
              </w:rPr>
              <w:t>)</w:t>
            </w:r>
            <w:r>
              <w:t>:104-107.</w:t>
            </w:r>
          </w:p>
          <w:p>
            <w:pPr>
              <w:spacing w:line="360" w:lineRule="exact"/>
            </w:pPr>
            <w:r>
              <w:rPr>
                <w:rFonts w:hint="eastAsia"/>
              </w:rPr>
              <w:t>[8]  吴崎右.特色各异的欧美日第三方物流</w:t>
            </w:r>
            <w:r>
              <w:t>[J]</w:t>
            </w:r>
            <w:r>
              <w:rPr>
                <w:rFonts w:hint="eastAsia"/>
              </w:rPr>
              <w:t>.中国物流与采购,</w:t>
            </w:r>
            <w:r>
              <w:t>2013</w:t>
            </w:r>
            <w:r>
              <w:rPr>
                <w:rFonts w:hint="eastAsia"/>
              </w:rPr>
              <w:t>,</w:t>
            </w:r>
            <w:r>
              <w:t>(4)</w:t>
            </w:r>
            <w:r>
              <w:rPr>
                <w:rFonts w:hint="eastAsia"/>
              </w:rPr>
              <w:t>:</w:t>
            </w:r>
            <w:r>
              <w:t>34-35</w:t>
            </w:r>
            <w:r>
              <w:rPr>
                <w:rFonts w:hint="eastAsia"/>
              </w:rPr>
              <w:t>.</w:t>
            </w:r>
          </w:p>
          <w:p>
            <w:pPr>
              <w:spacing w:line="360" w:lineRule="exact"/>
            </w:pPr>
            <w:r>
              <w:rPr>
                <w:rFonts w:hint="eastAsia"/>
              </w:rPr>
              <w:t>[9]　冯林燕,西方第三方物流研究综述</w:t>
            </w:r>
            <w:r>
              <w:t>[J]</w:t>
            </w:r>
            <w:r>
              <w:rPr>
                <w:rFonts w:hint="eastAsia"/>
              </w:rPr>
              <w:t>,企业改革与管理,</w:t>
            </w:r>
            <w:r>
              <w:t xml:space="preserve">2013 </w:t>
            </w:r>
            <w:r>
              <w:rPr>
                <w:rFonts w:hint="eastAsia"/>
              </w:rPr>
              <w:t>,</w:t>
            </w:r>
            <w:r>
              <w:t>(2)</w:t>
            </w:r>
            <w:r>
              <w:rPr>
                <w:rFonts w:hint="eastAsia"/>
              </w:rPr>
              <w:t>:</w:t>
            </w:r>
            <w:r>
              <w:t>17-19</w:t>
            </w:r>
            <w:r>
              <w:rPr>
                <w:rFonts w:hint="eastAsia"/>
              </w:rPr>
              <w:t>.</w:t>
            </w:r>
          </w:p>
          <w:p>
            <w:pPr>
              <w:spacing w:line="360" w:lineRule="exact"/>
            </w:pPr>
            <w:r>
              <w:t>[</w:t>
            </w:r>
            <w:r>
              <w:rPr>
                <w:rFonts w:hint="eastAsia"/>
              </w:rPr>
              <w:t>10</w:t>
            </w:r>
            <w:r>
              <w:t>]</w:t>
            </w:r>
            <w:r>
              <w:rPr>
                <w:rFonts w:hint="eastAsia"/>
              </w:rPr>
              <w:t xml:space="preserve"> </w:t>
            </w:r>
            <w:r>
              <w:t>王娟.企业发展的关键命脉之——正确选择第三方物流公司[J].管理探索</w:t>
            </w:r>
            <w:r>
              <w:rPr>
                <w:rFonts w:hint="eastAsia"/>
              </w:rPr>
              <w:t>,</w:t>
            </w:r>
            <w:r>
              <w:t>20</w:t>
            </w:r>
            <w:r>
              <w:rPr>
                <w:rFonts w:hint="eastAsia"/>
              </w:rPr>
              <w:t>10,</w:t>
            </w:r>
            <w:r>
              <w:t>(10):11-13.</w:t>
            </w:r>
          </w:p>
          <w:p>
            <w:pPr>
              <w:spacing w:line="360" w:lineRule="exact"/>
            </w:pPr>
            <w:r>
              <w:rPr>
                <w:rFonts w:hint="eastAsia"/>
              </w:rPr>
              <w:t>[11] 魏际刚.物流技术的创新选择和演进</w:t>
            </w:r>
            <w:r>
              <w:t>[J]</w:t>
            </w:r>
            <w:r>
              <w:rPr>
                <w:rFonts w:hint="eastAsia"/>
              </w:rPr>
              <w:t>.中国流通经济,</w:t>
            </w:r>
            <w:r>
              <w:t xml:space="preserve">2012 </w:t>
            </w:r>
            <w:r>
              <w:rPr>
                <w:rFonts w:hint="eastAsia"/>
              </w:rPr>
              <w:t>,</w:t>
            </w:r>
            <w:r>
              <w:t>(12)</w:t>
            </w:r>
            <w:r>
              <w:rPr>
                <w:rFonts w:hint="eastAsia"/>
              </w:rPr>
              <w:t>:</w:t>
            </w:r>
            <w:r>
              <w:t>8-11</w:t>
            </w:r>
            <w:r>
              <w:rPr>
                <w:rFonts w:hint="eastAsia"/>
              </w:rPr>
              <w:t>.</w:t>
            </w:r>
          </w:p>
          <w:p>
            <w:pPr>
              <w:spacing w:line="360" w:lineRule="exact"/>
            </w:pPr>
            <w:r>
              <w:t>[1</w:t>
            </w:r>
            <w:r>
              <w:rPr>
                <w:rFonts w:hint="eastAsia"/>
              </w:rPr>
              <w:t>2</w:t>
            </w:r>
            <w:r>
              <w:t>]</w:t>
            </w:r>
            <w:r>
              <w:rPr>
                <w:rFonts w:hint="eastAsia"/>
              </w:rPr>
              <w:t xml:space="preserve"> </w:t>
            </w:r>
            <w:r>
              <w:t>Mentzer,John T</w:t>
            </w:r>
            <w:r>
              <w:rPr>
                <w:rFonts w:hint="eastAsia"/>
              </w:rPr>
              <w:t>;</w:t>
            </w:r>
            <w:r>
              <w:t>Konrad, Brenda Ponsford</w:t>
            </w:r>
            <w:r>
              <w:rPr>
                <w:rFonts w:hint="eastAsia"/>
              </w:rPr>
              <w:t>.</w:t>
            </w:r>
            <w:r>
              <w:t>.An Efficiency/Effectiveness Approach to Logistics Performance Analysis</w:t>
            </w:r>
            <w:r>
              <w:rPr>
                <w:rFonts w:hint="eastAsia"/>
              </w:rPr>
              <w:t>［</w:t>
            </w:r>
            <w:r>
              <w:t>J</w:t>
            </w:r>
            <w:r>
              <w:rPr>
                <w:rFonts w:hint="eastAsia"/>
              </w:rPr>
              <w:t>］.</w:t>
            </w:r>
            <w:r>
              <w:t xml:space="preserve"> Journal of Business Logistics</w:t>
            </w:r>
            <w:r>
              <w:rPr>
                <w:rFonts w:hint="eastAsia"/>
              </w:rPr>
              <w:t xml:space="preserve">,1991,12 </w:t>
            </w:r>
            <w:r>
              <w:t>(</w:t>
            </w:r>
            <w:r>
              <w:rPr>
                <w:rFonts w:hint="eastAsia"/>
              </w:rPr>
              <w:t>1</w:t>
            </w:r>
            <w:r>
              <w:t xml:space="preserve">): </w:t>
            </w:r>
            <w:r>
              <w:rPr>
                <w:rFonts w:hint="eastAsia"/>
              </w:rPr>
              <w:t>33</w:t>
            </w:r>
            <w:r>
              <w:t>-</w:t>
            </w:r>
            <w:r>
              <w:rPr>
                <w:rFonts w:hint="eastAsia"/>
              </w:rPr>
              <w:t>62</w:t>
            </w:r>
            <w:r>
              <w:t>.</w:t>
            </w:r>
          </w:p>
          <w:p>
            <w:pPr>
              <w:spacing w:line="360" w:lineRule="exact"/>
            </w:pPr>
          </w:p>
          <w:p>
            <w:pPr>
              <w:spacing w:line="360" w:lineRule="exact"/>
            </w:pPr>
          </w:p>
        </w:tc>
      </w:tr>
    </w:tbl>
    <w:p>
      <w:pPr>
        <w:sectPr>
          <w:headerReference w:type="default" r:id="rId6"/>
          <w:footerReference w:type="default" r:id="rId7"/>
          <w:pgSz w:w="11906" w:h="16838"/>
          <w:pgMar w:top="1418" w:right="1134" w:bottom="1418" w:left="1418" w:header="851" w:footer="851" w:gutter="0"/>
          <w:pgNumType w:start="1"/>
          <w:cols w:num="1" w:space="425"/>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48"/>
        <w:gridCol w:w="4320"/>
        <w:gridCol w:w="2520"/>
        <w:gridCol w:w="215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92"/>
        </w:trPr>
        <w:tc>
          <w:tcPr>
            <w:tcW w:w="9639" w:type="dxa"/>
            <w:gridSpan w:val="4"/>
          </w:tcPr>
          <w:p>
            <w:pPr>
              <w:spacing w:before="156" w:beforeLines="50"/>
              <w:rPr>
                <w:b/>
                <w:bCs/>
              </w:rPr>
            </w:pPr>
            <w:r>
              <w:rPr>
                <w:rFonts w:hint="eastAsia"/>
                <w:b/>
                <w:bCs/>
              </w:rPr>
              <w:t>毕业论文应完成的主要工作：</w:t>
            </w:r>
          </w:p>
          <w:p>
            <w:pPr>
              <w:numPr>
                <w:ilvl w:val="0"/>
                <w:numId w:val="1"/>
              </w:numPr>
              <w:spacing w:line="360" w:lineRule="exact"/>
              <w:ind w:left="357" w:hanging="357"/>
              <w:rPr>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bCs/>
              </w:rPr>
            </w:pPr>
            <w:r>
              <w:rPr>
                <w:rFonts w:hint="eastAsia"/>
                <w:bCs/>
              </w:rPr>
              <w:t>认真撰写开题报告，并对开题报告中指导教师所提出的意见进行修改。</w:t>
            </w:r>
          </w:p>
          <w:p>
            <w:pPr>
              <w:numPr>
                <w:ilvl w:val="0"/>
                <w:numId w:val="1"/>
              </w:numPr>
              <w:spacing w:line="360" w:lineRule="exact"/>
              <w:ind w:left="357" w:hanging="357"/>
              <w:rPr>
                <w:bCs/>
              </w:rPr>
            </w:pPr>
            <w:r>
              <w:rPr>
                <w:rFonts w:hint="eastAsia"/>
                <w:bCs/>
              </w:rPr>
              <w:t>认真撰写论文，并根据指导教师的意见进行修改。</w:t>
            </w:r>
          </w:p>
          <w:p>
            <w:pPr>
              <w:numPr>
                <w:ilvl w:val="0"/>
                <w:numId w:val="1"/>
              </w:numPr>
              <w:spacing w:line="360" w:lineRule="exact"/>
              <w:ind w:left="357" w:hanging="357"/>
              <w:rPr>
                <w:b/>
                <w:bCs/>
              </w:rPr>
            </w:pPr>
            <w:r>
              <w:rPr>
                <w:rFonts w:hint="eastAsia"/>
                <w:bCs/>
              </w:rPr>
              <w:t>论文定稿之后，按照要求进行毕业论文的答辩。</w:t>
            </w:r>
          </w:p>
        </w:tc>
      </w:tr>
      <w:tr>
        <w:tblPrEx>
          <w:tblW w:w="9639" w:type="dxa"/>
          <w:tblInd w:w="0" w:type="dxa"/>
          <w:tblCellMar>
            <w:top w:w="0" w:type="dxa"/>
            <w:left w:w="108" w:type="dxa"/>
            <w:bottom w:w="0" w:type="dxa"/>
            <w:right w:w="108" w:type="dxa"/>
          </w:tblCellMar>
        </w:tblPrEx>
        <w:trPr>
          <w:trHeight w:val="641"/>
        </w:trPr>
        <w:tc>
          <w:tcPr>
            <w:tcW w:w="9639" w:type="dxa"/>
            <w:gridSpan w:val="4"/>
          </w:tcPr>
          <w:p>
            <w:pPr>
              <w:spacing w:before="156" w:beforeLines="50"/>
              <w:rPr>
                <w:b/>
                <w:bCs/>
              </w:rPr>
            </w:pPr>
            <w:r>
              <w:rPr>
                <w:rFonts w:hint="eastAsia"/>
                <w:b/>
                <w:bCs/>
              </w:rPr>
              <w:t>毕业论文进度安排：</w:t>
            </w:r>
          </w:p>
        </w:tc>
      </w:tr>
      <w:tr>
        <w:tblPrEx>
          <w:tblW w:w="9639" w:type="dxa"/>
          <w:tblInd w:w="0" w:type="dxa"/>
          <w:tblCellMar>
            <w:top w:w="0" w:type="dxa"/>
            <w:left w:w="108" w:type="dxa"/>
            <w:bottom w:w="0" w:type="dxa"/>
            <w:right w:w="108" w:type="dxa"/>
          </w:tblCellMar>
        </w:tblPrEx>
        <w:trPr>
          <w:trHeight w:val="586"/>
        </w:trPr>
        <w:tc>
          <w:tcPr>
            <w:tcW w:w="648" w:type="dxa"/>
            <w:vAlign w:val="center"/>
          </w:tcPr>
          <w:p>
            <w:pPr>
              <w:spacing w:before="156" w:beforeLines="50"/>
              <w:jc w:val="center"/>
              <w:rPr>
                <w:b/>
                <w:bCs/>
              </w:rPr>
            </w:pPr>
            <w:r>
              <w:rPr>
                <w:rFonts w:hint="eastAsia"/>
                <w:b/>
                <w:bCs/>
              </w:rPr>
              <w:t>序号</w:t>
            </w:r>
          </w:p>
        </w:tc>
        <w:tc>
          <w:tcPr>
            <w:tcW w:w="4320" w:type="dxa"/>
            <w:vAlign w:val="center"/>
          </w:tcPr>
          <w:p>
            <w:pPr>
              <w:spacing w:before="156" w:beforeLines="50"/>
              <w:jc w:val="center"/>
              <w:rPr>
                <w:b/>
                <w:bCs/>
              </w:rPr>
            </w:pPr>
            <w:r>
              <w:rPr>
                <w:rFonts w:hint="eastAsia"/>
                <w:b/>
                <w:bCs/>
              </w:rPr>
              <w:t>毕业论文各阶段内容</w:t>
            </w:r>
          </w:p>
        </w:tc>
        <w:tc>
          <w:tcPr>
            <w:tcW w:w="2520" w:type="dxa"/>
            <w:vAlign w:val="center"/>
          </w:tcPr>
          <w:p>
            <w:pPr>
              <w:spacing w:before="156" w:beforeLines="50"/>
              <w:jc w:val="center"/>
              <w:rPr>
                <w:b/>
                <w:bCs/>
              </w:rPr>
            </w:pPr>
            <w:r>
              <w:rPr>
                <w:rFonts w:hint="eastAsia"/>
                <w:b/>
                <w:bCs/>
              </w:rPr>
              <w:t>时间安排</w:t>
            </w:r>
          </w:p>
        </w:tc>
        <w:tc>
          <w:tcPr>
            <w:tcW w:w="2151" w:type="dxa"/>
            <w:vAlign w:val="center"/>
          </w:tcPr>
          <w:p>
            <w:pPr>
              <w:spacing w:before="156" w:beforeLines="50"/>
              <w:jc w:val="center"/>
              <w:rPr>
                <w:b/>
                <w:bCs/>
              </w:rPr>
            </w:pPr>
            <w:r>
              <w:rPr>
                <w:rFonts w:hint="eastAsia"/>
                <w:b/>
                <w:bCs/>
              </w:rPr>
              <w:t>备注</w:t>
            </w: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w:t>
            </w:r>
          </w:p>
        </w:tc>
        <w:tc>
          <w:tcPr>
            <w:tcW w:w="4320" w:type="dxa"/>
          </w:tcPr>
          <w:p>
            <w:pPr>
              <w:spacing w:before="156" w:beforeLines="50"/>
              <w:rPr>
                <w:b/>
                <w:bCs/>
              </w:rPr>
            </w:pPr>
            <w:r>
              <w:rPr>
                <w:rFonts w:hint="eastAsia"/>
                <w:bCs/>
              </w:rPr>
              <w:t>确定毕业论文的选题，收集资料，整理资料，完成论文的任务书</w:t>
            </w:r>
          </w:p>
        </w:tc>
        <w:tc>
          <w:tcPr>
            <w:tcW w:w="2520" w:type="dxa"/>
            <w:vAlign w:val="center"/>
          </w:tcPr>
          <w:p>
            <w:pPr>
              <w:spacing w:before="156" w:beforeLines="50"/>
              <w:rPr>
                <w:b/>
                <w:bCs/>
              </w:rPr>
            </w:pPr>
            <w:r>
              <w:rPr>
                <w:rFonts w:hint="eastAsia"/>
                <w:bCs/>
              </w:rPr>
              <w:t>2015-10-15至2015-10-31</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2</w:t>
            </w:r>
          </w:p>
        </w:tc>
        <w:tc>
          <w:tcPr>
            <w:tcW w:w="4320" w:type="dxa"/>
          </w:tcPr>
          <w:p>
            <w:pPr>
              <w:spacing w:before="156" w:beforeLines="50"/>
              <w:rPr>
                <w:b/>
                <w:bCs/>
              </w:rPr>
            </w:pPr>
            <w:r>
              <w:rPr>
                <w:rFonts w:hint="eastAsia"/>
                <w:bCs/>
              </w:rPr>
              <w:t>编写论文提纲，撰写开题报告，进行开题。</w:t>
            </w:r>
          </w:p>
        </w:tc>
        <w:tc>
          <w:tcPr>
            <w:tcW w:w="2520" w:type="dxa"/>
            <w:vAlign w:val="center"/>
          </w:tcPr>
          <w:p>
            <w:pPr>
              <w:rPr>
                <w:bCs/>
              </w:rPr>
            </w:pPr>
            <w:r>
              <w:rPr>
                <w:rFonts w:hint="eastAsia"/>
                <w:bCs/>
              </w:rPr>
              <w:t>2015-11-1至2015-11-20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3</w:t>
            </w:r>
          </w:p>
        </w:tc>
        <w:tc>
          <w:tcPr>
            <w:tcW w:w="4320" w:type="dxa"/>
          </w:tcPr>
          <w:p>
            <w:pPr>
              <w:spacing w:before="156" w:beforeLines="50"/>
              <w:rPr>
                <w:b/>
                <w:bCs/>
              </w:rPr>
            </w:pPr>
            <w:r>
              <w:rPr>
                <w:rFonts w:hint="eastAsia"/>
                <w:bCs/>
              </w:rPr>
              <w:t>实习期间进行一步查找资料，作社会调查。</w:t>
            </w:r>
          </w:p>
        </w:tc>
        <w:tc>
          <w:tcPr>
            <w:tcW w:w="2520" w:type="dxa"/>
            <w:vAlign w:val="center"/>
          </w:tcPr>
          <w:p>
            <w:pPr>
              <w:spacing w:before="156" w:beforeLines="50"/>
              <w:rPr>
                <w:b/>
                <w:bCs/>
              </w:rPr>
            </w:pPr>
            <w:r>
              <w:rPr>
                <w:rFonts w:hint="eastAsia"/>
                <w:bCs/>
              </w:rPr>
              <w:t>2015-11-21至2015-11-30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4</w:t>
            </w:r>
          </w:p>
        </w:tc>
        <w:tc>
          <w:tcPr>
            <w:tcW w:w="4320" w:type="dxa"/>
          </w:tcPr>
          <w:p>
            <w:pPr>
              <w:spacing w:before="156" w:beforeLines="50"/>
              <w:rPr>
                <w:b/>
                <w:bCs/>
              </w:rPr>
            </w:pPr>
            <w:r>
              <w:rPr>
                <w:rFonts w:hint="eastAsia"/>
                <w:bCs/>
              </w:rPr>
              <w:t>撰写论文，完成第一稿，并交指导教师</w:t>
            </w:r>
          </w:p>
        </w:tc>
        <w:tc>
          <w:tcPr>
            <w:tcW w:w="2520" w:type="dxa"/>
            <w:vAlign w:val="center"/>
          </w:tcPr>
          <w:p>
            <w:pPr>
              <w:spacing w:before="156" w:beforeLines="50"/>
              <w:rPr>
                <w:b/>
                <w:bCs/>
              </w:rPr>
            </w:pPr>
            <w:r>
              <w:rPr>
                <w:rFonts w:hint="eastAsia"/>
                <w:bCs/>
              </w:rPr>
              <w:t>2015-12-1至2016-1-15</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5</w:t>
            </w:r>
          </w:p>
        </w:tc>
        <w:tc>
          <w:tcPr>
            <w:tcW w:w="4320" w:type="dxa"/>
          </w:tcPr>
          <w:p>
            <w:pPr>
              <w:spacing w:before="156" w:beforeLines="50"/>
              <w:rPr>
                <w:b/>
                <w:bCs/>
              </w:rPr>
            </w:pPr>
            <w:r>
              <w:rPr>
                <w:rFonts w:hint="eastAsia"/>
                <w:bCs/>
              </w:rPr>
              <w:t>指导教师阅改论文。</w:t>
            </w:r>
          </w:p>
        </w:tc>
        <w:tc>
          <w:tcPr>
            <w:tcW w:w="2520" w:type="dxa"/>
            <w:vAlign w:val="center"/>
          </w:tcPr>
          <w:p>
            <w:pPr>
              <w:spacing w:before="156" w:beforeLines="50"/>
              <w:rPr>
                <w:b/>
                <w:bCs/>
              </w:rPr>
            </w:pPr>
            <w:r>
              <w:rPr>
                <w:rFonts w:hint="eastAsia"/>
                <w:bCs/>
              </w:rPr>
              <w:t>2016-1-16至2016-1-31</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6</w:t>
            </w:r>
          </w:p>
        </w:tc>
        <w:tc>
          <w:tcPr>
            <w:tcW w:w="4320" w:type="dxa"/>
          </w:tcPr>
          <w:p>
            <w:pPr>
              <w:spacing w:before="156" w:beforeLines="50"/>
              <w:rPr>
                <w:b/>
                <w:bCs/>
              </w:rPr>
            </w:pPr>
            <w:r>
              <w:rPr>
                <w:rFonts w:hint="eastAsia"/>
                <w:bCs/>
              </w:rPr>
              <w:t>修改论文，完成第2稿，并交指导教师。</w:t>
            </w:r>
          </w:p>
        </w:tc>
        <w:tc>
          <w:tcPr>
            <w:tcW w:w="2520" w:type="dxa"/>
            <w:vAlign w:val="center"/>
          </w:tcPr>
          <w:p>
            <w:pPr>
              <w:spacing w:before="156" w:beforeLines="50"/>
              <w:rPr>
                <w:b/>
                <w:bCs/>
              </w:rPr>
            </w:pPr>
            <w:r>
              <w:rPr>
                <w:rFonts w:hint="eastAsia"/>
                <w:bCs/>
              </w:rPr>
              <w:t>2016-2-1至2016-2-29</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7</w:t>
            </w:r>
          </w:p>
        </w:tc>
        <w:tc>
          <w:tcPr>
            <w:tcW w:w="4320" w:type="dxa"/>
          </w:tcPr>
          <w:p>
            <w:pPr>
              <w:spacing w:before="156" w:beforeLines="50"/>
              <w:rPr>
                <w:b/>
                <w:bCs/>
              </w:rPr>
            </w:pPr>
            <w:r>
              <w:rPr>
                <w:rFonts w:hint="eastAsia"/>
                <w:bCs/>
              </w:rPr>
              <w:t>指导教师阅改论文，完成中期检查表。</w:t>
            </w:r>
          </w:p>
        </w:tc>
        <w:tc>
          <w:tcPr>
            <w:tcW w:w="2520" w:type="dxa"/>
            <w:vAlign w:val="center"/>
          </w:tcPr>
          <w:p>
            <w:pPr>
              <w:spacing w:before="156" w:beforeLines="50"/>
              <w:rPr>
                <w:b/>
                <w:bCs/>
              </w:rPr>
            </w:pPr>
            <w:r>
              <w:rPr>
                <w:rFonts w:hint="eastAsia"/>
                <w:bCs/>
              </w:rPr>
              <w:t>2016-3-1至2016-3-15</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8</w:t>
            </w:r>
          </w:p>
        </w:tc>
        <w:tc>
          <w:tcPr>
            <w:tcW w:w="4320" w:type="dxa"/>
          </w:tcPr>
          <w:p>
            <w:pPr>
              <w:spacing w:before="156" w:beforeLines="50"/>
              <w:rPr>
                <w:b/>
                <w:bCs/>
              </w:rPr>
            </w:pPr>
            <w:r>
              <w:rPr>
                <w:rFonts w:hint="eastAsia"/>
                <w:bCs/>
              </w:rPr>
              <w:t>修改论文，完成第3稿，并交指导教师。</w:t>
            </w:r>
          </w:p>
        </w:tc>
        <w:tc>
          <w:tcPr>
            <w:tcW w:w="2520" w:type="dxa"/>
            <w:vAlign w:val="center"/>
          </w:tcPr>
          <w:p>
            <w:pPr>
              <w:spacing w:before="156" w:beforeLines="50"/>
              <w:rPr>
                <w:b/>
                <w:bCs/>
              </w:rPr>
            </w:pPr>
            <w:r>
              <w:rPr>
                <w:rFonts w:hint="eastAsia"/>
                <w:bCs/>
              </w:rPr>
              <w:t>2016-3-16至2016-4-10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9</w:t>
            </w:r>
          </w:p>
        </w:tc>
        <w:tc>
          <w:tcPr>
            <w:tcW w:w="4320" w:type="dxa"/>
          </w:tcPr>
          <w:p>
            <w:pPr>
              <w:spacing w:before="156" w:beforeLines="50"/>
              <w:rPr>
                <w:b/>
                <w:bCs/>
              </w:rPr>
            </w:pPr>
            <w:r>
              <w:rPr>
                <w:rFonts w:hint="eastAsia"/>
                <w:bCs/>
              </w:rPr>
              <w:t>指导教师阅改论文，并返还学生，修改后立即交指导教师。</w:t>
            </w:r>
          </w:p>
        </w:tc>
        <w:tc>
          <w:tcPr>
            <w:tcW w:w="2520" w:type="dxa"/>
            <w:vAlign w:val="center"/>
          </w:tcPr>
          <w:p>
            <w:pPr>
              <w:spacing w:before="156" w:beforeLines="50"/>
              <w:rPr>
                <w:b/>
                <w:bCs/>
              </w:rPr>
            </w:pPr>
            <w:r>
              <w:rPr>
                <w:rFonts w:hint="eastAsia"/>
                <w:bCs/>
              </w:rPr>
              <w:t>2016-4-11至2016-4-30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10</w:t>
            </w:r>
          </w:p>
        </w:tc>
        <w:tc>
          <w:tcPr>
            <w:tcW w:w="4320" w:type="dxa"/>
          </w:tcPr>
          <w:p>
            <w:pPr>
              <w:spacing w:before="156" w:beforeLines="50"/>
              <w:rPr>
                <w:b/>
                <w:bCs/>
              </w:rPr>
            </w:pPr>
            <w:r>
              <w:rPr>
                <w:rFonts w:hint="eastAsia"/>
                <w:bCs/>
              </w:rPr>
              <w:t>专家评阅。</w:t>
            </w:r>
          </w:p>
        </w:tc>
        <w:tc>
          <w:tcPr>
            <w:tcW w:w="2520" w:type="dxa"/>
            <w:vAlign w:val="center"/>
          </w:tcPr>
          <w:p>
            <w:pPr>
              <w:spacing w:before="156" w:beforeLines="50"/>
              <w:rPr>
                <w:b/>
                <w:bCs/>
              </w:rPr>
            </w:pPr>
            <w:r>
              <w:rPr>
                <w:rFonts w:hint="eastAsia"/>
                <w:bCs/>
              </w:rPr>
              <w:t>2016-5-1至2016-5-10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11</w:t>
            </w:r>
          </w:p>
        </w:tc>
        <w:tc>
          <w:tcPr>
            <w:tcW w:w="4320" w:type="dxa"/>
          </w:tcPr>
          <w:p>
            <w:pPr>
              <w:spacing w:before="156" w:beforeLines="50"/>
              <w:rPr>
                <w:b/>
                <w:bCs/>
              </w:rPr>
            </w:pPr>
            <w:r>
              <w:rPr>
                <w:rFonts w:hint="eastAsia"/>
                <w:bCs/>
              </w:rPr>
              <w:t>毕业论文答辩。</w:t>
            </w:r>
          </w:p>
        </w:tc>
        <w:tc>
          <w:tcPr>
            <w:tcW w:w="2520" w:type="dxa"/>
            <w:vAlign w:val="center"/>
          </w:tcPr>
          <w:p>
            <w:pPr>
              <w:spacing w:before="156" w:beforeLines="50"/>
              <w:rPr>
                <w:b/>
                <w:bCs/>
              </w:rPr>
            </w:pPr>
            <w:r>
              <w:rPr>
                <w:rFonts w:hint="eastAsia"/>
                <w:bCs/>
              </w:rPr>
              <w:t>2016-5-11</w:t>
            </w:r>
            <w:r>
              <w:rPr>
                <w:bCs/>
              </w:rPr>
              <w:t>至</w:t>
            </w:r>
            <w:r>
              <w:rPr>
                <w:rFonts w:hint="eastAsia"/>
                <w:bCs/>
              </w:rPr>
              <w:t>2016-5-24</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1433"/>
        </w:trPr>
        <w:tc>
          <w:tcPr>
            <w:tcW w:w="648" w:type="dxa"/>
            <w:vAlign w:val="center"/>
          </w:tcPr>
          <w:p>
            <w:pPr>
              <w:spacing w:before="156" w:beforeLines="50"/>
              <w:jc w:val="center"/>
              <w:rPr>
                <w:bCs/>
              </w:rPr>
            </w:pPr>
            <w:r>
              <w:rPr>
                <w:rFonts w:hint="eastAsia"/>
                <w:bCs/>
              </w:rPr>
              <w:t>12</w:t>
            </w:r>
          </w:p>
        </w:tc>
        <w:tc>
          <w:tcPr>
            <w:tcW w:w="4320" w:type="dxa"/>
          </w:tcPr>
          <w:p>
            <w:pPr>
              <w:spacing w:before="156" w:beforeLines="50"/>
              <w:rPr>
                <w:b/>
                <w:bCs/>
              </w:rPr>
            </w:pPr>
            <w:r>
              <w:rPr>
                <w:rFonts w:hint="eastAsia"/>
                <w:bCs/>
              </w:rPr>
              <w:t>评定学生最终论文成绩，评出院内优秀论文。</w:t>
            </w:r>
          </w:p>
        </w:tc>
        <w:tc>
          <w:tcPr>
            <w:tcW w:w="2520" w:type="dxa"/>
            <w:vAlign w:val="center"/>
          </w:tcPr>
          <w:p>
            <w:pPr>
              <w:rPr>
                <w:bCs/>
                <w:color w:val="FF0000"/>
              </w:rPr>
            </w:pPr>
            <w:r>
              <w:rPr>
                <w:rFonts w:hint="eastAsia"/>
                <w:bCs/>
              </w:rPr>
              <w:t>2016</w:t>
            </w:r>
            <w:r>
              <w:rPr>
                <w:bCs/>
              </w:rPr>
              <w:t>-5-</w:t>
            </w:r>
            <w:r>
              <w:rPr>
                <w:rFonts w:hint="eastAsia"/>
                <w:bCs/>
              </w:rPr>
              <w:t>25</w:t>
            </w:r>
            <w:r>
              <w:rPr>
                <w:bCs/>
              </w:rPr>
              <w:t>至</w:t>
            </w:r>
            <w:r>
              <w:rPr>
                <w:rFonts w:hint="eastAsia"/>
                <w:bCs/>
              </w:rPr>
              <w:t>2016</w:t>
            </w:r>
            <w:r>
              <w:rPr>
                <w:bCs/>
              </w:rPr>
              <w:t>-5-31</w:t>
            </w:r>
          </w:p>
        </w:tc>
        <w:tc>
          <w:tcPr>
            <w:tcW w:w="2151" w:type="dxa"/>
          </w:tcPr>
          <w:p>
            <w:pPr>
              <w:spacing w:before="156" w:beforeLines="50"/>
              <w:rPr>
                <w:b/>
                <w:bCs/>
              </w:rPr>
            </w:pPr>
          </w:p>
        </w:tc>
      </w:tr>
    </w:tbl>
    <w:p>
      <w:pPr>
        <w:sectPr>
          <w:headerReference w:type="default" r:id="rId8"/>
          <w:footerReference w:type="default" r:id="rId9"/>
          <w:type w:val="nextPage"/>
          <w:pgSz w:w="11906" w:h="16838"/>
          <w:pgMar w:top="1418" w:right="1134" w:bottom="1418" w:left="1418" w:header="851" w:footer="851" w:gutter="0"/>
          <w:pgNumType w:start="2"/>
          <w:cols w:num="1" w:space="425"/>
          <w:titlePg w:val="0"/>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639"/>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课题信息：</w:t>
            </w:r>
          </w:p>
          <w:p>
            <w:pPr>
              <w:spacing w:before="156" w:beforeLines="50" w:after="156" w:afterLines="50"/>
              <w:rPr>
                <w:rFonts w:ascii="宋体" w:hAnsi="宋体"/>
                <w:b/>
                <w:szCs w:val="28"/>
              </w:rPr>
            </w:pPr>
          </w:p>
          <w:p>
            <w:pPr>
              <w:spacing w:before="156" w:beforeLines="50" w:after="156" w:afterLines="50"/>
              <w:ind w:firstLine="420" w:firstLineChars="200"/>
              <w:rPr>
                <w:rFonts w:ascii="宋体" w:hAnsi="宋体"/>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before="50" w:after="156" w:afterLines="50"/>
              <w:ind w:firstLine="420" w:firstLineChars="200"/>
              <w:rPr>
                <w:u w:val="single"/>
              </w:rPr>
            </w:pPr>
            <w:r>
              <w:rPr>
                <w:rFonts w:hint="eastAsia"/>
              </w:rPr>
              <w:t>发出任务书日期：</w:t>
            </w:r>
            <w:r>
              <w:rPr>
                <w:rFonts w:hint="eastAsia"/>
                <w:u w:val="single"/>
              </w:rPr>
              <w:t xml:space="preserve">    </w:t>
            </w:r>
            <w:r>
              <w:rPr>
                <w:rFonts w:hint="eastAsia"/>
                <w:b/>
                <w:u w:val="single"/>
              </w:rPr>
              <w:t xml:space="preserve">    </w:t>
            </w:r>
            <w:r>
              <w:rPr>
                <w:rFonts w:hint="eastAsia"/>
                <w:u w:val="single"/>
              </w:rPr>
              <w:t xml:space="preserve">    </w:t>
            </w:r>
            <w:r>
              <w:rPr>
                <w:u w:val="single"/>
              </w:rPr>
              <w:t xml:space="preserve">   </w:t>
            </w:r>
            <w:r>
              <w:rPr>
                <w:rFonts w:hint="eastAsia"/>
                <w:u w:val="single"/>
              </w:rPr>
              <w:t xml:space="preserve">        </w:t>
            </w: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rPr>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p>
          <w:p>
            <w:pPr>
              <w:spacing w:before="156" w:beforeLines="50"/>
              <w:rPr>
                <w:b/>
                <w:bCs/>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rFonts w:hint="eastAsia"/>
                <w:b/>
                <w:color w:val="FF0000"/>
                <w:szCs w:val="28"/>
              </w:rPr>
              <w:t xml:space="preserve">     </w:t>
            </w:r>
            <w:r>
              <w:rPr>
                <w:rFonts w:ascii="宋体" w:hAnsi="宋体" w:hint="eastAsia"/>
                <w:szCs w:val="28"/>
              </w:rPr>
              <w:t xml:space="preserve">年 </w:t>
            </w:r>
            <w:r>
              <w:rPr>
                <w:rFonts w:hint="eastAsia"/>
                <w:b/>
                <w:color w:val="FF0000"/>
                <w:szCs w:val="28"/>
              </w:rPr>
              <w:t xml:space="preserve">   </w:t>
            </w:r>
            <w:r>
              <w:rPr>
                <w:rFonts w:ascii="宋体" w:hAnsi="宋体" w:hint="eastAsia"/>
                <w:szCs w:val="28"/>
              </w:rPr>
              <w:t>月</w:t>
            </w:r>
            <w:r>
              <w:rPr>
                <w:rFonts w:hint="eastAsia"/>
                <w:b/>
                <w:color w:val="FF0000"/>
                <w:szCs w:val="28"/>
              </w:rPr>
              <w:t xml:space="preserve">    </w:t>
            </w:r>
            <w:r>
              <w:rPr>
                <w:rFonts w:ascii="宋体" w:hAnsi="宋体" w:hint="eastAsia"/>
                <w:szCs w:val="28"/>
              </w:rPr>
              <w:t>日</w:t>
            </w:r>
          </w:p>
        </w:tc>
      </w:tr>
      <w:tr>
        <w:tblPrEx>
          <w:tblW w:w="9639" w:type="dxa"/>
          <w:tblInd w:w="0" w:type="dxa"/>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ind w:left="5775" w:hanging="945" w:leftChars="2300" w:hangingChars="450"/>
            </w:pPr>
            <w:r>
              <w:rPr>
                <w:rFonts w:hint="eastAsia"/>
              </w:rPr>
              <w:t>教研室主任签名：</w:t>
            </w:r>
          </w:p>
          <w:p>
            <w:pPr>
              <w:spacing w:before="156" w:beforeLines="50"/>
              <w:ind w:firstLine="5355" w:firstLineChars="2550"/>
              <w:rPr>
                <w:b/>
                <w:bCs/>
              </w:rPr>
            </w:pPr>
            <w:r>
              <w:rPr>
                <w:rFonts w:ascii="宋体" w:hAnsi="宋体" w:hint="eastAsia"/>
                <w:szCs w:val="28"/>
              </w:rPr>
              <w:t>年    月     日</w:t>
            </w:r>
            <w:r>
              <w:rPr>
                <w:rFonts w:ascii="宋体" w:hAnsi="宋体"/>
                <w:szCs w:val="28"/>
              </w:rPr>
              <w:t xml:space="preserve">   </w:t>
            </w:r>
          </w:p>
        </w:tc>
      </w:tr>
      <w:tr>
        <w:tblPrEx>
          <w:tblW w:w="9639" w:type="dxa"/>
          <w:tblInd w:w="0" w:type="dxa"/>
          <w:tblCellMar>
            <w:top w:w="0" w:type="dxa"/>
            <w:left w:w="108" w:type="dxa"/>
            <w:bottom w:w="0" w:type="dxa"/>
            <w:right w:w="108" w:type="dxa"/>
          </w:tblCellMar>
        </w:tblPrEx>
        <w:tc>
          <w:tcPr>
            <w:tcW w:w="9639" w:type="dxa"/>
          </w:tcPr>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pPr>
          </w:p>
          <w:p>
            <w:pPr>
              <w:spacing w:before="156" w:beforeLines="50"/>
              <w:ind w:firstLine="5565" w:firstLineChars="2650"/>
              <w:rPr>
                <w:b/>
                <w:bCs/>
              </w:rPr>
            </w:pPr>
            <w:r>
              <w:rPr>
                <w:rFonts w:hint="eastAsia"/>
              </w:rPr>
              <w:t>学生签名：</w:t>
            </w:r>
          </w:p>
        </w:tc>
      </w:tr>
    </w:tbl>
    <w:p>
      <w:pPr>
        <w:sectPr>
          <w:headerReference w:type="default" r:id="rId10"/>
          <w:footerReference w:type="default" r:id="rId11"/>
          <w:type w:val="nextPage"/>
          <w:pgSz w:w="11906" w:h="16838"/>
          <w:pgMar w:top="1418" w:right="1134" w:bottom="1418" w:left="1418" w:header="851" w:footer="851" w:gutter="0"/>
          <w:pgNumType w:start="3"/>
          <w:cols w:num="1" w:space="425"/>
          <w:titlePg w:val="0"/>
          <w:docGrid w:type="lines" w:linePitch="312" w:charSpace="0"/>
        </w:sectPr>
      </w:pPr>
    </w:p>
    <w:p>
      <w:pPr>
        <w:spacing w:before="156" w:beforeLines="50" w:after="156" w:afterLines="50"/>
        <w:ind w:firstLine="1650" w:firstLineChars="550"/>
        <w:rPr>
          <w:rFonts w:eastAsia="黑体"/>
          <w:sz w:val="15"/>
          <w:szCs w:val="15"/>
        </w:rPr>
      </w:pPr>
      <w:r>
        <w:rPr>
          <w:rFonts w:eastAsia="黑体" w:hint="eastAsia"/>
          <w:sz w:val="30"/>
        </w:rPr>
        <w:t>开题报告</w:t>
      </w:r>
      <w:r>
        <w:rPr>
          <w:rFonts w:eastAsia="黑体" w:hint="eastAsia"/>
          <w:sz w:val="15"/>
          <w:szCs w:val="15"/>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96"/>
        <w:gridCol w:w="1592"/>
        <w:gridCol w:w="1005"/>
        <w:gridCol w:w="1669"/>
        <w:gridCol w:w="1114"/>
        <w:gridCol w:w="2594"/>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71"/>
        </w:trPr>
        <w:tc>
          <w:tcPr>
            <w:tcW w:w="834" w:type="pct"/>
            <w:vAlign w:val="center"/>
          </w:tcPr>
          <w:p>
            <w:pPr>
              <w:jc w:val="center"/>
            </w:pPr>
            <w:r>
              <w:rPr>
                <w:rFonts w:hint="eastAsia"/>
              </w:rPr>
              <w:t>学生姓名</w:t>
            </w:r>
          </w:p>
        </w:tc>
        <w:tc>
          <w:tcPr>
            <w:tcW w:w="832" w:type="pct"/>
            <w:vAlign w:val="center"/>
          </w:tcPr>
          <w:p>
            <w:pPr>
              <w:jc w:val="center"/>
            </w:pPr>
          </w:p>
        </w:tc>
        <w:tc>
          <w:tcPr>
            <w:tcW w:w="524" w:type="pct"/>
            <w:vAlign w:val="center"/>
          </w:tcPr>
          <w:p>
            <w:pPr>
              <w:jc w:val="center"/>
            </w:pPr>
            <w:r>
              <w:rPr>
                <w:rFonts w:hint="eastAsia"/>
              </w:rPr>
              <w:t>学 号</w:t>
            </w:r>
          </w:p>
        </w:tc>
        <w:tc>
          <w:tcPr>
            <w:tcW w:w="872" w:type="pct"/>
            <w:vAlign w:val="center"/>
          </w:tcPr>
          <w:p>
            <w:pPr>
              <w:jc w:val="center"/>
            </w:pPr>
          </w:p>
        </w:tc>
        <w:tc>
          <w:tcPr>
            <w:tcW w:w="582" w:type="pct"/>
            <w:vAlign w:val="center"/>
          </w:tcPr>
          <w:p>
            <w:pPr>
              <w:jc w:val="center"/>
            </w:pPr>
            <w:r>
              <w:rPr>
                <w:rFonts w:hint="eastAsia"/>
              </w:rPr>
              <w:t>专业班级</w:t>
            </w:r>
          </w:p>
        </w:tc>
        <w:tc>
          <w:tcPr>
            <w:tcW w:w="1356" w:type="pct"/>
            <w:vAlign w:val="center"/>
          </w:tcPr>
          <w:p>
            <w:pPr>
              <w:jc w:val="center"/>
            </w:pPr>
          </w:p>
        </w:tc>
      </w:tr>
      <w:tr>
        <w:tblPrEx>
          <w:tblW w:w="5000" w:type="pct"/>
          <w:tblInd w:w="0" w:type="dxa"/>
          <w:tblCellMar>
            <w:top w:w="0" w:type="dxa"/>
            <w:left w:w="108" w:type="dxa"/>
            <w:bottom w:w="0" w:type="dxa"/>
            <w:right w:w="108" w:type="dxa"/>
          </w:tblCellMar>
        </w:tblPrEx>
        <w:trPr>
          <w:trHeight w:val="441"/>
        </w:trPr>
        <w:tc>
          <w:tcPr>
            <w:tcW w:w="834" w:type="pct"/>
            <w:vAlign w:val="center"/>
          </w:tcPr>
          <w:p>
            <w:pPr>
              <w:jc w:val="center"/>
            </w:pPr>
            <w:r>
              <w:rPr>
                <w:rFonts w:hint="eastAsia"/>
              </w:rPr>
              <w:t>指导教师</w:t>
            </w:r>
          </w:p>
        </w:tc>
        <w:tc>
          <w:tcPr>
            <w:tcW w:w="832" w:type="pct"/>
            <w:vAlign w:val="center"/>
          </w:tcPr>
          <w:p>
            <w:pPr>
              <w:rPr>
                <w:szCs w:val="21"/>
              </w:rPr>
            </w:pPr>
          </w:p>
        </w:tc>
        <w:tc>
          <w:tcPr>
            <w:tcW w:w="524" w:type="pct"/>
            <w:vAlign w:val="center"/>
          </w:tcPr>
          <w:p>
            <w:pPr>
              <w:jc w:val="center"/>
            </w:pPr>
            <w:r>
              <w:rPr>
                <w:rFonts w:hint="eastAsia"/>
              </w:rPr>
              <w:t>职 称</w:t>
            </w:r>
          </w:p>
        </w:tc>
        <w:tc>
          <w:tcPr>
            <w:tcW w:w="872" w:type="pct"/>
            <w:vAlign w:val="center"/>
          </w:tcPr>
          <w:p>
            <w:pPr>
              <w:jc w:val="center"/>
            </w:pPr>
          </w:p>
        </w:tc>
        <w:tc>
          <w:tcPr>
            <w:tcW w:w="582" w:type="pct"/>
            <w:vAlign w:val="center"/>
          </w:tcPr>
          <w:p>
            <w:pPr>
              <w:jc w:val="center"/>
            </w:pPr>
            <w:r>
              <w:rPr>
                <w:rFonts w:hint="eastAsia"/>
              </w:rPr>
              <w:t>单    位</w:t>
            </w:r>
          </w:p>
        </w:tc>
        <w:tc>
          <w:tcPr>
            <w:tcW w:w="1356" w:type="pct"/>
            <w:vAlign w:val="center"/>
          </w:tcPr>
          <w:p>
            <w:pPr>
              <w:jc w:val="center"/>
            </w:pPr>
          </w:p>
        </w:tc>
      </w:tr>
      <w:tr>
        <w:tblPrEx>
          <w:tblW w:w="5000" w:type="pct"/>
          <w:tblInd w:w="0" w:type="dxa"/>
          <w:tblCellMar>
            <w:top w:w="0" w:type="dxa"/>
            <w:left w:w="108" w:type="dxa"/>
            <w:bottom w:w="0" w:type="dxa"/>
            <w:right w:w="108" w:type="dxa"/>
          </w:tblCellMar>
        </w:tblPrEx>
        <w:trPr>
          <w:trHeight w:val="482"/>
        </w:trPr>
        <w:tc>
          <w:tcPr>
            <w:tcW w:w="834" w:type="pct"/>
            <w:vAlign w:val="center"/>
          </w:tcPr>
          <w:p>
            <w:pPr>
              <w:jc w:val="center"/>
            </w:pPr>
            <w:r>
              <w:rPr>
                <w:rFonts w:hint="eastAsia"/>
              </w:rPr>
              <w:t>课题性质</w:t>
            </w:r>
          </w:p>
        </w:tc>
        <w:tc>
          <w:tcPr>
            <w:tcW w:w="1357" w:type="pct"/>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872" w:type="pct"/>
            <w:vAlign w:val="center"/>
          </w:tcPr>
          <w:p>
            <w:pPr>
              <w:jc w:val="center"/>
            </w:pPr>
            <w:r>
              <w:rPr>
                <w:rFonts w:hint="eastAsia"/>
              </w:rPr>
              <w:t>课题来源</w:t>
            </w:r>
          </w:p>
        </w:tc>
        <w:tc>
          <w:tcPr>
            <w:tcW w:w="1937" w:type="pct"/>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5000" w:type="pct"/>
          <w:tblInd w:w="0" w:type="dxa"/>
          <w:tblCellMar>
            <w:top w:w="0" w:type="dxa"/>
            <w:left w:w="108" w:type="dxa"/>
            <w:bottom w:w="0" w:type="dxa"/>
            <w:right w:w="108" w:type="dxa"/>
          </w:tblCellMar>
        </w:tblPrEx>
        <w:trPr>
          <w:trHeight w:val="561"/>
        </w:trPr>
        <w:tc>
          <w:tcPr>
            <w:tcW w:w="834" w:type="pct"/>
            <w:vAlign w:val="center"/>
          </w:tcPr>
          <w:p>
            <w:pPr>
              <w:jc w:val="center"/>
            </w:pPr>
            <w:r>
              <w:rPr>
                <w:rFonts w:hint="eastAsia"/>
              </w:rPr>
              <w:t>毕业论文题目</w:t>
            </w:r>
          </w:p>
        </w:tc>
        <w:tc>
          <w:tcPr>
            <w:tcW w:w="4166" w:type="pct"/>
            <w:gridSpan w:val="5"/>
            <w:vAlign w:val="center"/>
          </w:tcPr>
          <w:p>
            <w:pPr>
              <w:jc w:val="center"/>
            </w:pPr>
            <w:r>
              <w:rPr>
                <w:rFonts w:hint="eastAsia"/>
              </w:rPr>
              <w:t>关</w:t>
            </w:r>
            <w:r>
              <w:rPr>
                <w:rFonts w:hint="eastAsia"/>
                <w:b/>
                <w:bCs/>
              </w:rPr>
              <w:t>企业物流成本管理问题研究</w:t>
            </w:r>
          </w:p>
        </w:tc>
      </w:tr>
      <w:tr>
        <w:tblPrEx>
          <w:tblW w:w="5000" w:type="pct"/>
          <w:tblInd w:w="0" w:type="dxa"/>
          <w:tblCellMar>
            <w:top w:w="0" w:type="dxa"/>
            <w:left w:w="108" w:type="dxa"/>
            <w:bottom w:w="0" w:type="dxa"/>
            <w:right w:w="108" w:type="dxa"/>
          </w:tblCellMar>
        </w:tblPrEx>
        <w:trPr>
          <w:trHeight w:val="70"/>
        </w:trPr>
        <w:tc>
          <w:tcPr>
            <w:tcW w:w="5000" w:type="pct"/>
            <w:gridSpan w:val="6"/>
          </w:tcPr>
          <w:p>
            <w:pPr>
              <w:spacing w:line="360" w:lineRule="exact"/>
              <w:rPr>
                <w:b/>
                <w:bCs/>
              </w:rPr>
            </w:pPr>
            <w:r>
              <w:rPr>
                <w:rFonts w:hint="eastAsia"/>
                <w:b/>
                <w:bCs/>
              </w:rPr>
              <w:t>开题报告（阐述课题的目的、意义、研究现状、研究内容、研究方案、进度安排、预期结果、参考文献等）</w:t>
            </w:r>
          </w:p>
          <w:p>
            <w:pPr>
              <w:spacing w:line="360" w:lineRule="exact"/>
              <w:rPr>
                <w:b/>
                <w:bCs/>
              </w:rPr>
            </w:pPr>
            <w:r>
              <w:rPr>
                <w:rFonts w:hint="eastAsia"/>
                <w:b/>
                <w:bCs/>
              </w:rPr>
              <w:t>一、论文研究的目的、意义</w:t>
            </w:r>
          </w:p>
          <w:p>
            <w:pPr>
              <w:spacing w:line="360" w:lineRule="exact"/>
              <w:rPr>
                <w:bCs/>
              </w:rPr>
            </w:pPr>
            <w:r>
              <w:rPr>
                <w:rFonts w:hint="eastAsia"/>
                <w:b/>
                <w:bCs/>
              </w:rPr>
              <w:t xml:space="preserve">  </w:t>
            </w:r>
            <w:r>
              <w:rPr>
                <w:bCs/>
              </w:rPr>
              <w:t xml:space="preserve"> </w:t>
            </w:r>
            <w:r>
              <w:rPr>
                <w:rFonts w:hint="eastAsia"/>
                <w:bCs/>
              </w:rPr>
              <w:t xml:space="preserve">  </w:t>
            </w:r>
            <w:r>
              <w:rPr>
                <w:bCs/>
              </w:rPr>
              <w:t>1、</w:t>
            </w:r>
            <w:r>
              <w:rPr>
                <w:rFonts w:hint="eastAsia"/>
                <w:bCs/>
              </w:rPr>
              <w:t>研究目的：本文研究的目的在于能够通过调查现今企业物流成本的现状与存在的缺陷，对其进行分析、评价，提出降低企业物流成本的对策，优化资源配置，从而改进企业对物流成本的控制与管理，实现利润最大化，增强企业的竞争力。</w:t>
            </w:r>
          </w:p>
          <w:p>
            <w:pPr>
              <w:spacing w:line="360" w:lineRule="exact"/>
              <w:rPr>
                <w:bCs/>
              </w:rPr>
            </w:pPr>
            <w:r>
              <w:rPr>
                <w:rFonts w:hint="eastAsia"/>
                <w:bCs/>
              </w:rPr>
              <w:t xml:space="preserve">  </w:t>
            </w:r>
            <w:r>
              <w:rPr>
                <w:bCs/>
              </w:rPr>
              <w:t xml:space="preserve"> </w:t>
            </w:r>
            <w:r>
              <w:rPr>
                <w:rFonts w:hint="eastAsia"/>
                <w:bCs/>
              </w:rPr>
              <w:t xml:space="preserve">  </w:t>
            </w:r>
            <w:r>
              <w:rPr>
                <w:bCs/>
              </w:rPr>
              <w:t>2、</w:t>
            </w:r>
            <w:r>
              <w:rPr>
                <w:rFonts w:hint="eastAsia"/>
                <w:bCs/>
              </w:rPr>
              <w:t>研究意义：</w:t>
            </w:r>
          </w:p>
          <w:p>
            <w:pPr>
              <w:spacing w:line="360" w:lineRule="exact"/>
              <w:ind w:firstLine="420" w:firstLineChars="200"/>
              <w:rPr>
                <w:bCs/>
              </w:rPr>
            </w:pPr>
            <w:r>
              <w:rPr>
                <w:bCs/>
              </w:rPr>
              <w:t>（1）</w:t>
            </w:r>
            <w:r>
              <w:rPr>
                <w:rFonts w:hint="eastAsia"/>
                <w:bCs/>
              </w:rPr>
              <w:t>理论意义：我国对物流管理的研究起步较晚，现今尚未能根据本国的实际情况建立出一套适合国情的物流成本管理理论体系，但作为企业“第三利润源”的物流成本变的越来越重要。通过对企业物流成本管理问题的研究，可以改善企业物流成本单独核算难度大的问题，从而降低物流成本，提高资金利用率和提升企业竞争力。</w:t>
            </w:r>
          </w:p>
          <w:p>
            <w:pPr>
              <w:spacing w:line="360" w:lineRule="exact"/>
              <w:rPr>
                <w:b/>
                <w:bCs/>
              </w:rPr>
            </w:pPr>
            <w:r>
              <w:rPr>
                <w:rFonts w:hint="eastAsia"/>
                <w:bCs/>
              </w:rPr>
              <w:t xml:space="preserve"> </w:t>
            </w:r>
            <w:r>
              <w:rPr>
                <w:bCs/>
              </w:rPr>
              <w:t xml:space="preserve"> </w:t>
            </w:r>
            <w:r>
              <w:rPr>
                <w:rFonts w:hint="eastAsia"/>
                <w:bCs/>
              </w:rPr>
              <w:t xml:space="preserve">  </w:t>
            </w:r>
            <w:r>
              <w:rPr>
                <w:bCs/>
              </w:rPr>
              <w:t>（2）</w:t>
            </w:r>
            <w:r>
              <w:rPr>
                <w:rFonts w:hint="eastAsia"/>
                <w:bCs/>
              </w:rPr>
              <w:t>现实意义：</w:t>
            </w:r>
            <w:r>
              <w:rPr>
                <w:rFonts w:cs="Arial" w:hint="eastAsia"/>
                <w:szCs w:val="21"/>
              </w:rPr>
              <w:t>现今我国尚没有成型的物流成本计算标准，物流成本核算处于杂乱无章状态。由于物流成本构成复杂以及核算难度大，所以每个企业对物流成本的控制与管理都是分散进行的，没有真正全面贯彻落实2006年新颁布的国家标准《企业物流成本构成与计算》，大多数制造企业也没有在财务会计报表中单独设立物流成本项目，而是直接将物流成本列在制造成本和其他费用一栏中，因此企业很难对物流活动发生的费用进行归集与分配，增加了物流成本管理的难度。本文通过理论分析与实际案例相结合的方法，从企业物流成本控制与管理存在的缺陷出发，提出对策来解决企业物流成本管理问题，从而降低企业物流成本。</w:t>
            </w:r>
          </w:p>
          <w:p>
            <w:pPr>
              <w:spacing w:line="360" w:lineRule="exact"/>
              <w:rPr>
                <w:b/>
                <w:bCs/>
              </w:rPr>
            </w:pPr>
            <w:r>
              <w:rPr>
                <w:rFonts w:hint="eastAsia"/>
                <w:b/>
                <w:bCs/>
              </w:rPr>
              <w:t>二、研究现状</w:t>
            </w:r>
          </w:p>
          <w:p>
            <w:pPr>
              <w:spacing w:line="360" w:lineRule="exact"/>
              <w:rPr>
                <w:rFonts w:ascii="宋体" w:hAnsi="宋体"/>
                <w:bCs/>
              </w:rPr>
            </w:pPr>
            <w:r>
              <w:rPr>
                <w:rFonts w:hint="eastAsia"/>
                <w:bCs/>
              </w:rPr>
              <w:t xml:space="preserve"> </w:t>
            </w:r>
            <w:r>
              <w:rPr>
                <w:bCs/>
              </w:rPr>
              <w:t xml:space="preserve">  </w:t>
            </w:r>
            <w:r>
              <w:rPr>
                <w:rFonts w:hint="eastAsia"/>
                <w:bCs/>
              </w:rPr>
              <w:t xml:space="preserve"> </w:t>
            </w:r>
            <w:r>
              <w:rPr>
                <w:bCs/>
              </w:rPr>
              <w:t>1、</w:t>
            </w:r>
            <w:r>
              <w:rPr>
                <w:rFonts w:hint="eastAsia"/>
                <w:bCs/>
              </w:rPr>
              <w:t>国外研究现状：西方国家对于物流，物流管理的研究从20世纪就已经开始，对物流成本的研究也有几十年的历史。目前，关于物流成本的理论学说主要有彼得德鲁克1962年在《财富》杂质发表的《经济的黑色大陆》中指出：“流通是经济领域里的黑色大陆”。日本的早稻田大学西泽修教授在《主要社会的物流战》一书中提出的“物流成本冰山理论”和1970年在《流通费用》里提出的“第三利润源说”。</w:t>
            </w:r>
            <w:r>
              <w:rPr>
                <w:rFonts w:ascii="宋体" w:hAnsi="宋体" w:hint="eastAsia"/>
                <w:bCs/>
              </w:rPr>
              <w:t>1956年,霍华德·T·莱维斯(HowardT.Lewls)、詹姆斯·W·克里顿(James</w:t>
            </w:r>
          </w:p>
          <w:p>
            <w:pPr>
              <w:spacing w:line="360" w:lineRule="exact"/>
              <w:rPr>
                <w:rFonts w:ascii="宋体" w:hAnsi="宋体"/>
                <w:bCs/>
              </w:rPr>
            </w:pPr>
            <w:r>
              <w:rPr>
                <w:rFonts w:ascii="宋体" w:hAnsi="宋体" w:hint="eastAsia"/>
                <w:bCs/>
              </w:rPr>
              <w:t>W.CuLiton)和杰克·D·斯蒂勒(JaekD.steeele)3人撰写《物流中航空货运的作用》一书中提出“物流总成本理论”。</w:t>
            </w:r>
          </w:p>
          <w:p>
            <w:pPr>
              <w:spacing w:after="0" w:line="360" w:lineRule="exact"/>
              <w:ind w:firstLine="315" w:firstLineChars="150"/>
              <w:rPr>
                <w:bCs/>
              </w:rPr>
            </w:pPr>
            <w:r>
              <w:rPr>
                <w:rFonts w:hint="eastAsia"/>
                <w:bCs/>
              </w:rPr>
              <w:t xml:space="preserve"> </w:t>
            </w:r>
            <w:r>
              <w:rPr>
                <w:bCs/>
              </w:rPr>
              <w:t>2、</w:t>
            </w:r>
          </w:p>
        </w:tc>
      </w:tr>
    </w:tbl>
    <w:p>
      <w:pPr>
        <w:sectPr>
          <w:headerReference w:type="default" r:id="rId12"/>
          <w:footerReference w:type="default" r:id="rId13"/>
          <w:type w:val="nextPage"/>
          <w:pgSz w:w="11906" w:h="16838"/>
          <w:pgMar w:top="1418" w:right="1134" w:bottom="1418" w:left="1418" w:header="851" w:footer="851" w:gutter="0"/>
          <w:pgNumType w:start="4"/>
          <w:cols w:num="1" w:space="425"/>
          <w:titlePg w:val="0"/>
          <w:docGrid w:type="lines" w:linePitch="312" w:charSpace="0"/>
        </w:sectPr>
      </w:pP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7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70"/>
        </w:trPr>
        <w:tc>
          <w:tcPr>
            <w:tcW w:w="5000" w:type="pct"/>
          </w:tcPr>
          <w:p>
            <w:pPr>
              <w:spacing w:before="0" w:line="360" w:lineRule="exact"/>
              <w:ind w:firstLine="315" w:firstLineChars="150"/>
              <w:rPr>
                <w:bCs/>
              </w:rPr>
            </w:pPr>
            <w:r>
              <w:rPr>
                <w:rFonts w:hint="eastAsia"/>
                <w:bCs/>
              </w:rPr>
              <w:t>国内研究现状：我国关于物流成本管理的研究起步比较晚，对于物流成本管理理论的研究大多在于介绍外国物流成本管理的研究成果，没能根据我国具体情况作出一套适应我国基本国情的物流成本管理理论。忽略了物理成本的特点，只是从传统成本会计的理论框架内进行最简单的技术性研究。李建华、顾慧珊认为，物流成本是与物流活动分不开的，确定企业的物流成本必须先确定企业的相关物流活动。靳伟则将企业的物流成本分为两大块，分别是企业内部物流费用和企业外部物流费用。著名物流经济分析师王佐将物流成本的计算上升到一个新的理论高度，他指出物流成本与企业其他成本在性质上的最大区别就是物流成本具有以物流服务需求为基准的相对性特点，并且物流成本研究的重点应该放在对物流成本关系上的研究。</w:t>
            </w:r>
          </w:p>
          <w:p>
            <w:pPr>
              <w:spacing w:line="360" w:lineRule="exact"/>
              <w:rPr>
                <w:b/>
                <w:bCs/>
              </w:rPr>
            </w:pPr>
            <w:r>
              <w:rPr>
                <w:rFonts w:hint="eastAsia"/>
                <w:b/>
                <w:bCs/>
              </w:rPr>
              <w:t>三、研究内容</w:t>
            </w:r>
          </w:p>
          <w:p>
            <w:pPr>
              <w:spacing w:line="360" w:lineRule="exact"/>
              <w:rPr>
                <w:bCs/>
              </w:rPr>
            </w:pPr>
            <w:r>
              <w:rPr>
                <w:rFonts w:hint="eastAsia"/>
                <w:bCs/>
              </w:rPr>
              <w:t>1前言</w:t>
            </w:r>
          </w:p>
          <w:p>
            <w:pPr>
              <w:spacing w:line="360" w:lineRule="exact"/>
              <w:rPr>
                <w:bCs/>
              </w:rPr>
            </w:pPr>
            <w:r>
              <w:rPr>
                <w:rFonts w:hint="eastAsia"/>
                <w:bCs/>
              </w:rPr>
              <w:t>2企业物流成本概述</w:t>
            </w:r>
          </w:p>
          <w:p>
            <w:pPr>
              <w:spacing w:line="360" w:lineRule="exact"/>
              <w:rPr>
                <w:bCs/>
              </w:rPr>
            </w:pPr>
            <w:r>
              <w:rPr>
                <w:rFonts w:hint="eastAsia"/>
                <w:bCs/>
              </w:rPr>
              <w:t xml:space="preserve">  2.1物流成本管理的含义</w:t>
            </w:r>
          </w:p>
          <w:p>
            <w:pPr>
              <w:spacing w:line="360" w:lineRule="exact"/>
              <w:ind w:firstLine="210" w:firstLineChars="100"/>
              <w:rPr>
                <w:bCs/>
              </w:rPr>
            </w:pPr>
            <w:r>
              <w:rPr>
                <w:rFonts w:hint="eastAsia"/>
                <w:bCs/>
              </w:rPr>
              <w:t>2.2物流成本的构成</w:t>
            </w:r>
          </w:p>
          <w:p>
            <w:pPr>
              <w:spacing w:line="360" w:lineRule="exact"/>
              <w:ind w:firstLine="210" w:firstLineChars="100"/>
              <w:rPr>
                <w:bCs/>
              </w:rPr>
            </w:pPr>
            <w:r>
              <w:rPr>
                <w:rFonts w:hint="eastAsia"/>
                <w:bCs/>
              </w:rPr>
              <w:t>2.3影响物流成本的因素</w:t>
            </w:r>
          </w:p>
          <w:p>
            <w:pPr>
              <w:spacing w:line="360" w:lineRule="exact"/>
              <w:ind w:firstLine="210" w:firstLineChars="100"/>
              <w:rPr>
                <w:bCs/>
              </w:rPr>
            </w:pPr>
            <w:r>
              <w:rPr>
                <w:rFonts w:hint="eastAsia"/>
                <w:bCs/>
              </w:rPr>
              <w:t>2.4物流成本在企业成本中的地位</w:t>
            </w:r>
          </w:p>
          <w:p>
            <w:pPr>
              <w:spacing w:line="360" w:lineRule="exact"/>
              <w:rPr>
                <w:bCs/>
              </w:rPr>
            </w:pPr>
            <w:r>
              <w:rPr>
                <w:rFonts w:hint="eastAsia"/>
                <w:bCs/>
              </w:rPr>
              <w:t xml:space="preserve">3企业物流成本管理的现状及问题 </w:t>
            </w:r>
          </w:p>
          <w:p>
            <w:pPr>
              <w:spacing w:line="360" w:lineRule="exact"/>
              <w:rPr>
                <w:bCs/>
              </w:rPr>
            </w:pPr>
            <w:r>
              <w:rPr>
                <w:rFonts w:hint="eastAsia"/>
                <w:bCs/>
              </w:rPr>
              <w:t xml:space="preserve">  3.1企业物流成本管理现状</w:t>
            </w:r>
          </w:p>
          <w:p>
            <w:pPr>
              <w:spacing w:line="360" w:lineRule="exact"/>
              <w:rPr>
                <w:bCs/>
              </w:rPr>
            </w:pPr>
            <w:r>
              <w:rPr>
                <w:rFonts w:hint="eastAsia"/>
                <w:bCs/>
              </w:rPr>
              <w:t xml:space="preserve">  3.2企业物流成本管理存在的问题</w:t>
            </w:r>
          </w:p>
          <w:p>
            <w:pPr>
              <w:spacing w:line="360" w:lineRule="exact"/>
              <w:rPr>
                <w:bCs/>
              </w:rPr>
            </w:pPr>
            <w:r>
              <w:rPr>
                <w:rFonts w:hint="eastAsia"/>
                <w:bCs/>
              </w:rPr>
              <w:t xml:space="preserve">     3.2.1按照现行会计核算制度,计算物流成本难度大</w:t>
            </w:r>
          </w:p>
          <w:p>
            <w:pPr>
              <w:spacing w:line="360" w:lineRule="exact"/>
              <w:rPr>
                <w:bCs/>
              </w:rPr>
            </w:pPr>
            <w:r>
              <w:rPr>
                <w:rFonts w:hint="eastAsia"/>
                <w:bCs/>
              </w:rPr>
              <w:t xml:space="preserve">     3.2.2物流成本没有分列记账,难以准确掌握</w:t>
            </w:r>
          </w:p>
          <w:p>
            <w:pPr>
              <w:spacing w:line="360" w:lineRule="exact"/>
              <w:rPr>
                <w:bCs/>
              </w:rPr>
            </w:pPr>
            <w:r>
              <w:rPr>
                <w:rFonts w:hint="eastAsia"/>
                <w:bCs/>
              </w:rPr>
              <w:t xml:space="preserve">     3.2.3物流成本的管理不够系统</w:t>
            </w:r>
          </w:p>
          <w:p>
            <w:pPr>
              <w:spacing w:line="360" w:lineRule="exact"/>
              <w:rPr>
                <w:bCs/>
              </w:rPr>
            </w:pPr>
            <w:r>
              <w:rPr>
                <w:rFonts w:hint="eastAsia"/>
                <w:bCs/>
              </w:rPr>
              <w:t xml:space="preserve">     3.2.4企业自营物流效率低,成本偏高</w:t>
            </w:r>
          </w:p>
          <w:p>
            <w:pPr>
              <w:spacing w:line="360" w:lineRule="exact"/>
              <w:rPr>
                <w:bCs/>
              </w:rPr>
            </w:pPr>
            <w:r>
              <w:rPr>
                <w:rFonts w:hint="eastAsia"/>
                <w:bCs/>
              </w:rPr>
              <w:t>4企业物流成本管理问题解决对策</w:t>
            </w:r>
          </w:p>
          <w:p>
            <w:pPr>
              <w:spacing w:line="360" w:lineRule="exact"/>
              <w:rPr>
                <w:bCs/>
              </w:rPr>
            </w:pPr>
            <w:r>
              <w:rPr>
                <w:rFonts w:hint="eastAsia"/>
                <w:bCs/>
              </w:rPr>
              <w:t xml:space="preserve">  4.1加强物流成本核算，降低物流成本</w:t>
            </w:r>
          </w:p>
          <w:p>
            <w:pPr>
              <w:spacing w:line="360" w:lineRule="exact"/>
              <w:rPr>
                <w:bCs/>
              </w:rPr>
            </w:pPr>
            <w:r>
              <w:rPr>
                <w:rFonts w:hint="eastAsia"/>
                <w:bCs/>
              </w:rPr>
              <w:t xml:space="preserve">  4.2 从成本费用中分离出物流成本</w:t>
            </w:r>
          </w:p>
          <w:p>
            <w:pPr>
              <w:spacing w:line="360" w:lineRule="exact"/>
              <w:rPr>
                <w:bCs/>
              </w:rPr>
            </w:pPr>
            <w:r>
              <w:rPr>
                <w:rFonts w:hint="eastAsia"/>
                <w:bCs/>
              </w:rPr>
              <w:t xml:space="preserve">  4.3构建物流系统,实施科学管理</w:t>
            </w:r>
          </w:p>
          <w:p>
            <w:pPr>
              <w:spacing w:line="360" w:lineRule="exact"/>
              <w:rPr>
                <w:bCs/>
              </w:rPr>
            </w:pPr>
            <w:r>
              <w:rPr>
                <w:rFonts w:hint="eastAsia"/>
                <w:bCs/>
              </w:rPr>
              <w:t xml:space="preserve">  4.4利用物流外包，提高效率</w:t>
            </w:r>
          </w:p>
          <w:p>
            <w:pPr>
              <w:spacing w:line="360" w:lineRule="exact"/>
              <w:rPr>
                <w:bCs/>
              </w:rPr>
            </w:pPr>
            <w:r>
              <w:rPr>
                <w:rFonts w:hint="eastAsia"/>
                <w:bCs/>
              </w:rPr>
              <w:t>5结论</w:t>
            </w:r>
          </w:p>
          <w:p>
            <w:pPr>
              <w:spacing w:line="360" w:lineRule="exact"/>
              <w:rPr>
                <w:bCs/>
              </w:rPr>
            </w:pPr>
            <w:r>
              <w:rPr>
                <w:rFonts w:hint="eastAsia"/>
                <w:bCs/>
              </w:rPr>
              <w:t>参考文献</w:t>
            </w:r>
          </w:p>
          <w:p>
            <w:pPr>
              <w:spacing w:line="360" w:lineRule="exact"/>
              <w:rPr>
                <w:bCs/>
              </w:rPr>
            </w:pPr>
            <w:r>
              <w:rPr>
                <w:rFonts w:hint="eastAsia"/>
                <w:bCs/>
              </w:rPr>
              <w:t>致谢</w:t>
            </w:r>
          </w:p>
          <w:p>
            <w:pPr>
              <w:spacing w:line="360" w:lineRule="exact"/>
              <w:rPr>
                <w:b/>
                <w:bCs/>
              </w:rPr>
            </w:pPr>
            <w:r>
              <w:rPr>
                <w:rFonts w:hint="eastAsia"/>
                <w:b/>
                <w:bCs/>
              </w:rPr>
              <w:t>四、研究方案</w:t>
            </w:r>
          </w:p>
          <w:p>
            <w:pPr>
              <w:spacing w:line="360" w:lineRule="exact"/>
              <w:ind w:firstLine="420" w:firstLineChars="200"/>
            </w:pPr>
            <w:r>
              <w:rPr>
                <w:rFonts w:hint="eastAsia"/>
                <w:bCs/>
              </w:rPr>
              <w:t>1、利用中国知网、维普、万方等数据库完成与毕业论文相关内容的论文的检索；利用图书馆的图书资源查阅相关的理论内容；充分的利用互联网进行资料的检索收集。</w:t>
            </w:r>
          </w:p>
          <w:p>
            <w:pPr>
              <w:spacing w:line="360" w:lineRule="exact"/>
              <w:ind w:firstLine="420" w:firstLineChars="200"/>
              <w:rPr>
                <w:b/>
                <w:color w:val="FF0000"/>
              </w:rPr>
            </w:pPr>
            <w:r>
              <w:rPr>
                <w:bCs/>
              </w:rPr>
              <w:t>2、</w:t>
            </w:r>
            <w:r>
              <w:rPr>
                <w:rFonts w:hint="eastAsia"/>
                <w:bCs/>
              </w:rPr>
              <w:t>运用经验总结法和文献资料法撰写了此文，得出了从财务成本费用中分离物流成本，物流外包等方法能提高物资流通速度、节省物流费用、降低企业物流成本的结论。</w:t>
            </w:r>
          </w:p>
          <w:p>
            <w:pPr>
              <w:spacing w:line="360" w:lineRule="exact"/>
              <w:rPr>
                <w:b/>
              </w:rPr>
            </w:pPr>
            <w:r>
              <w:rPr>
                <w:rFonts w:hint="eastAsia"/>
                <w:b/>
              </w:rPr>
              <w:t>五、进度安排</w:t>
            </w:r>
          </w:p>
          <w:p>
            <w:pPr>
              <w:spacing w:line="360" w:lineRule="exact"/>
              <w:rPr>
                <w:bCs/>
              </w:rPr>
            </w:pPr>
            <w:r>
              <w:rPr>
                <w:rFonts w:hint="eastAsia"/>
              </w:rPr>
              <w:t>1、</w:t>
            </w:r>
            <w:r>
              <w:rPr>
                <w:rFonts w:hint="eastAsia"/>
                <w:bCs/>
              </w:rPr>
              <w:t>确定毕业论文的选题，收集资料，整理资料，完成论文的任务书。2015-10-15至2015-10-31</w:t>
            </w:r>
          </w:p>
          <w:p>
            <w:pPr>
              <w:spacing w:line="360" w:lineRule="exact"/>
              <w:rPr>
                <w:bCs/>
              </w:rPr>
            </w:pPr>
            <w:r>
              <w:rPr>
                <w:rFonts w:hint="eastAsia"/>
                <w:bCs/>
              </w:rPr>
              <w:t>2、编写论文提纲，撰写开题报告，进行开题。2015-11-1至2015-11-20</w:t>
            </w:r>
          </w:p>
          <w:p>
            <w:pPr>
              <w:spacing w:line="360" w:lineRule="exact"/>
              <w:rPr>
                <w:bCs/>
              </w:rPr>
            </w:pPr>
            <w:r>
              <w:rPr>
                <w:rFonts w:hint="eastAsia"/>
                <w:bCs/>
              </w:rPr>
              <w:t>3、实习期间进行一步查找资料，作社会调查。2015-11-21至2015-11-30</w:t>
            </w:r>
          </w:p>
          <w:p>
            <w:pPr>
              <w:spacing w:line="360" w:lineRule="exact"/>
              <w:rPr>
                <w:bCs/>
              </w:rPr>
            </w:pPr>
            <w:r>
              <w:rPr>
                <w:rFonts w:hint="eastAsia"/>
                <w:bCs/>
              </w:rPr>
              <w:t>4、撰写论文，完成第一稿，并交指导教师。2015-12-1至2016-1-15</w:t>
            </w:r>
          </w:p>
          <w:p>
            <w:pPr>
              <w:spacing w:line="360" w:lineRule="exact"/>
              <w:rPr>
                <w:bCs/>
              </w:rPr>
            </w:pPr>
            <w:r>
              <w:rPr>
                <w:rFonts w:ascii="宋体" w:hAnsi="宋体" w:hint="eastAsia"/>
              </w:rPr>
              <w:t>5、</w:t>
            </w:r>
            <w:r>
              <w:rPr>
                <w:rFonts w:hint="eastAsia"/>
                <w:bCs/>
              </w:rPr>
              <w:t>指导教师阅改论文。2016-1-16至2016-1-31</w:t>
            </w:r>
          </w:p>
          <w:p>
            <w:pPr>
              <w:spacing w:line="360" w:lineRule="exact"/>
              <w:rPr>
                <w:bCs/>
              </w:rPr>
            </w:pPr>
            <w:r>
              <w:rPr>
                <w:rFonts w:hint="eastAsia"/>
                <w:bCs/>
              </w:rPr>
              <w:t>6、修改论文，完成第2稿，并交指导教师。2016-2-1至2016-2-29</w:t>
            </w:r>
          </w:p>
          <w:p>
            <w:pPr>
              <w:spacing w:line="360" w:lineRule="exact"/>
              <w:rPr>
                <w:bCs/>
              </w:rPr>
            </w:pPr>
            <w:r>
              <w:rPr>
                <w:rFonts w:hint="eastAsia"/>
                <w:bCs/>
              </w:rPr>
              <w:t>7、指导教师阅改论文，完成中期检查表。2016-3-1至2016-3-15</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https://d.book118.com/666104120205010031</w:t>
        </w:r>
      </w:hyperlink>
    </w:p>
    <w:p/>
    <w:sectPr>
      <w:headerReference w:type="default" r:id="rId15"/>
      <w:footerReference w:type="default" r:id="rId16"/>
      <w:type w:val="nextPage"/>
      <w:pgSz w:w="11906" w:h="16838"/>
      <w:pgMar w:top="1418" w:right="1134" w:bottom="1418" w:left="1418" w:header="851" w:footer="851"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PMingLiU">
    <w:panose1 w:val="02020500000000000000"/>
    <w:charset w:val="88"/>
    <w:family w:val="auto"/>
    <w:pitch w:val="default"/>
    <w:sig w:usb0="A00002FF" w:usb1="28CFFCFA" w:usb2="00000016" w:usb3="00000000" w:csb0="00100001"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E06"/>
    <w:rsid w:val="00001869"/>
    <w:rsid w:val="00001AC8"/>
    <w:rsid w:val="00006725"/>
    <w:rsid w:val="000158E4"/>
    <w:rsid w:val="00027D7B"/>
    <w:rsid w:val="00041D74"/>
    <w:rsid w:val="000466DE"/>
    <w:rsid w:val="00046E33"/>
    <w:rsid w:val="00051E13"/>
    <w:rsid w:val="0005247A"/>
    <w:rsid w:val="000720F0"/>
    <w:rsid w:val="00077031"/>
    <w:rsid w:val="00077937"/>
    <w:rsid w:val="00077F22"/>
    <w:rsid w:val="00082038"/>
    <w:rsid w:val="00083B48"/>
    <w:rsid w:val="00085EFE"/>
    <w:rsid w:val="00087D4D"/>
    <w:rsid w:val="00090542"/>
    <w:rsid w:val="00090EE1"/>
    <w:rsid w:val="00091F7A"/>
    <w:rsid w:val="000942F0"/>
    <w:rsid w:val="000956C7"/>
    <w:rsid w:val="00096F3B"/>
    <w:rsid w:val="000A3B0E"/>
    <w:rsid w:val="000A405F"/>
    <w:rsid w:val="000A6E64"/>
    <w:rsid w:val="000B12AE"/>
    <w:rsid w:val="000C54C4"/>
    <w:rsid w:val="000C768B"/>
    <w:rsid w:val="000D44CA"/>
    <w:rsid w:val="000D5F17"/>
    <w:rsid w:val="000E3F0E"/>
    <w:rsid w:val="000F3B90"/>
    <w:rsid w:val="000F41EF"/>
    <w:rsid w:val="000F449F"/>
    <w:rsid w:val="000F7C78"/>
    <w:rsid w:val="00100554"/>
    <w:rsid w:val="00100AD5"/>
    <w:rsid w:val="00100DE9"/>
    <w:rsid w:val="00101043"/>
    <w:rsid w:val="00101B0E"/>
    <w:rsid w:val="001020B9"/>
    <w:rsid w:val="00107242"/>
    <w:rsid w:val="00107735"/>
    <w:rsid w:val="00110BFE"/>
    <w:rsid w:val="00115986"/>
    <w:rsid w:val="00115A4B"/>
    <w:rsid w:val="00115CA2"/>
    <w:rsid w:val="00127D92"/>
    <w:rsid w:val="00131CFA"/>
    <w:rsid w:val="001366D6"/>
    <w:rsid w:val="00137E3C"/>
    <w:rsid w:val="00140A23"/>
    <w:rsid w:val="001416F2"/>
    <w:rsid w:val="00147A45"/>
    <w:rsid w:val="001501B0"/>
    <w:rsid w:val="001501C1"/>
    <w:rsid w:val="001514CA"/>
    <w:rsid w:val="00154EBB"/>
    <w:rsid w:val="001606D9"/>
    <w:rsid w:val="00162A16"/>
    <w:rsid w:val="00163F3E"/>
    <w:rsid w:val="001706E1"/>
    <w:rsid w:val="00171CA9"/>
    <w:rsid w:val="001762DF"/>
    <w:rsid w:val="00182BBB"/>
    <w:rsid w:val="00185670"/>
    <w:rsid w:val="0018647D"/>
    <w:rsid w:val="001865D5"/>
    <w:rsid w:val="001915E6"/>
    <w:rsid w:val="0019218C"/>
    <w:rsid w:val="00192CB0"/>
    <w:rsid w:val="00195C5F"/>
    <w:rsid w:val="001A01D3"/>
    <w:rsid w:val="001A3E4B"/>
    <w:rsid w:val="001A6375"/>
    <w:rsid w:val="001B4AB6"/>
    <w:rsid w:val="001B4D22"/>
    <w:rsid w:val="001B4FBD"/>
    <w:rsid w:val="001B5010"/>
    <w:rsid w:val="001C656A"/>
    <w:rsid w:val="001D7649"/>
    <w:rsid w:val="001E2C0F"/>
    <w:rsid w:val="001E5BF9"/>
    <w:rsid w:val="001F05EE"/>
    <w:rsid w:val="001F07DC"/>
    <w:rsid w:val="001F0C3C"/>
    <w:rsid w:val="001F6E69"/>
    <w:rsid w:val="00203599"/>
    <w:rsid w:val="002052C8"/>
    <w:rsid w:val="00211981"/>
    <w:rsid w:val="00221D44"/>
    <w:rsid w:val="002265DB"/>
    <w:rsid w:val="002349BD"/>
    <w:rsid w:val="0024122E"/>
    <w:rsid w:val="0024503A"/>
    <w:rsid w:val="0026505F"/>
    <w:rsid w:val="00266B4E"/>
    <w:rsid w:val="00272557"/>
    <w:rsid w:val="00280EA3"/>
    <w:rsid w:val="00290A6D"/>
    <w:rsid w:val="0029182D"/>
    <w:rsid w:val="002918B7"/>
    <w:rsid w:val="00297FA8"/>
    <w:rsid w:val="002A2154"/>
    <w:rsid w:val="002A376C"/>
    <w:rsid w:val="002A4ACF"/>
    <w:rsid w:val="002A6D06"/>
    <w:rsid w:val="002B0A38"/>
    <w:rsid w:val="002B2D05"/>
    <w:rsid w:val="002B33B5"/>
    <w:rsid w:val="002B6C01"/>
    <w:rsid w:val="002C4C12"/>
    <w:rsid w:val="002C4E10"/>
    <w:rsid w:val="002D0E7D"/>
    <w:rsid w:val="002D1996"/>
    <w:rsid w:val="002D3EDC"/>
    <w:rsid w:val="002D63FE"/>
    <w:rsid w:val="002E5317"/>
    <w:rsid w:val="002F18BE"/>
    <w:rsid w:val="002F22B6"/>
    <w:rsid w:val="002F405B"/>
    <w:rsid w:val="002F66EA"/>
    <w:rsid w:val="002F7B08"/>
    <w:rsid w:val="0030063C"/>
    <w:rsid w:val="003015BC"/>
    <w:rsid w:val="00310215"/>
    <w:rsid w:val="00310C5B"/>
    <w:rsid w:val="00312533"/>
    <w:rsid w:val="00326EBC"/>
    <w:rsid w:val="003352D6"/>
    <w:rsid w:val="003354BE"/>
    <w:rsid w:val="00337834"/>
    <w:rsid w:val="00340587"/>
    <w:rsid w:val="00340EF8"/>
    <w:rsid w:val="00351102"/>
    <w:rsid w:val="00352D38"/>
    <w:rsid w:val="00355890"/>
    <w:rsid w:val="003563B4"/>
    <w:rsid w:val="003570F4"/>
    <w:rsid w:val="00363CF3"/>
    <w:rsid w:val="003722DE"/>
    <w:rsid w:val="003751A9"/>
    <w:rsid w:val="00382642"/>
    <w:rsid w:val="00382AEB"/>
    <w:rsid w:val="00384C9D"/>
    <w:rsid w:val="003861BB"/>
    <w:rsid w:val="00390F4D"/>
    <w:rsid w:val="00391914"/>
    <w:rsid w:val="00391B30"/>
    <w:rsid w:val="00397FB4"/>
    <w:rsid w:val="003A6DE3"/>
    <w:rsid w:val="003B4734"/>
    <w:rsid w:val="003B73FC"/>
    <w:rsid w:val="003C3372"/>
    <w:rsid w:val="003C5809"/>
    <w:rsid w:val="003C6605"/>
    <w:rsid w:val="003C7BED"/>
    <w:rsid w:val="003D510B"/>
    <w:rsid w:val="003D51FE"/>
    <w:rsid w:val="003D5997"/>
    <w:rsid w:val="003E1B3C"/>
    <w:rsid w:val="003E516E"/>
    <w:rsid w:val="003E59AB"/>
    <w:rsid w:val="003E775A"/>
    <w:rsid w:val="003F043E"/>
    <w:rsid w:val="003F76F0"/>
    <w:rsid w:val="00402BD8"/>
    <w:rsid w:val="0041050B"/>
    <w:rsid w:val="004123C2"/>
    <w:rsid w:val="00412A73"/>
    <w:rsid w:val="00414AEE"/>
    <w:rsid w:val="00416181"/>
    <w:rsid w:val="0041687D"/>
    <w:rsid w:val="0042168B"/>
    <w:rsid w:val="00425352"/>
    <w:rsid w:val="0042589A"/>
    <w:rsid w:val="00433E0D"/>
    <w:rsid w:val="00434454"/>
    <w:rsid w:val="00434B4D"/>
    <w:rsid w:val="004361E3"/>
    <w:rsid w:val="0043791E"/>
    <w:rsid w:val="00443773"/>
    <w:rsid w:val="004451BB"/>
    <w:rsid w:val="00447CD6"/>
    <w:rsid w:val="004551A8"/>
    <w:rsid w:val="00455404"/>
    <w:rsid w:val="0045723C"/>
    <w:rsid w:val="00466B32"/>
    <w:rsid w:val="00485346"/>
    <w:rsid w:val="00486724"/>
    <w:rsid w:val="00487CEE"/>
    <w:rsid w:val="00487F88"/>
    <w:rsid w:val="0049526E"/>
    <w:rsid w:val="004A0274"/>
    <w:rsid w:val="004A3E60"/>
    <w:rsid w:val="004A4EE0"/>
    <w:rsid w:val="004A733A"/>
    <w:rsid w:val="004B30B8"/>
    <w:rsid w:val="004B5158"/>
    <w:rsid w:val="004B6A21"/>
    <w:rsid w:val="004B6CAA"/>
    <w:rsid w:val="004C54A7"/>
    <w:rsid w:val="004D3E49"/>
    <w:rsid w:val="004D5D5D"/>
    <w:rsid w:val="004D625E"/>
    <w:rsid w:val="004D7713"/>
    <w:rsid w:val="004E709B"/>
    <w:rsid w:val="004F1962"/>
    <w:rsid w:val="004F3BAC"/>
    <w:rsid w:val="004F5C93"/>
    <w:rsid w:val="004F63BC"/>
    <w:rsid w:val="004F6995"/>
    <w:rsid w:val="005013A9"/>
    <w:rsid w:val="00524E0A"/>
    <w:rsid w:val="00527ED8"/>
    <w:rsid w:val="00532392"/>
    <w:rsid w:val="00536D94"/>
    <w:rsid w:val="00552E0B"/>
    <w:rsid w:val="00555683"/>
    <w:rsid w:val="00561B7D"/>
    <w:rsid w:val="00562DB2"/>
    <w:rsid w:val="00564CD9"/>
    <w:rsid w:val="00570B99"/>
    <w:rsid w:val="0057319F"/>
    <w:rsid w:val="00574A9F"/>
    <w:rsid w:val="005762CD"/>
    <w:rsid w:val="005764AE"/>
    <w:rsid w:val="00580897"/>
    <w:rsid w:val="00590702"/>
    <w:rsid w:val="00593669"/>
    <w:rsid w:val="0059656F"/>
    <w:rsid w:val="005974B8"/>
    <w:rsid w:val="005A6943"/>
    <w:rsid w:val="005A736F"/>
    <w:rsid w:val="005A7C7D"/>
    <w:rsid w:val="005B3056"/>
    <w:rsid w:val="005B521C"/>
    <w:rsid w:val="005D115E"/>
    <w:rsid w:val="005D1CDE"/>
    <w:rsid w:val="005D22A6"/>
    <w:rsid w:val="005D4609"/>
    <w:rsid w:val="005E1160"/>
    <w:rsid w:val="005E377F"/>
    <w:rsid w:val="005E37AA"/>
    <w:rsid w:val="005E42BF"/>
    <w:rsid w:val="005F2693"/>
    <w:rsid w:val="005F285D"/>
    <w:rsid w:val="005F5BAE"/>
    <w:rsid w:val="005F646C"/>
    <w:rsid w:val="006007F7"/>
    <w:rsid w:val="0060088C"/>
    <w:rsid w:val="00601070"/>
    <w:rsid w:val="006038BE"/>
    <w:rsid w:val="00611FCC"/>
    <w:rsid w:val="00612238"/>
    <w:rsid w:val="006123A6"/>
    <w:rsid w:val="00613718"/>
    <w:rsid w:val="00613E28"/>
    <w:rsid w:val="00623E83"/>
    <w:rsid w:val="006243AF"/>
    <w:rsid w:val="00624711"/>
    <w:rsid w:val="0062569A"/>
    <w:rsid w:val="00625CF8"/>
    <w:rsid w:val="00626198"/>
    <w:rsid w:val="00626A21"/>
    <w:rsid w:val="00634D19"/>
    <w:rsid w:val="00635DB0"/>
    <w:rsid w:val="00637321"/>
    <w:rsid w:val="00641653"/>
    <w:rsid w:val="006434A0"/>
    <w:rsid w:val="00654D9D"/>
    <w:rsid w:val="00662155"/>
    <w:rsid w:val="00667729"/>
    <w:rsid w:val="0068054D"/>
    <w:rsid w:val="00681FAF"/>
    <w:rsid w:val="006820F9"/>
    <w:rsid w:val="00694E5A"/>
    <w:rsid w:val="006A1366"/>
    <w:rsid w:val="006A33BB"/>
    <w:rsid w:val="006A4499"/>
    <w:rsid w:val="006B0DC5"/>
    <w:rsid w:val="006B1D5B"/>
    <w:rsid w:val="006B7938"/>
    <w:rsid w:val="006C2813"/>
    <w:rsid w:val="006C447A"/>
    <w:rsid w:val="006D0CA6"/>
    <w:rsid w:val="006D18C1"/>
    <w:rsid w:val="006D4B3D"/>
    <w:rsid w:val="006D77D0"/>
    <w:rsid w:val="006E487D"/>
    <w:rsid w:val="006E6AEB"/>
    <w:rsid w:val="006F0F24"/>
    <w:rsid w:val="006F5DFC"/>
    <w:rsid w:val="00701C7F"/>
    <w:rsid w:val="007063F6"/>
    <w:rsid w:val="0071178D"/>
    <w:rsid w:val="007128C9"/>
    <w:rsid w:val="00717FAC"/>
    <w:rsid w:val="00722916"/>
    <w:rsid w:val="00723BC9"/>
    <w:rsid w:val="007268D0"/>
    <w:rsid w:val="00732971"/>
    <w:rsid w:val="007330EA"/>
    <w:rsid w:val="00734225"/>
    <w:rsid w:val="007419AF"/>
    <w:rsid w:val="00744352"/>
    <w:rsid w:val="0075050C"/>
    <w:rsid w:val="007528EE"/>
    <w:rsid w:val="00753561"/>
    <w:rsid w:val="007548BE"/>
    <w:rsid w:val="007568B9"/>
    <w:rsid w:val="00757881"/>
    <w:rsid w:val="00765CB3"/>
    <w:rsid w:val="00773389"/>
    <w:rsid w:val="007800D2"/>
    <w:rsid w:val="00780F94"/>
    <w:rsid w:val="0078212B"/>
    <w:rsid w:val="00782A1D"/>
    <w:rsid w:val="00791900"/>
    <w:rsid w:val="00792108"/>
    <w:rsid w:val="007944EA"/>
    <w:rsid w:val="0079630D"/>
    <w:rsid w:val="00796998"/>
    <w:rsid w:val="007A01F6"/>
    <w:rsid w:val="007A0DF8"/>
    <w:rsid w:val="007A3308"/>
    <w:rsid w:val="007A5288"/>
    <w:rsid w:val="007A5C09"/>
    <w:rsid w:val="007A64E0"/>
    <w:rsid w:val="007B0E0B"/>
    <w:rsid w:val="007B1428"/>
    <w:rsid w:val="007B23EB"/>
    <w:rsid w:val="007B6E06"/>
    <w:rsid w:val="007C3960"/>
    <w:rsid w:val="007C3996"/>
    <w:rsid w:val="007C5AC7"/>
    <w:rsid w:val="007C6002"/>
    <w:rsid w:val="007D5910"/>
    <w:rsid w:val="007D6AE1"/>
    <w:rsid w:val="007E0B4D"/>
    <w:rsid w:val="007E1BD6"/>
    <w:rsid w:val="007E2413"/>
    <w:rsid w:val="007E6049"/>
    <w:rsid w:val="007F0C6C"/>
    <w:rsid w:val="007F5C02"/>
    <w:rsid w:val="00802ADA"/>
    <w:rsid w:val="00804FCD"/>
    <w:rsid w:val="00805644"/>
    <w:rsid w:val="00816780"/>
    <w:rsid w:val="00820D7C"/>
    <w:rsid w:val="00833147"/>
    <w:rsid w:val="008354E7"/>
    <w:rsid w:val="00837488"/>
    <w:rsid w:val="00846E7B"/>
    <w:rsid w:val="00855D81"/>
    <w:rsid w:val="00861E5A"/>
    <w:rsid w:val="00865718"/>
    <w:rsid w:val="00875CB0"/>
    <w:rsid w:val="008839D3"/>
    <w:rsid w:val="00885A0F"/>
    <w:rsid w:val="00885D4A"/>
    <w:rsid w:val="0088793C"/>
    <w:rsid w:val="00893BB5"/>
    <w:rsid w:val="008A0A33"/>
    <w:rsid w:val="008A0E32"/>
    <w:rsid w:val="008A187F"/>
    <w:rsid w:val="008A1C5E"/>
    <w:rsid w:val="008A2A92"/>
    <w:rsid w:val="008B248B"/>
    <w:rsid w:val="008B612A"/>
    <w:rsid w:val="008B68D9"/>
    <w:rsid w:val="008C22E6"/>
    <w:rsid w:val="008C23C9"/>
    <w:rsid w:val="008C27E1"/>
    <w:rsid w:val="008D0458"/>
    <w:rsid w:val="008D27A9"/>
    <w:rsid w:val="008D392D"/>
    <w:rsid w:val="008D4F2F"/>
    <w:rsid w:val="008F18B9"/>
    <w:rsid w:val="008F7DD4"/>
    <w:rsid w:val="00906BB3"/>
    <w:rsid w:val="00906C93"/>
    <w:rsid w:val="0091405A"/>
    <w:rsid w:val="009178E3"/>
    <w:rsid w:val="00917901"/>
    <w:rsid w:val="0092211A"/>
    <w:rsid w:val="00925E48"/>
    <w:rsid w:val="00931E02"/>
    <w:rsid w:val="009338A7"/>
    <w:rsid w:val="00933D3D"/>
    <w:rsid w:val="0093423C"/>
    <w:rsid w:val="00936BD0"/>
    <w:rsid w:val="00940D91"/>
    <w:rsid w:val="00947DAD"/>
    <w:rsid w:val="00952E65"/>
    <w:rsid w:val="00953123"/>
    <w:rsid w:val="009659E4"/>
    <w:rsid w:val="00973B5F"/>
    <w:rsid w:val="00977A27"/>
    <w:rsid w:val="0098016A"/>
    <w:rsid w:val="00980485"/>
    <w:rsid w:val="009824E9"/>
    <w:rsid w:val="009849E4"/>
    <w:rsid w:val="009904B8"/>
    <w:rsid w:val="00990D46"/>
    <w:rsid w:val="009942AC"/>
    <w:rsid w:val="009A21C7"/>
    <w:rsid w:val="009A2224"/>
    <w:rsid w:val="009A6209"/>
    <w:rsid w:val="009A66D5"/>
    <w:rsid w:val="009B0E29"/>
    <w:rsid w:val="009B1C5B"/>
    <w:rsid w:val="009B2C5C"/>
    <w:rsid w:val="009D3D54"/>
    <w:rsid w:val="009D7F6A"/>
    <w:rsid w:val="009E35A8"/>
    <w:rsid w:val="009E5465"/>
    <w:rsid w:val="009E5888"/>
    <w:rsid w:val="009F315D"/>
    <w:rsid w:val="00A073B3"/>
    <w:rsid w:val="00A07CD2"/>
    <w:rsid w:val="00A105CC"/>
    <w:rsid w:val="00A12326"/>
    <w:rsid w:val="00A20627"/>
    <w:rsid w:val="00A25EFC"/>
    <w:rsid w:val="00A316CD"/>
    <w:rsid w:val="00A368CF"/>
    <w:rsid w:val="00A374DD"/>
    <w:rsid w:val="00A5174B"/>
    <w:rsid w:val="00A5184C"/>
    <w:rsid w:val="00A531C1"/>
    <w:rsid w:val="00A53E0D"/>
    <w:rsid w:val="00A556CB"/>
    <w:rsid w:val="00A64B3A"/>
    <w:rsid w:val="00A652A1"/>
    <w:rsid w:val="00A66394"/>
    <w:rsid w:val="00A72FB0"/>
    <w:rsid w:val="00A72FF6"/>
    <w:rsid w:val="00A80C6F"/>
    <w:rsid w:val="00A811C3"/>
    <w:rsid w:val="00A9732C"/>
    <w:rsid w:val="00AA0F2F"/>
    <w:rsid w:val="00AA5208"/>
    <w:rsid w:val="00AA711E"/>
    <w:rsid w:val="00AA7B80"/>
    <w:rsid w:val="00AB6BF3"/>
    <w:rsid w:val="00AC293D"/>
    <w:rsid w:val="00AC371D"/>
    <w:rsid w:val="00AC7591"/>
    <w:rsid w:val="00AD0C0E"/>
    <w:rsid w:val="00AD3F4B"/>
    <w:rsid w:val="00AD6E1D"/>
    <w:rsid w:val="00AD7ED9"/>
    <w:rsid w:val="00AE233D"/>
    <w:rsid w:val="00AE395F"/>
    <w:rsid w:val="00AE7D0D"/>
    <w:rsid w:val="00AF1DDA"/>
    <w:rsid w:val="00AF36F0"/>
    <w:rsid w:val="00AF7ACF"/>
    <w:rsid w:val="00AF7EDB"/>
    <w:rsid w:val="00B01654"/>
    <w:rsid w:val="00B035E2"/>
    <w:rsid w:val="00B04B4F"/>
    <w:rsid w:val="00B063E0"/>
    <w:rsid w:val="00B1122C"/>
    <w:rsid w:val="00B12E9C"/>
    <w:rsid w:val="00B13539"/>
    <w:rsid w:val="00B1547D"/>
    <w:rsid w:val="00B16DE8"/>
    <w:rsid w:val="00B203EC"/>
    <w:rsid w:val="00B212EC"/>
    <w:rsid w:val="00B245DB"/>
    <w:rsid w:val="00B27510"/>
    <w:rsid w:val="00B27B50"/>
    <w:rsid w:val="00B319EA"/>
    <w:rsid w:val="00B340FA"/>
    <w:rsid w:val="00B35092"/>
    <w:rsid w:val="00B43120"/>
    <w:rsid w:val="00B4416A"/>
    <w:rsid w:val="00B44FCE"/>
    <w:rsid w:val="00B45B51"/>
    <w:rsid w:val="00B533A2"/>
    <w:rsid w:val="00B677AD"/>
    <w:rsid w:val="00B7069D"/>
    <w:rsid w:val="00B71A0E"/>
    <w:rsid w:val="00B76CEF"/>
    <w:rsid w:val="00B77EC8"/>
    <w:rsid w:val="00B82E68"/>
    <w:rsid w:val="00B84015"/>
    <w:rsid w:val="00B8408A"/>
    <w:rsid w:val="00B8779F"/>
    <w:rsid w:val="00B878B7"/>
    <w:rsid w:val="00B87F7C"/>
    <w:rsid w:val="00B9059B"/>
    <w:rsid w:val="00B92C3C"/>
    <w:rsid w:val="00B9687A"/>
    <w:rsid w:val="00B9741A"/>
    <w:rsid w:val="00BA1C82"/>
    <w:rsid w:val="00BA2A16"/>
    <w:rsid w:val="00BA392D"/>
    <w:rsid w:val="00BA3B04"/>
    <w:rsid w:val="00BA6E60"/>
    <w:rsid w:val="00BB2214"/>
    <w:rsid w:val="00BB224D"/>
    <w:rsid w:val="00BB25D8"/>
    <w:rsid w:val="00BB54F1"/>
    <w:rsid w:val="00BB761B"/>
    <w:rsid w:val="00BC1F77"/>
    <w:rsid w:val="00BD0A9B"/>
    <w:rsid w:val="00BD2FE1"/>
    <w:rsid w:val="00BE0464"/>
    <w:rsid w:val="00BE05CF"/>
    <w:rsid w:val="00BE64D0"/>
    <w:rsid w:val="00BE75DD"/>
    <w:rsid w:val="00BF1CA5"/>
    <w:rsid w:val="00BF39F7"/>
    <w:rsid w:val="00BF59D8"/>
    <w:rsid w:val="00BF7D78"/>
    <w:rsid w:val="00C0045D"/>
    <w:rsid w:val="00C02F0F"/>
    <w:rsid w:val="00C102AB"/>
    <w:rsid w:val="00C22677"/>
    <w:rsid w:val="00C25600"/>
    <w:rsid w:val="00C33AD5"/>
    <w:rsid w:val="00C33DD4"/>
    <w:rsid w:val="00C341B4"/>
    <w:rsid w:val="00C35881"/>
    <w:rsid w:val="00C36349"/>
    <w:rsid w:val="00C363DC"/>
    <w:rsid w:val="00C36992"/>
    <w:rsid w:val="00C37154"/>
    <w:rsid w:val="00C41853"/>
    <w:rsid w:val="00C418B2"/>
    <w:rsid w:val="00C422DB"/>
    <w:rsid w:val="00C4252D"/>
    <w:rsid w:val="00C443C9"/>
    <w:rsid w:val="00C455C0"/>
    <w:rsid w:val="00C56163"/>
    <w:rsid w:val="00C62774"/>
    <w:rsid w:val="00C65160"/>
    <w:rsid w:val="00C658BC"/>
    <w:rsid w:val="00C65946"/>
    <w:rsid w:val="00C65FF6"/>
    <w:rsid w:val="00C66B08"/>
    <w:rsid w:val="00C72419"/>
    <w:rsid w:val="00C75105"/>
    <w:rsid w:val="00C831A3"/>
    <w:rsid w:val="00C834DE"/>
    <w:rsid w:val="00C83CCC"/>
    <w:rsid w:val="00C901E1"/>
    <w:rsid w:val="00C90860"/>
    <w:rsid w:val="00C9634F"/>
    <w:rsid w:val="00C97CCD"/>
    <w:rsid w:val="00CB5794"/>
    <w:rsid w:val="00CB767F"/>
    <w:rsid w:val="00CB7B00"/>
    <w:rsid w:val="00CC1F85"/>
    <w:rsid w:val="00CC2803"/>
    <w:rsid w:val="00CC3612"/>
    <w:rsid w:val="00CC5F83"/>
    <w:rsid w:val="00CD0BB6"/>
    <w:rsid w:val="00CD29AC"/>
    <w:rsid w:val="00CD5E97"/>
    <w:rsid w:val="00CD6346"/>
    <w:rsid w:val="00CE3CE8"/>
    <w:rsid w:val="00CE40EC"/>
    <w:rsid w:val="00CE551E"/>
    <w:rsid w:val="00CF3A4A"/>
    <w:rsid w:val="00CF4203"/>
    <w:rsid w:val="00CF487D"/>
    <w:rsid w:val="00CF4D44"/>
    <w:rsid w:val="00D10F9C"/>
    <w:rsid w:val="00D16B19"/>
    <w:rsid w:val="00D20A48"/>
    <w:rsid w:val="00D24352"/>
    <w:rsid w:val="00D3034A"/>
    <w:rsid w:val="00D328D3"/>
    <w:rsid w:val="00D33260"/>
    <w:rsid w:val="00D36920"/>
    <w:rsid w:val="00D4076F"/>
    <w:rsid w:val="00D42DB5"/>
    <w:rsid w:val="00D43EED"/>
    <w:rsid w:val="00D52AEE"/>
    <w:rsid w:val="00D53302"/>
    <w:rsid w:val="00D55E68"/>
    <w:rsid w:val="00D565F1"/>
    <w:rsid w:val="00D57E50"/>
    <w:rsid w:val="00D62FD0"/>
    <w:rsid w:val="00D7199D"/>
    <w:rsid w:val="00D72B06"/>
    <w:rsid w:val="00D73279"/>
    <w:rsid w:val="00D82C6B"/>
    <w:rsid w:val="00D8726F"/>
    <w:rsid w:val="00D87DCA"/>
    <w:rsid w:val="00D9171A"/>
    <w:rsid w:val="00D920F5"/>
    <w:rsid w:val="00D93FD4"/>
    <w:rsid w:val="00D9429A"/>
    <w:rsid w:val="00DA40B9"/>
    <w:rsid w:val="00DA603C"/>
    <w:rsid w:val="00DB3F08"/>
    <w:rsid w:val="00DB46B1"/>
    <w:rsid w:val="00DC79CE"/>
    <w:rsid w:val="00DD5A4D"/>
    <w:rsid w:val="00DD6C41"/>
    <w:rsid w:val="00DE0BD1"/>
    <w:rsid w:val="00DE2025"/>
    <w:rsid w:val="00DE21DD"/>
    <w:rsid w:val="00DE617B"/>
    <w:rsid w:val="00DE62A7"/>
    <w:rsid w:val="00DE6FA7"/>
    <w:rsid w:val="00DF6023"/>
    <w:rsid w:val="00DF75E2"/>
    <w:rsid w:val="00E00DBA"/>
    <w:rsid w:val="00E02A29"/>
    <w:rsid w:val="00E10009"/>
    <w:rsid w:val="00E21E1D"/>
    <w:rsid w:val="00E23C09"/>
    <w:rsid w:val="00E266D4"/>
    <w:rsid w:val="00E30D93"/>
    <w:rsid w:val="00E33704"/>
    <w:rsid w:val="00E35FF4"/>
    <w:rsid w:val="00E4317B"/>
    <w:rsid w:val="00E52515"/>
    <w:rsid w:val="00E57F02"/>
    <w:rsid w:val="00E62384"/>
    <w:rsid w:val="00E62A91"/>
    <w:rsid w:val="00E663F3"/>
    <w:rsid w:val="00E71257"/>
    <w:rsid w:val="00E71F85"/>
    <w:rsid w:val="00E756B9"/>
    <w:rsid w:val="00E80F0B"/>
    <w:rsid w:val="00E824C6"/>
    <w:rsid w:val="00E83E6D"/>
    <w:rsid w:val="00E87AB4"/>
    <w:rsid w:val="00E87F76"/>
    <w:rsid w:val="00E9446A"/>
    <w:rsid w:val="00E960FC"/>
    <w:rsid w:val="00EA0A25"/>
    <w:rsid w:val="00EA3014"/>
    <w:rsid w:val="00EA4E66"/>
    <w:rsid w:val="00EA562F"/>
    <w:rsid w:val="00EA7C84"/>
    <w:rsid w:val="00EB3A27"/>
    <w:rsid w:val="00EB71C3"/>
    <w:rsid w:val="00EC1799"/>
    <w:rsid w:val="00EC1F44"/>
    <w:rsid w:val="00ED4240"/>
    <w:rsid w:val="00EE1480"/>
    <w:rsid w:val="00EE2920"/>
    <w:rsid w:val="00EE3EAC"/>
    <w:rsid w:val="00EF03F9"/>
    <w:rsid w:val="00EF1A13"/>
    <w:rsid w:val="00F04E7D"/>
    <w:rsid w:val="00F06C58"/>
    <w:rsid w:val="00F077FE"/>
    <w:rsid w:val="00F07915"/>
    <w:rsid w:val="00F122C3"/>
    <w:rsid w:val="00F1352F"/>
    <w:rsid w:val="00F16F3F"/>
    <w:rsid w:val="00F21695"/>
    <w:rsid w:val="00F21DA6"/>
    <w:rsid w:val="00F241CC"/>
    <w:rsid w:val="00F25AD5"/>
    <w:rsid w:val="00F2685C"/>
    <w:rsid w:val="00F30545"/>
    <w:rsid w:val="00F31539"/>
    <w:rsid w:val="00F325D3"/>
    <w:rsid w:val="00F41002"/>
    <w:rsid w:val="00F46D97"/>
    <w:rsid w:val="00F473CF"/>
    <w:rsid w:val="00F47757"/>
    <w:rsid w:val="00F47C79"/>
    <w:rsid w:val="00F52FB9"/>
    <w:rsid w:val="00F7393E"/>
    <w:rsid w:val="00F76ACC"/>
    <w:rsid w:val="00F81EC8"/>
    <w:rsid w:val="00F946B3"/>
    <w:rsid w:val="00F974EA"/>
    <w:rsid w:val="00FA10A1"/>
    <w:rsid w:val="00FA1FE9"/>
    <w:rsid w:val="00FA4E25"/>
    <w:rsid w:val="00FA52E2"/>
    <w:rsid w:val="00FA661A"/>
    <w:rsid w:val="00FB0698"/>
    <w:rsid w:val="00FB0C77"/>
    <w:rsid w:val="00FB366C"/>
    <w:rsid w:val="00FC44B0"/>
    <w:rsid w:val="00FC6B0F"/>
    <w:rsid w:val="00FC757F"/>
    <w:rsid w:val="00FD0F1F"/>
    <w:rsid w:val="00FD5E36"/>
    <w:rsid w:val="00FE30BD"/>
    <w:rsid w:val="00FE76D7"/>
    <w:rsid w:val="00FF0502"/>
    <w:rsid w:val="00FF3D10"/>
    <w:rsid w:val="00FF7E9C"/>
    <w:rsid w:val="0B425AF0"/>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lsdException w:name="Table Simple 1" w:semiHidden="0" w:uiPriority="0" w:unhideWhenUsed="0" w:qFormat="1"/>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spacing w:line="300" w:lineRule="auto"/>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style>
  <w:style w:type="paragraph" w:styleId="BodyText">
    <w:name w:val="Body Text"/>
    <w:basedOn w:val="Normal"/>
    <w:autoRedefine/>
    <w:qFormat/>
    <w:pPr>
      <w:spacing w:line="360" w:lineRule="auto"/>
    </w:pPr>
    <w:rPr>
      <w:sz w:val="24"/>
    </w:rPr>
  </w:style>
  <w:style w:type="paragraph" w:styleId="BodyTextIndent">
    <w:name w:val="Body Text Indent"/>
    <w:basedOn w:val="Normal"/>
    <w:autoRedefine/>
    <w:qFormat/>
    <w:pPr>
      <w:ind w:firstLine="480" w:firstLineChars="200"/>
      <w:jc w:val="left"/>
    </w:pPr>
    <w:rPr>
      <w:sz w:val="24"/>
    </w:rPr>
  </w:style>
  <w:style w:type="paragraph" w:styleId="BodyTextIndent2">
    <w:name w:val="Body Text Indent 2"/>
    <w:basedOn w:val="Normal"/>
    <w:pPr>
      <w:spacing w:line="400" w:lineRule="exact"/>
      <w:ind w:firstLine="480" w:firstLineChars="200"/>
    </w:pPr>
    <w:rPr>
      <w:sz w:val="24"/>
    </w:rPr>
  </w:style>
  <w:style w:type="paragraph" w:styleId="BalloonText">
    <w:name w:val="Balloon Text"/>
    <w:basedOn w:val="Normal"/>
    <w:autoRedefine/>
    <w:semiHidden/>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itle">
    <w:name w:val="Title"/>
    <w:basedOn w:val="Normal"/>
    <w:autoRedefine/>
    <w:qFormat/>
    <w:pPr>
      <w:jc w:val="center"/>
    </w:pPr>
    <w:rPr>
      <w:b/>
      <w:bCs/>
      <w:sz w:val="32"/>
    </w:rPr>
  </w:style>
  <w:style w:type="paragraph" w:styleId="CommentSubject">
    <w:name w:val="annotation subject"/>
    <w:basedOn w:val="CommentText"/>
    <w:next w:val="CommentText"/>
    <w:autoRedefine/>
    <w:semiHidden/>
    <w:rPr>
      <w:b/>
      <w:bCs/>
    </w:rPr>
  </w:style>
  <w:style w:type="table" w:styleId="TableGrid">
    <w:name w:val="Table Grid"/>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Simple1">
    <w:name w:val="Table Simple 1"/>
    <w:basedOn w:val="TableNormal"/>
    <w:qFormat/>
    <w:pPr>
      <w:widowControl w:val="0"/>
      <w:jc w:val="both"/>
    </w:pPr>
    <w:tblPr>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character" w:styleId="PageNumber">
    <w:name w:val="page number"/>
    <w:basedOn w:val="DefaultParagraphFont"/>
  </w:style>
  <w:style w:type="character" w:styleId="CommentReference">
    <w:name w:val="annotation reference"/>
    <w:basedOn w:val="DefaultParagraphFont"/>
    <w:autoRedefine/>
    <w:semiHidden/>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https://d.book118.com/666104120205010031"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231"/>
    <customShpInfo spid="_x0000_s1232"/>
    <customShpInfo spid="_x0000_s1233"/>
    <customShpInfo spid="_x0000_s1235"/>
    <customShpInfo spid="_x0000_s1236"/>
    <customShpInfo spid="_x0000_s1237"/>
    <customShpInfo spid="_x0000_s1234"/>
    <customShpInfo spid="_x0000_s1230"/>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78A334-20D1-40E7-B499-BA6BDDB6DC8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19988</Words>
  <Characters>16402</Characters>
  <Application>Microsoft Office Word</Application>
  <DocSecurity>0</DocSecurity>
  <Lines>136</Lines>
  <Paragraphs>72</Paragraphs>
  <ScaleCrop>false</ScaleCrop>
  <Company>jwc</Company>
  <LinksUpToDate>false</LinksUpToDate>
  <CharactersWithSpaces>36318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河北大学本科生毕业论文（设计）模板</dc:title>
  <dc:creator>zs2</dc:creator>
  <cp:lastModifiedBy>ABEEL</cp:lastModifiedBy>
  <cp:revision>16</cp:revision>
  <cp:lastPrinted>2011-11-11T06:34:00Z</cp:lastPrinted>
  <dcterms:created xsi:type="dcterms:W3CDTF">2006-02-28T02:50:00Z</dcterms:created>
  <dcterms:modified xsi:type="dcterms:W3CDTF">2024-01-05T02:43:29Z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3DA9465D928742D7BE5E800E8E3D750B_13</vt:lpwstr>
  </property>
  <property fmtid="{D5CDD505-2E9C-101B-9397-08002B2CF9AE}" pid="3" name="KSOProductBuildVer">
    <vt:lpwstr>2052-12.1.0.16120</vt:lpwstr>
  </property>
</Properties>
</file>