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ackground w:color="e7e6e6">
    <v:background id="_x0000_s1025" w:themeColor="background2" o:bwmode="white" filled="t" fillcolor="#e7e6e6">
      <v:fill r:id="rId4" o:title=" 5%" type="pattern"/>
    </v:background>
  </w:background>
  <w:body>
    <w:p w:rsidR="00C56C52" w:rsidRPr="004F69AC" w:rsidP="00A57FAC" w14:paraId="4426B3FE" w14:textId="77777777">
      <w:pPr>
        <w:jc w:val="center"/>
        <w:rPr>
          <w:rFonts w:ascii="宋体" w:eastAsia="宋体" w:hAnsi="宋体" w:cs="宋体"/>
          <w:color w:val="000000"/>
          <w:kern w:val="0"/>
          <w:sz w:val="24"/>
          <w:szCs w:val="24"/>
        </w:rPr>
      </w:pPr>
      <w:r w:rsidRPr="004F69AC">
        <w:rPr>
          <w:rFonts w:ascii="宋体" w:eastAsia="宋体" w:hAnsi="宋体" w:cs="宋体"/>
          <w:color w:val="000000"/>
          <w:kern w:val="0"/>
          <w:sz w:val="24"/>
          <w:szCs w:val="24"/>
        </w:rPr>
        <w:t>2023年期货投资分析判断题大全(一)</w:t>
      </w:r>
    </w:p>
    <w:p w:rsidR="00513A70" w:rsidRPr="004F69AC" w:rsidP="004F69AC" w14:paraId="00477ACF" w14:textId="61EEE1CD">
      <w:pPr>
        <w:pStyle w:val="Heading2"/>
        <w:jc w:val="left"/>
        <w:rPr>
          <w:rFonts w:ascii="宋体" w:eastAsia="宋体" w:hAnsi="宋体"/>
          <w:b w:val="0"/>
          <w:bCs w:val="0"/>
          <w:sz w:val="24"/>
          <w:szCs w:val="24"/>
        </w:rPr>
      </w:pPr>
      <w:r w:rsidRPr="004F69AC">
        <w:rPr>
          <w:rFonts w:ascii="宋体" w:eastAsia="宋体" w:hAnsi="宋体" w:hint="eastAsia"/>
          <w:b w:val="0"/>
          <w:bCs w:val="0"/>
          <w:sz w:val="24"/>
          <w:szCs w:val="24"/>
        </w:rPr>
        <w:t>一</w:t>
      </w:r>
      <w:r w:rsidRPr="004F69AC">
        <w:rPr>
          <w:rFonts w:ascii="宋体" w:eastAsia="宋体" w:hAnsi="宋体" w:hint="eastAsia"/>
          <w:b w:val="0"/>
          <w:bCs w:val="0"/>
          <w:sz w:val="24"/>
          <w:szCs w:val="24"/>
        </w:rPr>
        <w:t>、判断题</w:t>
      </w:r>
      <w:r w:rsidRPr="004F69AC">
        <w:rPr>
          <w:rFonts w:ascii="宋体" w:eastAsia="宋体" w:hAnsi="宋体" w:hint="eastAsia"/>
          <w:b w:val="0"/>
          <w:bCs w:val="0"/>
          <w:sz w:val="24"/>
          <w:szCs w:val="24"/>
        </w:rPr>
        <w:t>（</w:t>
      </w:r>
      <w:r w:rsidRPr="004F69AC" w:rsidR="00007296">
        <w:rPr>
          <w:rFonts w:ascii="宋体" w:eastAsia="宋体" w:hAnsi="宋体" w:hint="eastAsia"/>
          <w:b w:val="0"/>
          <w:bCs w:val="0"/>
          <w:sz w:val="24"/>
          <w:szCs w:val="24"/>
        </w:rPr>
        <w:t>共</w:t>
      </w:r>
      <w:r w:rsidRPr="004F69AC" w:rsidR="00007296">
        <w:rPr>
          <w:rFonts w:ascii="宋体" w:eastAsia="宋体" w:hAnsi="宋体"/>
          <w:b w:val="0"/>
          <w:bCs w:val="0"/>
          <w:sz w:val="24"/>
          <w:szCs w:val="24"/>
        </w:rPr>
        <w:t>40</w:t>
      </w:r>
      <w:r w:rsidRPr="004F69AC" w:rsidR="00007296">
        <w:rPr>
          <w:rFonts w:ascii="宋体" w:eastAsia="宋体" w:hAnsi="宋体" w:hint="eastAsia"/>
          <w:b w:val="0"/>
          <w:bCs w:val="0"/>
          <w:sz w:val="24"/>
          <w:szCs w:val="24"/>
        </w:rPr>
        <w:t>题，</w:t>
      </w:r>
      <w:r w:rsidRPr="004F69AC">
        <w:rPr>
          <w:rFonts w:ascii="宋体" w:eastAsia="宋体" w:hAnsi="宋体" w:hint="eastAsia"/>
          <w:b w:val="0"/>
          <w:bCs w:val="0"/>
          <w:sz w:val="24"/>
          <w:szCs w:val="24"/>
        </w:rPr>
        <w:t>每小题</w:t>
      </w:r>
      <w:r w:rsidRPr="004F69AC">
        <w:rPr>
          <w:rFonts w:ascii="宋体" w:eastAsia="宋体" w:hAnsi="宋体"/>
          <w:b w:val="0"/>
          <w:bCs w:val="0"/>
          <w:sz w:val="24"/>
          <w:szCs w:val="24"/>
        </w:rPr>
        <w:t xml:space="preserve">2.5 </w:t>
      </w:r>
      <w:r w:rsidRPr="004F69AC">
        <w:rPr>
          <w:rFonts w:ascii="宋体" w:eastAsia="宋体" w:hAnsi="宋体" w:hint="eastAsia"/>
          <w:b w:val="0"/>
          <w:bCs w:val="0"/>
          <w:sz w:val="24"/>
          <w:szCs w:val="24"/>
        </w:rPr>
        <w:t>分，</w:t>
      </w:r>
      <w:r w:rsidRPr="004F69AC">
        <w:rPr>
          <w:rFonts w:ascii="宋体" w:eastAsia="宋体" w:hAnsi="宋体" w:hint="eastAsia"/>
          <w:b w:val="0"/>
          <w:bCs w:val="0"/>
          <w:sz w:val="24"/>
          <w:szCs w:val="24"/>
        </w:rPr>
        <w:t xml:space="preserve">共 </w:t>
      </w:r>
      <w:r w:rsidRPr="004F69AC">
        <w:rPr>
          <w:rFonts w:ascii="宋体" w:eastAsia="宋体" w:hAnsi="宋体"/>
          <w:b w:val="0"/>
          <w:bCs w:val="0"/>
          <w:sz w:val="24"/>
          <w:szCs w:val="24"/>
        </w:rPr>
        <w:t>100</w:t>
      </w:r>
      <w:r w:rsidRPr="004F69AC">
        <w:rPr>
          <w:rFonts w:ascii="宋体" w:eastAsia="宋体" w:hAnsi="宋体" w:hint="eastAsia"/>
          <w:b w:val="0"/>
          <w:bCs w:val="0"/>
          <w:sz w:val="24"/>
          <w:szCs w:val="24"/>
        </w:rPr>
        <w:t>分）</w:t>
      </w:r>
    </w:p>
    <w:p w:rsidR="00513A70" w:rsidRPr="004F69AC" w:rsidP="00C92839" w14:paraId="62A9C84F" w14:textId="10AC68DB">
      <w:pPr>
        <w:pStyle w:val="NoSpacing"/>
        <w:spacing w:line="360" w:lineRule="auto"/>
        <w:rPr>
          <w:rFonts w:ascii="宋体" w:eastAsia="宋体" w:hAnsi="宋体"/>
          <w:sz w:val="24"/>
          <w:szCs w:val="24"/>
        </w:rPr>
      </w:pPr>
      <w:r w:rsidRPr="004F69AC">
        <w:rPr>
          <w:rFonts w:ascii="宋体" w:eastAsia="宋体" w:hAnsi="宋体" w:hint="eastAsia"/>
          <w:sz w:val="24"/>
          <w:szCs w:val="24"/>
        </w:rPr>
        <w:t>（ ）</w:t>
      </w:r>
      <w:r w:rsidRPr="004F69AC">
        <w:rPr>
          <w:rFonts w:ascii="宋体" w:eastAsia="宋体" w:hAnsi="宋体"/>
          <w:sz w:val="24"/>
          <w:szCs w:val="24"/>
        </w:rPr>
        <w:t>1、压力测试在某个产品层面进行时，测试的精确性可能比其他层面更高。</w:t>
      </w:r>
      <w:r w:rsidRPr="004F69AC">
        <w:rPr>
          <w:rFonts w:ascii="宋体" w:eastAsia="宋体" w:hAnsi="宋体" w:hint="eastAsia"/>
          <w:sz w:val="24"/>
          <w:szCs w:val="24"/>
        </w:rPr>
        <w:t xml:space="preserve"> </w:t>
      </w:r>
      <w:r w:rsidRPr="004F69AC">
        <w:rPr>
          <w:rFonts w:ascii="宋体" w:eastAsia="宋体" w:hAnsi="宋体"/>
          <w:sz w:val="24"/>
          <w:szCs w:val="24"/>
        </w:rPr>
        <w:t xml:space="preserve"> </w:t>
      </w:r>
    </w:p>
    <w:p w:rsidR="00513A70" w:rsidRPr="004F69AC" w:rsidP="00C92839" w14:textId="10AC68DB">
      <w:pPr>
        <w:pStyle w:val="NoSpacing"/>
        <w:spacing w:line="360" w:lineRule="auto"/>
        <w:rPr>
          <w:rFonts w:ascii="宋体" w:eastAsia="宋体" w:hAnsi="宋体"/>
          <w:sz w:val="24"/>
          <w:szCs w:val="24"/>
        </w:rPr>
      </w:pPr>
      <w:r w:rsidRPr="004F69AC">
        <w:rPr>
          <w:rFonts w:ascii="宋体" w:eastAsia="宋体" w:hAnsi="宋体" w:hint="eastAsia"/>
          <w:sz w:val="24"/>
          <w:szCs w:val="24"/>
        </w:rPr>
        <w:t>（ ）</w:t>
      </w:r>
      <w:r w:rsidRPr="004F69AC">
        <w:rPr>
          <w:rFonts w:ascii="宋体" w:eastAsia="宋体" w:hAnsi="宋体"/>
          <w:sz w:val="24"/>
          <w:szCs w:val="24"/>
        </w:rPr>
        <w:t>2、进出口企业对外汇风险规避策略的要求是：能够平抑汇率波动风险以减少收支外币的不确定性。</w:t>
      </w:r>
      <w:r w:rsidRPr="004F69AC">
        <w:rPr>
          <w:rFonts w:ascii="宋体" w:eastAsia="宋体" w:hAnsi="宋体" w:hint="eastAsia"/>
          <w:sz w:val="24"/>
          <w:szCs w:val="24"/>
        </w:rPr>
        <w:t xml:space="preserve"> </w:t>
      </w:r>
      <w:r w:rsidRPr="004F69AC">
        <w:rPr>
          <w:rFonts w:ascii="宋体" w:eastAsia="宋体" w:hAnsi="宋体"/>
          <w:sz w:val="24"/>
          <w:szCs w:val="24"/>
        </w:rPr>
        <w:t xml:space="preserve"> </w:t>
      </w:r>
    </w:p>
    <w:p w:rsidR="00513A70" w:rsidRPr="004F69AC" w:rsidP="00C92839" w14:textId="10AC68DB">
      <w:pPr>
        <w:pStyle w:val="NoSpacing"/>
        <w:spacing w:line="360" w:lineRule="auto"/>
        <w:rPr>
          <w:rFonts w:ascii="宋体" w:eastAsia="宋体" w:hAnsi="宋体"/>
          <w:sz w:val="24"/>
          <w:szCs w:val="24"/>
        </w:rPr>
      </w:pPr>
      <w:r w:rsidRPr="004F69AC">
        <w:rPr>
          <w:rFonts w:ascii="宋体" w:eastAsia="宋体" w:hAnsi="宋体" w:hint="eastAsia"/>
          <w:sz w:val="24"/>
          <w:szCs w:val="24"/>
        </w:rPr>
        <w:t>（ ）</w:t>
      </w:r>
      <w:r w:rsidRPr="004F69AC">
        <w:rPr>
          <w:rFonts w:ascii="宋体" w:eastAsia="宋体" w:hAnsi="宋体"/>
          <w:sz w:val="24"/>
          <w:szCs w:val="24"/>
        </w:rPr>
        <w:t>3、新兴市场更有可能获取超额收益，系统风险比成熟市场小，吸引了大量的投资者。</w:t>
      </w:r>
      <w:r w:rsidRPr="004F69AC">
        <w:rPr>
          <w:rFonts w:ascii="宋体" w:eastAsia="宋体" w:hAnsi="宋体" w:hint="eastAsia"/>
          <w:sz w:val="24"/>
          <w:szCs w:val="24"/>
        </w:rPr>
        <w:t xml:space="preserve"> </w:t>
      </w:r>
      <w:r w:rsidRPr="004F69AC">
        <w:rPr>
          <w:rFonts w:ascii="宋体" w:eastAsia="宋体" w:hAnsi="宋体"/>
          <w:sz w:val="24"/>
          <w:szCs w:val="24"/>
        </w:rPr>
        <w:t xml:space="preserve"> </w:t>
      </w:r>
    </w:p>
    <w:p w:rsidR="00513A70" w:rsidRPr="004F69AC" w:rsidP="00C92839" w14:textId="10AC68DB">
      <w:pPr>
        <w:pStyle w:val="NoSpacing"/>
        <w:spacing w:line="360" w:lineRule="auto"/>
        <w:rPr>
          <w:rFonts w:ascii="宋体" w:eastAsia="宋体" w:hAnsi="宋体"/>
          <w:sz w:val="24"/>
          <w:szCs w:val="24"/>
        </w:rPr>
      </w:pPr>
      <w:r w:rsidRPr="004F69AC">
        <w:rPr>
          <w:rFonts w:ascii="宋体" w:eastAsia="宋体" w:hAnsi="宋体" w:hint="eastAsia"/>
          <w:sz w:val="24"/>
          <w:szCs w:val="24"/>
        </w:rPr>
        <w:t>（ ）</w:t>
      </w:r>
      <w:r w:rsidRPr="004F69AC">
        <w:rPr>
          <w:rFonts w:ascii="宋体" w:eastAsia="宋体" w:hAnsi="宋体"/>
          <w:sz w:val="24"/>
          <w:szCs w:val="24"/>
        </w:rPr>
        <w:t>4、在场外衍生品市场中，远期协议是交易规模最大的。</w:t>
      </w:r>
      <w:r w:rsidRPr="004F69AC">
        <w:rPr>
          <w:rFonts w:ascii="宋体" w:eastAsia="宋体" w:hAnsi="宋体" w:hint="eastAsia"/>
          <w:sz w:val="24"/>
          <w:szCs w:val="24"/>
        </w:rPr>
        <w:t xml:space="preserve"> </w:t>
      </w:r>
      <w:r w:rsidRPr="004F69AC">
        <w:rPr>
          <w:rFonts w:ascii="宋体" w:eastAsia="宋体" w:hAnsi="宋体"/>
          <w:sz w:val="24"/>
          <w:szCs w:val="24"/>
        </w:rPr>
        <w:t xml:space="preserve"> </w:t>
      </w:r>
    </w:p>
    <w:p w:rsidR="00513A70" w:rsidRPr="004F69AC" w:rsidP="00C92839" w14:textId="10AC68DB">
      <w:pPr>
        <w:pStyle w:val="NoSpacing"/>
        <w:spacing w:line="360" w:lineRule="auto"/>
        <w:rPr>
          <w:rFonts w:ascii="宋体" w:eastAsia="宋体" w:hAnsi="宋体"/>
          <w:sz w:val="24"/>
          <w:szCs w:val="24"/>
        </w:rPr>
      </w:pPr>
      <w:r w:rsidRPr="004F69AC">
        <w:rPr>
          <w:rFonts w:ascii="宋体" w:eastAsia="宋体" w:hAnsi="宋体" w:hint="eastAsia"/>
          <w:sz w:val="24"/>
          <w:szCs w:val="24"/>
        </w:rPr>
        <w:t>（ ）</w:t>
      </w:r>
      <w:r w:rsidRPr="004F69AC">
        <w:rPr>
          <w:rFonts w:ascii="宋体" w:eastAsia="宋体" w:hAnsi="宋体"/>
          <w:sz w:val="24"/>
          <w:szCs w:val="24"/>
        </w:rPr>
        <w:t>5、央行货币互换的运作机制可以有效规避汇率风险，降低汇兑费用。</w:t>
      </w:r>
      <w:r w:rsidRPr="004F69AC">
        <w:rPr>
          <w:rFonts w:ascii="宋体" w:eastAsia="宋体" w:hAnsi="宋体" w:hint="eastAsia"/>
          <w:sz w:val="24"/>
          <w:szCs w:val="24"/>
        </w:rPr>
        <w:t xml:space="preserve"> </w:t>
      </w:r>
      <w:r w:rsidRPr="004F69AC">
        <w:rPr>
          <w:rFonts w:ascii="宋体" w:eastAsia="宋体" w:hAnsi="宋体"/>
          <w:sz w:val="24"/>
          <w:szCs w:val="24"/>
        </w:rPr>
        <w:t xml:space="preserve"> </w:t>
      </w:r>
    </w:p>
    <w:p w:rsidR="00513A70" w:rsidRPr="004F69AC" w:rsidP="00C92839" w14:textId="10AC68DB">
      <w:pPr>
        <w:pStyle w:val="NoSpacing"/>
        <w:spacing w:line="360" w:lineRule="auto"/>
        <w:rPr>
          <w:rFonts w:ascii="宋体" w:eastAsia="宋体" w:hAnsi="宋体"/>
          <w:sz w:val="24"/>
          <w:szCs w:val="24"/>
        </w:rPr>
      </w:pPr>
      <w:r w:rsidRPr="004F69AC">
        <w:rPr>
          <w:rFonts w:ascii="宋体" w:eastAsia="宋体" w:hAnsi="宋体" w:hint="eastAsia"/>
          <w:sz w:val="24"/>
          <w:szCs w:val="24"/>
        </w:rPr>
        <w:t>（ ）</w:t>
      </w:r>
      <w:r w:rsidRPr="004F69AC">
        <w:rPr>
          <w:rFonts w:ascii="宋体" w:eastAsia="宋体" w:hAnsi="宋体"/>
          <w:sz w:val="24"/>
          <w:szCs w:val="24"/>
        </w:rPr>
        <w:t>6、当金融市场的名义利率比较低，而且收益率曲线呈现较为陡峭的正向形态时，追求高投资收益的投资者通常会选择逆向浮动利率票据。</w:t>
      </w:r>
      <w:r w:rsidRPr="004F69AC">
        <w:rPr>
          <w:rFonts w:ascii="宋体" w:eastAsia="宋体" w:hAnsi="宋体" w:hint="eastAsia"/>
          <w:sz w:val="24"/>
          <w:szCs w:val="24"/>
        </w:rPr>
        <w:t xml:space="preserve"> </w:t>
      </w:r>
      <w:r w:rsidRPr="004F69AC">
        <w:rPr>
          <w:rFonts w:ascii="宋体" w:eastAsia="宋体" w:hAnsi="宋体"/>
          <w:sz w:val="24"/>
          <w:szCs w:val="24"/>
        </w:rPr>
        <w:t xml:space="preserve"> </w:t>
      </w:r>
    </w:p>
    <w:p w:rsidR="00513A70" w:rsidRPr="004F69AC" w:rsidP="00C92839" w14:textId="10AC68DB">
      <w:pPr>
        <w:pStyle w:val="NoSpacing"/>
        <w:spacing w:line="360" w:lineRule="auto"/>
        <w:rPr>
          <w:rFonts w:ascii="宋体" w:eastAsia="宋体" w:hAnsi="宋体"/>
          <w:sz w:val="24"/>
          <w:szCs w:val="24"/>
        </w:rPr>
      </w:pPr>
      <w:r w:rsidRPr="004F69AC">
        <w:rPr>
          <w:rFonts w:ascii="宋体" w:eastAsia="宋体" w:hAnsi="宋体" w:hint="eastAsia"/>
          <w:sz w:val="24"/>
          <w:szCs w:val="24"/>
        </w:rPr>
        <w:t>（ ）</w:t>
      </w:r>
      <w:r w:rsidRPr="004F69AC">
        <w:rPr>
          <w:rFonts w:ascii="宋体" w:eastAsia="宋体" w:hAnsi="宋体"/>
          <w:sz w:val="24"/>
          <w:szCs w:val="24"/>
        </w:rPr>
        <w:t>7、中国的GDP数据由中国国家统计局发布，其中，年度GDP初步核算数据一般在年后45天公布。</w:t>
      </w:r>
      <w:r w:rsidRPr="004F69AC">
        <w:rPr>
          <w:rFonts w:ascii="宋体" w:eastAsia="宋体" w:hAnsi="宋体" w:hint="eastAsia"/>
          <w:sz w:val="24"/>
          <w:szCs w:val="24"/>
        </w:rPr>
        <w:t xml:space="preserve"> </w:t>
      </w:r>
      <w:r w:rsidRPr="004F69AC">
        <w:rPr>
          <w:rFonts w:ascii="宋体" w:eastAsia="宋体" w:hAnsi="宋体"/>
          <w:sz w:val="24"/>
          <w:szCs w:val="24"/>
        </w:rPr>
        <w:t xml:space="preserve"> </w:t>
      </w:r>
    </w:p>
    <w:p w:rsidR="00513A70" w:rsidRPr="004F69AC" w:rsidP="00C92839" w14:textId="10AC68DB">
      <w:pPr>
        <w:pStyle w:val="NoSpacing"/>
        <w:spacing w:line="360" w:lineRule="auto"/>
        <w:rPr>
          <w:rFonts w:ascii="宋体" w:eastAsia="宋体" w:hAnsi="宋体"/>
          <w:sz w:val="24"/>
          <w:szCs w:val="24"/>
        </w:rPr>
      </w:pPr>
      <w:r w:rsidRPr="004F69AC">
        <w:rPr>
          <w:rFonts w:ascii="宋体" w:eastAsia="宋体" w:hAnsi="宋体" w:hint="eastAsia"/>
          <w:sz w:val="24"/>
          <w:szCs w:val="24"/>
        </w:rPr>
        <w:t>（ ）</w:t>
      </w:r>
      <w:r w:rsidRPr="004F69AC">
        <w:rPr>
          <w:rFonts w:ascii="宋体" w:eastAsia="宋体" w:hAnsi="宋体"/>
          <w:sz w:val="24"/>
          <w:szCs w:val="24"/>
        </w:rPr>
        <w:t>8、基准汇价是中国人民银行每日公布的人民币兑美元、欧元、日元、港币的市场交易中间价。</w:t>
      </w:r>
      <w:r w:rsidRPr="004F69AC">
        <w:rPr>
          <w:rFonts w:ascii="宋体" w:eastAsia="宋体" w:hAnsi="宋体" w:hint="eastAsia"/>
          <w:sz w:val="24"/>
          <w:szCs w:val="24"/>
        </w:rPr>
        <w:t xml:space="preserve"> </w:t>
      </w:r>
      <w:r w:rsidRPr="004F69AC">
        <w:rPr>
          <w:rFonts w:ascii="宋体" w:eastAsia="宋体" w:hAnsi="宋体"/>
          <w:sz w:val="24"/>
          <w:szCs w:val="24"/>
        </w:rPr>
        <w:t xml:space="preserve"> </w:t>
      </w:r>
    </w:p>
    <w:p w:rsidR="00513A70" w:rsidRPr="004F69AC" w:rsidP="00C92839" w14:textId="10AC68DB">
      <w:pPr>
        <w:pStyle w:val="NoSpacing"/>
        <w:spacing w:line="360" w:lineRule="auto"/>
        <w:rPr>
          <w:rFonts w:ascii="宋体" w:eastAsia="宋体" w:hAnsi="宋体"/>
          <w:sz w:val="24"/>
          <w:szCs w:val="24"/>
        </w:rPr>
      </w:pPr>
      <w:r w:rsidRPr="004F69AC">
        <w:rPr>
          <w:rFonts w:ascii="宋体" w:eastAsia="宋体" w:hAnsi="宋体" w:hint="eastAsia"/>
          <w:sz w:val="24"/>
          <w:szCs w:val="24"/>
        </w:rPr>
        <w:t>（ ）</w:t>
      </w:r>
      <w:r w:rsidRPr="004F69AC">
        <w:rPr>
          <w:rFonts w:ascii="宋体" w:eastAsia="宋体" w:hAnsi="宋体"/>
          <w:sz w:val="24"/>
          <w:szCs w:val="24"/>
        </w:rPr>
        <w:t>9、互换是指交易双方同意在约定的时间长度内，按照指定货币以约定的形式交换一系列现金流支付的行为。</w:t>
      </w:r>
      <w:r w:rsidRPr="004F69AC">
        <w:rPr>
          <w:rFonts w:ascii="宋体" w:eastAsia="宋体" w:hAnsi="宋体" w:hint="eastAsia"/>
          <w:sz w:val="24"/>
          <w:szCs w:val="24"/>
        </w:rPr>
        <w:t xml:space="preserve"> </w:t>
      </w:r>
      <w:r w:rsidRPr="004F69AC">
        <w:rPr>
          <w:rFonts w:ascii="宋体" w:eastAsia="宋体" w:hAnsi="宋体"/>
          <w:sz w:val="24"/>
          <w:szCs w:val="24"/>
        </w:rPr>
        <w:t xml:space="preserve"> </w:t>
      </w:r>
    </w:p>
    <w:p w:rsidR="00513A70" w:rsidRPr="004F69AC" w:rsidP="00C92839" w14:textId="10AC68DB">
      <w:pPr>
        <w:pStyle w:val="NoSpacing"/>
        <w:spacing w:line="360" w:lineRule="auto"/>
        <w:rPr>
          <w:rFonts w:ascii="宋体" w:eastAsia="宋体" w:hAnsi="宋体"/>
          <w:sz w:val="24"/>
          <w:szCs w:val="24"/>
        </w:rPr>
      </w:pPr>
      <w:r w:rsidRPr="004F69AC">
        <w:rPr>
          <w:rFonts w:ascii="宋体" w:eastAsia="宋体" w:hAnsi="宋体" w:hint="eastAsia"/>
          <w:sz w:val="24"/>
          <w:szCs w:val="24"/>
        </w:rPr>
        <w:t>（ ）</w:t>
      </w:r>
      <w:r w:rsidRPr="004F69AC">
        <w:rPr>
          <w:rFonts w:ascii="宋体" w:eastAsia="宋体" w:hAnsi="宋体"/>
          <w:sz w:val="24"/>
          <w:szCs w:val="24"/>
        </w:rPr>
        <w:t>10、基差卖方风险主要集中在与基差买方签订合同后的阶段。</w:t>
      </w:r>
      <w:r w:rsidRPr="004F69AC">
        <w:rPr>
          <w:rFonts w:ascii="宋体" w:eastAsia="宋体" w:hAnsi="宋体" w:hint="eastAsia"/>
          <w:sz w:val="24"/>
          <w:szCs w:val="24"/>
        </w:rPr>
        <w:t xml:space="preserve"> </w:t>
      </w:r>
      <w:r w:rsidRPr="004F69AC">
        <w:rPr>
          <w:rFonts w:ascii="宋体" w:eastAsia="宋体" w:hAnsi="宋体"/>
          <w:sz w:val="24"/>
          <w:szCs w:val="24"/>
        </w:rPr>
        <w:t xml:space="preserve"> </w:t>
      </w:r>
    </w:p>
    <w:p w:rsidR="00513A70" w:rsidRPr="004F69AC" w:rsidP="00C92839" w14:textId="10AC68DB">
      <w:pPr>
        <w:pStyle w:val="NoSpacing"/>
        <w:spacing w:line="360" w:lineRule="auto"/>
        <w:rPr>
          <w:rFonts w:ascii="宋体" w:eastAsia="宋体" w:hAnsi="宋体"/>
          <w:sz w:val="24"/>
          <w:szCs w:val="24"/>
        </w:rPr>
      </w:pPr>
      <w:r w:rsidRPr="004F69AC">
        <w:rPr>
          <w:rFonts w:ascii="宋体" w:eastAsia="宋体" w:hAnsi="宋体" w:hint="eastAsia"/>
          <w:sz w:val="24"/>
          <w:szCs w:val="24"/>
        </w:rPr>
        <w:t>（ ）</w:t>
      </w:r>
      <w:r w:rsidRPr="004F69AC">
        <w:rPr>
          <w:rFonts w:ascii="宋体" w:eastAsia="宋体" w:hAnsi="宋体"/>
          <w:sz w:val="24"/>
          <w:szCs w:val="24"/>
        </w:rPr>
        <w:t>11、当期货实际价格高于无套利区间上限时，可以在买入期货同时卖出现货进行套利。</w:t>
      </w:r>
      <w:r w:rsidRPr="004F69AC">
        <w:rPr>
          <w:rFonts w:ascii="宋体" w:eastAsia="宋体" w:hAnsi="宋体" w:hint="eastAsia"/>
          <w:sz w:val="24"/>
          <w:szCs w:val="24"/>
        </w:rPr>
        <w:t xml:space="preserve"> </w:t>
      </w:r>
      <w:r w:rsidRPr="004F69AC">
        <w:rPr>
          <w:rFonts w:ascii="宋体" w:eastAsia="宋体" w:hAnsi="宋体"/>
          <w:sz w:val="24"/>
          <w:szCs w:val="24"/>
        </w:rPr>
        <w:t xml:space="preserve"> </w:t>
      </w:r>
    </w:p>
    <w:p w:rsidR="00513A70" w:rsidRPr="004F69AC" w:rsidP="00C92839" w14:textId="10AC68DB">
      <w:pPr>
        <w:pStyle w:val="NoSpacing"/>
        <w:spacing w:line="360" w:lineRule="auto"/>
        <w:rPr>
          <w:rFonts w:ascii="宋体" w:eastAsia="宋体" w:hAnsi="宋体"/>
          <w:sz w:val="24"/>
          <w:szCs w:val="24"/>
        </w:rPr>
      </w:pPr>
      <w:r w:rsidRPr="004F69AC">
        <w:rPr>
          <w:rFonts w:ascii="宋体" w:eastAsia="宋体" w:hAnsi="宋体" w:hint="eastAsia"/>
          <w:sz w:val="24"/>
          <w:szCs w:val="24"/>
        </w:rPr>
        <w:t>（ ）</w:t>
      </w:r>
      <w:r w:rsidRPr="004F69AC">
        <w:rPr>
          <w:rFonts w:ascii="宋体" w:eastAsia="宋体" w:hAnsi="宋体"/>
          <w:sz w:val="24"/>
          <w:szCs w:val="24"/>
        </w:rPr>
        <w:t>12、在基差交易中，市面上的升贴水报价是唯一的。</w:t>
      </w:r>
      <w:r w:rsidRPr="004F69AC">
        <w:rPr>
          <w:rFonts w:ascii="宋体" w:eastAsia="宋体" w:hAnsi="宋体" w:hint="eastAsia"/>
          <w:sz w:val="24"/>
          <w:szCs w:val="24"/>
        </w:rPr>
        <w:t xml:space="preserve"> </w:t>
      </w:r>
      <w:r w:rsidRPr="004F69AC">
        <w:rPr>
          <w:rFonts w:ascii="宋体" w:eastAsia="宋体" w:hAnsi="宋体"/>
          <w:sz w:val="24"/>
          <w:szCs w:val="24"/>
        </w:rPr>
        <w:t xml:space="preserve"> </w:t>
      </w:r>
    </w:p>
    <w:p w:rsidR="00513A70" w:rsidRPr="004F69AC" w:rsidP="00C92839" w14:textId="10AC68DB">
      <w:pPr>
        <w:pStyle w:val="NoSpacing"/>
        <w:spacing w:line="360" w:lineRule="auto"/>
        <w:rPr>
          <w:rFonts w:ascii="宋体" w:eastAsia="宋体" w:hAnsi="宋体"/>
          <w:sz w:val="24"/>
          <w:szCs w:val="24"/>
        </w:rPr>
      </w:pPr>
      <w:r w:rsidRPr="004F69AC">
        <w:rPr>
          <w:rFonts w:ascii="宋体" w:eastAsia="宋体" w:hAnsi="宋体" w:hint="eastAsia"/>
          <w:sz w:val="24"/>
          <w:szCs w:val="24"/>
        </w:rPr>
        <w:t>（ ）</w:t>
      </w:r>
      <w:r w:rsidRPr="004F69AC">
        <w:rPr>
          <w:rFonts w:ascii="宋体" w:eastAsia="宋体" w:hAnsi="宋体"/>
          <w:sz w:val="24"/>
          <w:szCs w:val="24"/>
        </w:rPr>
        <w:t>13、上海银行间同业拆放利率（Shibor）是目前国内资金市场的参考利率。</w:t>
      </w:r>
      <w:r w:rsidRPr="004F69AC">
        <w:rPr>
          <w:rFonts w:ascii="宋体" w:eastAsia="宋体" w:hAnsi="宋体" w:hint="eastAsia"/>
          <w:sz w:val="24"/>
          <w:szCs w:val="24"/>
        </w:rPr>
        <w:t xml:space="preserve"> </w:t>
      </w:r>
      <w:r w:rsidRPr="004F69AC">
        <w:rPr>
          <w:rFonts w:ascii="宋体" w:eastAsia="宋体" w:hAnsi="宋体"/>
          <w:sz w:val="24"/>
          <w:szCs w:val="24"/>
        </w:rPr>
        <w:t xml:space="preserve"> </w:t>
      </w:r>
    </w:p>
    <w:p w:rsidR="00513A70" w:rsidRPr="004F69AC" w:rsidP="00C92839" w14:textId="10AC68DB">
      <w:pPr>
        <w:pStyle w:val="NoSpacing"/>
        <w:spacing w:line="360" w:lineRule="auto"/>
        <w:rPr>
          <w:rFonts w:ascii="宋体" w:eastAsia="宋体" w:hAnsi="宋体"/>
          <w:sz w:val="24"/>
          <w:szCs w:val="24"/>
        </w:rPr>
      </w:pPr>
      <w:r w:rsidRPr="004F69AC">
        <w:rPr>
          <w:rFonts w:ascii="宋体" w:eastAsia="宋体" w:hAnsi="宋体" w:hint="eastAsia"/>
          <w:sz w:val="24"/>
          <w:szCs w:val="24"/>
        </w:rPr>
        <w:t>（ ）</w:t>
      </w:r>
      <w:r w:rsidRPr="004F69AC">
        <w:rPr>
          <w:rFonts w:ascii="宋体" w:eastAsia="宋体" w:hAnsi="宋体"/>
          <w:sz w:val="24"/>
          <w:szCs w:val="24"/>
        </w:rPr>
        <w:t>14、最重要的价格指数包括零售物价指数和生产者价格指数。</w:t>
      </w:r>
      <w:r w:rsidRPr="004F69AC">
        <w:rPr>
          <w:rFonts w:ascii="宋体" w:eastAsia="宋体" w:hAnsi="宋体" w:hint="eastAsia"/>
          <w:sz w:val="24"/>
          <w:szCs w:val="24"/>
        </w:rPr>
        <w:t xml:space="preserve"> </w:t>
      </w:r>
      <w:r w:rsidRPr="004F69AC">
        <w:rPr>
          <w:rFonts w:ascii="宋体" w:eastAsia="宋体" w:hAnsi="宋体"/>
          <w:sz w:val="24"/>
          <w:szCs w:val="24"/>
        </w:rPr>
        <w:t xml:space="preserve"> </w:t>
      </w:r>
    </w:p>
    <w:p w:rsidR="00513A70" w:rsidRPr="004F69AC" w:rsidP="00C92839" w14:textId="10AC68DB">
      <w:pPr>
        <w:pStyle w:val="NoSpacing"/>
        <w:spacing w:line="360" w:lineRule="auto"/>
        <w:rPr>
          <w:rFonts w:ascii="宋体" w:eastAsia="宋体" w:hAnsi="宋体"/>
          <w:sz w:val="24"/>
          <w:szCs w:val="24"/>
        </w:rPr>
      </w:pPr>
      <w:r w:rsidRPr="004F69AC">
        <w:rPr>
          <w:rFonts w:ascii="宋体" w:eastAsia="宋体" w:hAnsi="宋体" w:hint="eastAsia"/>
          <w:sz w:val="24"/>
          <w:szCs w:val="24"/>
        </w:rPr>
        <w:t>（ ）</w:t>
      </w:r>
      <w:r w:rsidRPr="004F69AC">
        <w:rPr>
          <w:rFonts w:ascii="宋体" w:eastAsia="宋体" w:hAnsi="宋体"/>
          <w:sz w:val="24"/>
          <w:szCs w:val="24"/>
        </w:rPr>
        <w:t>15、物价总水平通常用价格指数来衡量。</w:t>
      </w:r>
      <w:r w:rsidRPr="004F69AC">
        <w:rPr>
          <w:rFonts w:ascii="宋体" w:eastAsia="宋体" w:hAnsi="宋体" w:hint="eastAsia"/>
          <w:sz w:val="24"/>
          <w:szCs w:val="24"/>
        </w:rPr>
        <w:t xml:space="preserve"> </w:t>
      </w:r>
      <w:r w:rsidRPr="004F69AC">
        <w:rPr>
          <w:rFonts w:ascii="宋体" w:eastAsia="宋体" w:hAnsi="宋体"/>
          <w:sz w:val="24"/>
          <w:szCs w:val="24"/>
        </w:rPr>
        <w:t xml:space="preserve"> </w:t>
      </w:r>
    </w:p>
    <w:p w:rsidR="00513A70" w:rsidRPr="004F69AC" w:rsidP="00C92839" w14:textId="10AC68DB">
      <w:pPr>
        <w:pStyle w:val="NoSpacing"/>
        <w:spacing w:line="360" w:lineRule="auto"/>
        <w:rPr>
          <w:rFonts w:ascii="宋体" w:eastAsia="宋体" w:hAnsi="宋体"/>
          <w:sz w:val="24"/>
          <w:szCs w:val="24"/>
        </w:rPr>
        <w:sectPr w:rsidSect="00312E8D">
          <w:headerReference w:type="even" r:id="rId5"/>
          <w:headerReference w:type="default" r:id="rId6"/>
          <w:footerReference w:type="default" r:id="rId7"/>
          <w:headerReference w:type="first" r:id="rId8"/>
          <w:pgSz w:w="11906" w:h="16838"/>
          <w:pgMar w:top="1440" w:right="1800" w:bottom="1440" w:left="1800" w:header="851" w:footer="992" w:gutter="0"/>
          <w:pgBorders w:offsetFrom="page">
            <w:top w:val="dashed" w:sz="4" w:space="24" w:color="auto"/>
            <w:left w:val="dashed" w:sz="4" w:space="24" w:color="auto"/>
            <w:bottom w:val="dashed" w:sz="4" w:space="24" w:color="auto"/>
            <w:right w:val="dashed" w:sz="4" w:space="24" w:color="auto"/>
          </w:pgBorders>
          <w:cols w:space="425"/>
          <w:docGrid w:type="lines" w:linePitch="312"/>
        </w:sectPr>
      </w:pPr>
      <w:r w:rsidRPr="004F69AC">
        <w:rPr>
          <w:rFonts w:ascii="宋体" w:eastAsia="宋体" w:hAnsi="宋体" w:hint="eastAsia"/>
          <w:sz w:val="24"/>
          <w:szCs w:val="24"/>
        </w:rPr>
        <w:t>（ ）</w:t>
      </w:r>
      <w:r w:rsidRPr="004F69AC">
        <w:rPr>
          <w:rFonts w:ascii="宋体" w:eastAsia="宋体" w:hAnsi="宋体"/>
          <w:sz w:val="24"/>
          <w:szCs w:val="24"/>
        </w:rPr>
        <w:t>16、场外期权一方通常根据另一方的特定需求来设计场外期权合约。</w:t>
      </w:r>
      <w:r w:rsidRPr="004F69AC">
        <w:rPr>
          <w:rFonts w:ascii="宋体" w:eastAsia="宋体" w:hAnsi="宋体" w:hint="eastAsia"/>
          <w:sz w:val="24"/>
          <w:szCs w:val="24"/>
        </w:rPr>
        <w:t xml:space="preserve"> </w:t>
      </w:r>
      <w:r w:rsidRPr="004F69AC">
        <w:rPr>
          <w:rFonts w:ascii="宋体" w:eastAsia="宋体" w:hAnsi="宋体"/>
          <w:sz w:val="24"/>
          <w:szCs w:val="24"/>
        </w:rPr>
        <w:t xml:space="preserve"> </w:t>
      </w:r>
    </w:p>
    <w:p w:rsidR="00513A70" w:rsidRPr="004F69AC" w:rsidP="00C92839" w14:textId="10AC68DB">
      <w:pPr>
        <w:pStyle w:val="NoSpacing"/>
        <w:spacing w:line="360" w:lineRule="auto"/>
        <w:rPr>
          <w:rFonts w:ascii="宋体" w:eastAsia="宋体" w:hAnsi="宋体"/>
          <w:sz w:val="24"/>
          <w:szCs w:val="24"/>
        </w:rPr>
      </w:pPr>
      <w:r w:rsidRPr="004F69AC">
        <w:rPr>
          <w:rFonts w:ascii="宋体" w:eastAsia="宋体" w:hAnsi="宋体" w:hint="eastAsia"/>
          <w:sz w:val="24"/>
          <w:szCs w:val="24"/>
        </w:rPr>
        <w:t>（ ）</w:t>
      </w:r>
      <w:r w:rsidRPr="004F69AC">
        <w:rPr>
          <w:rFonts w:ascii="宋体" w:eastAsia="宋体" w:hAnsi="宋体"/>
          <w:sz w:val="24"/>
          <w:szCs w:val="24"/>
        </w:rPr>
        <w:t>17、当标的指数上涨时，未对冲情况下的净值总是高于对冲情况下的净值。</w:t>
      </w:r>
      <w:r w:rsidRPr="004F69AC">
        <w:rPr>
          <w:rFonts w:ascii="宋体" w:eastAsia="宋体" w:hAnsi="宋体" w:hint="eastAsia"/>
          <w:sz w:val="24"/>
          <w:szCs w:val="24"/>
        </w:rPr>
        <w:t xml:space="preserve"> </w:t>
      </w:r>
      <w:r w:rsidRPr="004F69AC">
        <w:rPr>
          <w:rFonts w:ascii="宋体" w:eastAsia="宋体" w:hAnsi="宋体"/>
          <w:sz w:val="24"/>
          <w:szCs w:val="24"/>
        </w:rPr>
        <w:t xml:space="preserve"> </w:t>
      </w:r>
    </w:p>
    <w:p w:rsidR="00513A70" w:rsidRPr="004F69AC" w:rsidP="00C92839" w14:textId="10AC68DB">
      <w:pPr>
        <w:pStyle w:val="NoSpacing"/>
        <w:spacing w:line="360" w:lineRule="auto"/>
        <w:rPr>
          <w:rFonts w:ascii="宋体" w:eastAsia="宋体" w:hAnsi="宋体"/>
          <w:sz w:val="24"/>
          <w:szCs w:val="24"/>
        </w:rPr>
      </w:pPr>
      <w:r w:rsidRPr="004F69AC">
        <w:rPr>
          <w:rFonts w:ascii="宋体" w:eastAsia="宋体" w:hAnsi="宋体" w:hint="eastAsia"/>
          <w:sz w:val="24"/>
          <w:szCs w:val="24"/>
        </w:rPr>
        <w:t>（ ）</w:t>
      </w:r>
      <w:r w:rsidRPr="004F69AC">
        <w:rPr>
          <w:rFonts w:ascii="宋体" w:eastAsia="宋体" w:hAnsi="宋体"/>
          <w:sz w:val="24"/>
          <w:szCs w:val="24"/>
        </w:rPr>
        <w:t>18、不论标的资产价格和波动率如何变化，场内期权组合的Delta与场外期权合约的Delta总是保持一致。</w:t>
      </w:r>
      <w:r w:rsidRPr="004F69AC">
        <w:rPr>
          <w:rFonts w:ascii="宋体" w:eastAsia="宋体" w:hAnsi="宋体" w:hint="eastAsia"/>
          <w:sz w:val="24"/>
          <w:szCs w:val="24"/>
        </w:rPr>
        <w:t xml:space="preserve"> </w:t>
      </w:r>
      <w:r w:rsidRPr="004F69AC">
        <w:rPr>
          <w:rFonts w:ascii="宋体" w:eastAsia="宋体" w:hAnsi="宋体"/>
          <w:sz w:val="24"/>
          <w:szCs w:val="24"/>
        </w:rPr>
        <w:t xml:space="preserve"> </w:t>
      </w:r>
    </w:p>
    <w:p w:rsidR="00513A70" w:rsidRPr="004F69AC" w:rsidP="00C92839" w14:textId="10AC68DB">
      <w:pPr>
        <w:pStyle w:val="NoSpacing"/>
        <w:spacing w:line="360" w:lineRule="auto"/>
        <w:rPr>
          <w:rFonts w:ascii="宋体" w:eastAsia="宋体" w:hAnsi="宋体"/>
          <w:sz w:val="24"/>
          <w:szCs w:val="24"/>
        </w:rPr>
      </w:pPr>
      <w:r w:rsidRPr="004F69AC">
        <w:rPr>
          <w:rFonts w:ascii="宋体" w:eastAsia="宋体" w:hAnsi="宋体" w:hint="eastAsia"/>
          <w:sz w:val="24"/>
          <w:szCs w:val="24"/>
        </w:rPr>
        <w:t>（ ）</w:t>
      </w:r>
      <w:r w:rsidRPr="004F69AC">
        <w:rPr>
          <w:rFonts w:ascii="宋体" w:eastAsia="宋体" w:hAnsi="宋体"/>
          <w:sz w:val="24"/>
          <w:szCs w:val="24"/>
        </w:rPr>
        <w:t>19、交易对手协议提前结束互换时，双方的权利和义务可以继续行使和遵守。</w:t>
      </w:r>
      <w:r w:rsidRPr="004F69AC">
        <w:rPr>
          <w:rFonts w:ascii="宋体" w:eastAsia="宋体" w:hAnsi="宋体" w:hint="eastAsia"/>
          <w:sz w:val="24"/>
          <w:szCs w:val="24"/>
        </w:rPr>
        <w:t xml:space="preserve"> </w:t>
      </w:r>
      <w:r w:rsidRPr="004F69AC">
        <w:rPr>
          <w:rFonts w:ascii="宋体" w:eastAsia="宋体" w:hAnsi="宋体"/>
          <w:sz w:val="24"/>
          <w:szCs w:val="24"/>
        </w:rPr>
        <w:t xml:space="preserve"> </w:t>
      </w:r>
    </w:p>
    <w:p w:rsidR="00513A70" w:rsidRPr="004F69AC" w:rsidP="00C92839" w14:textId="10AC68DB">
      <w:pPr>
        <w:pStyle w:val="NoSpacing"/>
        <w:spacing w:line="360" w:lineRule="auto"/>
        <w:rPr>
          <w:rFonts w:ascii="宋体" w:eastAsia="宋体" w:hAnsi="宋体"/>
          <w:sz w:val="24"/>
          <w:szCs w:val="24"/>
        </w:rPr>
      </w:pPr>
      <w:r w:rsidRPr="004F69AC">
        <w:rPr>
          <w:rFonts w:ascii="宋体" w:eastAsia="宋体" w:hAnsi="宋体" w:hint="eastAsia"/>
          <w:sz w:val="24"/>
          <w:szCs w:val="24"/>
        </w:rPr>
        <w:t>（ ）</w:t>
      </w:r>
      <w:r w:rsidRPr="004F69AC">
        <w:rPr>
          <w:rFonts w:ascii="宋体" w:eastAsia="宋体" w:hAnsi="宋体"/>
          <w:sz w:val="24"/>
          <w:szCs w:val="24"/>
        </w:rPr>
        <w:t>20、本币和外币进行货币互换，外币支付方互换价值为外币债券价值减去本币债券价值。</w:t>
      </w:r>
      <w:r w:rsidRPr="004F69AC">
        <w:rPr>
          <w:rFonts w:ascii="宋体" w:eastAsia="宋体" w:hAnsi="宋体" w:hint="eastAsia"/>
          <w:sz w:val="24"/>
          <w:szCs w:val="24"/>
        </w:rPr>
        <w:t xml:space="preserve"> </w:t>
      </w:r>
      <w:r w:rsidRPr="004F69AC">
        <w:rPr>
          <w:rFonts w:ascii="宋体" w:eastAsia="宋体" w:hAnsi="宋体"/>
          <w:sz w:val="24"/>
          <w:szCs w:val="24"/>
        </w:rPr>
        <w:t xml:space="preserve"> </w:t>
      </w:r>
    </w:p>
    <w:p w:rsidR="00513A70" w:rsidRPr="004F69AC" w:rsidP="00C92839" w14:textId="10AC68DB">
      <w:pPr>
        <w:pStyle w:val="NoSpacing"/>
        <w:spacing w:line="360" w:lineRule="auto"/>
        <w:rPr>
          <w:rFonts w:ascii="宋体" w:eastAsia="宋体" w:hAnsi="宋体"/>
          <w:sz w:val="24"/>
          <w:szCs w:val="24"/>
        </w:rPr>
      </w:pPr>
      <w:r w:rsidRPr="004F69AC">
        <w:rPr>
          <w:rFonts w:ascii="宋体" w:eastAsia="宋体" w:hAnsi="宋体" w:hint="eastAsia"/>
          <w:sz w:val="24"/>
          <w:szCs w:val="24"/>
        </w:rPr>
        <w:t>（ ）</w:t>
      </w:r>
      <w:r w:rsidRPr="004F69AC">
        <w:rPr>
          <w:rFonts w:ascii="宋体" w:eastAsia="宋体" w:hAnsi="宋体"/>
          <w:sz w:val="24"/>
          <w:szCs w:val="24"/>
        </w:rPr>
        <w:t>21、场外期权合约的双方对对方的信用情况并不了解。</w:t>
      </w:r>
      <w:r w:rsidRPr="004F69AC">
        <w:rPr>
          <w:rFonts w:ascii="宋体" w:eastAsia="宋体" w:hAnsi="宋体" w:hint="eastAsia"/>
          <w:sz w:val="24"/>
          <w:szCs w:val="24"/>
        </w:rPr>
        <w:t xml:space="preserve"> </w:t>
      </w:r>
      <w:r w:rsidRPr="004F69AC">
        <w:rPr>
          <w:rFonts w:ascii="宋体" w:eastAsia="宋体" w:hAnsi="宋体"/>
          <w:sz w:val="24"/>
          <w:szCs w:val="24"/>
        </w:rPr>
        <w:t xml:space="preserve"> </w:t>
      </w:r>
    </w:p>
    <w:p w:rsidR="00513A70" w:rsidRPr="004F69AC" w:rsidP="00C92839" w14:textId="10AC68DB">
      <w:pPr>
        <w:pStyle w:val="NoSpacing"/>
        <w:spacing w:line="360" w:lineRule="auto"/>
        <w:rPr>
          <w:rFonts w:ascii="宋体" w:eastAsia="宋体" w:hAnsi="宋体"/>
          <w:sz w:val="24"/>
          <w:szCs w:val="24"/>
        </w:rPr>
      </w:pPr>
      <w:r w:rsidRPr="004F69AC">
        <w:rPr>
          <w:rFonts w:ascii="宋体" w:eastAsia="宋体" w:hAnsi="宋体" w:hint="eastAsia"/>
          <w:sz w:val="24"/>
          <w:szCs w:val="24"/>
        </w:rPr>
        <w:t>（ ）</w:t>
      </w:r>
      <w:r w:rsidRPr="004F69AC">
        <w:rPr>
          <w:rFonts w:ascii="宋体" w:eastAsia="宋体" w:hAnsi="宋体"/>
          <w:sz w:val="24"/>
          <w:szCs w:val="24"/>
        </w:rPr>
        <w:t>22、货币互换是在约定期限内交换约定数量的两种货币本金，同时定期交换两种货币利息的交易协议。</w:t>
      </w:r>
      <w:r w:rsidRPr="004F69AC">
        <w:rPr>
          <w:rFonts w:ascii="宋体" w:eastAsia="宋体" w:hAnsi="宋体" w:hint="eastAsia"/>
          <w:sz w:val="24"/>
          <w:szCs w:val="24"/>
        </w:rPr>
        <w:t xml:space="preserve"> </w:t>
      </w:r>
      <w:r w:rsidRPr="004F69AC">
        <w:rPr>
          <w:rFonts w:ascii="宋体" w:eastAsia="宋体" w:hAnsi="宋体"/>
          <w:sz w:val="24"/>
          <w:szCs w:val="24"/>
        </w:rPr>
        <w:t xml:space="preserve"> </w:t>
      </w:r>
    </w:p>
    <w:p w:rsidR="00513A70" w:rsidRPr="004F69AC" w:rsidP="00C92839" w14:textId="10AC68DB">
      <w:pPr>
        <w:pStyle w:val="NoSpacing"/>
        <w:spacing w:line="360" w:lineRule="auto"/>
        <w:rPr>
          <w:rFonts w:ascii="宋体" w:eastAsia="宋体" w:hAnsi="宋体"/>
          <w:sz w:val="24"/>
          <w:szCs w:val="24"/>
        </w:rPr>
      </w:pPr>
      <w:r w:rsidRPr="004F69AC">
        <w:rPr>
          <w:rFonts w:ascii="宋体" w:eastAsia="宋体" w:hAnsi="宋体" w:hint="eastAsia"/>
          <w:sz w:val="24"/>
          <w:szCs w:val="24"/>
        </w:rPr>
        <w:t>（ ）</w:t>
      </w:r>
      <w:r w:rsidRPr="004F69AC">
        <w:rPr>
          <w:rFonts w:ascii="宋体" w:eastAsia="宋体" w:hAnsi="宋体"/>
          <w:sz w:val="24"/>
          <w:szCs w:val="24"/>
        </w:rPr>
        <w:t>23、不支付红利的标的资产没有持有收益，持有成本也只包括购买标的资产所需资金的利息成本。</w:t>
      </w:r>
      <w:r w:rsidRPr="004F69AC">
        <w:rPr>
          <w:rFonts w:ascii="宋体" w:eastAsia="宋体" w:hAnsi="宋体" w:hint="eastAsia"/>
          <w:sz w:val="24"/>
          <w:szCs w:val="24"/>
        </w:rPr>
        <w:t xml:space="preserve"> </w:t>
      </w:r>
      <w:r w:rsidRPr="004F69AC">
        <w:rPr>
          <w:rFonts w:ascii="宋体" w:eastAsia="宋体" w:hAnsi="宋体"/>
          <w:sz w:val="24"/>
          <w:szCs w:val="24"/>
        </w:rPr>
        <w:t xml:space="preserve"> </w:t>
      </w:r>
    </w:p>
    <w:p w:rsidR="00513A70" w:rsidRPr="004F69AC" w:rsidP="00C92839" w14:textId="10AC68DB">
      <w:pPr>
        <w:pStyle w:val="NoSpacing"/>
        <w:spacing w:line="360" w:lineRule="auto"/>
        <w:rPr>
          <w:rFonts w:ascii="宋体" w:eastAsia="宋体" w:hAnsi="宋体"/>
          <w:sz w:val="24"/>
          <w:szCs w:val="24"/>
        </w:rPr>
      </w:pPr>
      <w:r w:rsidRPr="004F69AC">
        <w:rPr>
          <w:rFonts w:ascii="宋体" w:eastAsia="宋体" w:hAnsi="宋体" w:hint="eastAsia"/>
          <w:sz w:val="24"/>
          <w:szCs w:val="24"/>
        </w:rPr>
        <w:t>（ ）</w:t>
      </w:r>
      <w:r w:rsidRPr="004F69AC">
        <w:rPr>
          <w:rFonts w:ascii="宋体" w:eastAsia="宋体" w:hAnsi="宋体"/>
          <w:sz w:val="24"/>
          <w:szCs w:val="24"/>
        </w:rPr>
        <w:t>24、采购经理人指数以百分比表示，常以30％作为经济强弱的分界点。</w:t>
      </w:r>
      <w:r w:rsidRPr="004F69AC">
        <w:rPr>
          <w:rFonts w:ascii="宋体" w:eastAsia="宋体" w:hAnsi="宋体" w:hint="eastAsia"/>
          <w:sz w:val="24"/>
          <w:szCs w:val="24"/>
        </w:rPr>
        <w:t xml:space="preserve"> </w:t>
      </w:r>
      <w:r w:rsidRPr="004F69AC">
        <w:rPr>
          <w:rFonts w:ascii="宋体" w:eastAsia="宋体" w:hAnsi="宋体"/>
          <w:sz w:val="24"/>
          <w:szCs w:val="24"/>
        </w:rPr>
        <w:t xml:space="preserve"> </w:t>
      </w:r>
    </w:p>
    <w:p w:rsidR="00513A70" w:rsidRPr="004F69AC" w:rsidP="00C92839" w14:textId="10AC68DB">
      <w:pPr>
        <w:pStyle w:val="NoSpacing"/>
        <w:spacing w:line="360" w:lineRule="auto"/>
        <w:rPr>
          <w:rFonts w:ascii="宋体" w:eastAsia="宋体" w:hAnsi="宋体"/>
          <w:sz w:val="24"/>
          <w:szCs w:val="24"/>
        </w:rPr>
      </w:pPr>
      <w:r w:rsidRPr="004F69AC">
        <w:rPr>
          <w:rFonts w:ascii="宋体" w:eastAsia="宋体" w:hAnsi="宋体" w:hint="eastAsia"/>
          <w:sz w:val="24"/>
          <w:szCs w:val="24"/>
        </w:rPr>
        <w:t>（ ）</w:t>
      </w:r>
      <w:r w:rsidRPr="004F69AC">
        <w:rPr>
          <w:rFonts w:ascii="宋体" w:eastAsia="宋体" w:hAnsi="宋体"/>
          <w:sz w:val="24"/>
          <w:szCs w:val="24"/>
        </w:rPr>
        <w:t>25、年化收益率衡量交易模型盈亏金额及盈亏速度的指标，是一种实际收益率。</w:t>
      </w:r>
      <w:r w:rsidRPr="004F69AC">
        <w:rPr>
          <w:rFonts w:ascii="宋体" w:eastAsia="宋体" w:hAnsi="宋体" w:hint="eastAsia"/>
          <w:sz w:val="24"/>
          <w:szCs w:val="24"/>
        </w:rPr>
        <w:t xml:space="preserve"> </w:t>
      </w:r>
      <w:r w:rsidRPr="004F69AC">
        <w:rPr>
          <w:rFonts w:ascii="宋体" w:eastAsia="宋体" w:hAnsi="宋体"/>
          <w:sz w:val="24"/>
          <w:szCs w:val="24"/>
        </w:rPr>
        <w:t xml:space="preserve"> </w:t>
      </w:r>
    </w:p>
    <w:p w:rsidR="00513A70" w:rsidRPr="004F69AC" w:rsidP="00C92839" w14:textId="10AC68DB">
      <w:pPr>
        <w:pStyle w:val="NoSpacing"/>
        <w:spacing w:line="360" w:lineRule="auto"/>
        <w:rPr>
          <w:rFonts w:ascii="宋体" w:eastAsia="宋体" w:hAnsi="宋体"/>
          <w:sz w:val="24"/>
          <w:szCs w:val="24"/>
        </w:rPr>
      </w:pPr>
      <w:r w:rsidRPr="004F69AC">
        <w:rPr>
          <w:rFonts w:ascii="宋体" w:eastAsia="宋体" w:hAnsi="宋体" w:hint="eastAsia"/>
          <w:sz w:val="24"/>
          <w:szCs w:val="24"/>
        </w:rPr>
        <w:t>（ ）</w:t>
      </w:r>
      <w:r w:rsidRPr="004F69AC">
        <w:rPr>
          <w:rFonts w:ascii="宋体" w:eastAsia="宋体" w:hAnsi="宋体"/>
          <w:sz w:val="24"/>
          <w:szCs w:val="24"/>
        </w:rPr>
        <w:t>26、在期权的二叉树定价模型中，影响风险中性概率的因素不包括无风险利率。</w:t>
      </w:r>
      <w:r w:rsidRPr="004F69AC">
        <w:rPr>
          <w:rFonts w:ascii="宋体" w:eastAsia="宋体" w:hAnsi="宋体" w:hint="eastAsia"/>
          <w:sz w:val="24"/>
          <w:szCs w:val="24"/>
        </w:rPr>
        <w:t xml:space="preserve"> </w:t>
      </w:r>
      <w:r w:rsidRPr="004F69AC">
        <w:rPr>
          <w:rFonts w:ascii="宋体" w:eastAsia="宋体" w:hAnsi="宋体"/>
          <w:sz w:val="24"/>
          <w:szCs w:val="24"/>
        </w:rPr>
        <w:t xml:space="preserve"> </w:t>
      </w:r>
    </w:p>
    <w:p w:rsidR="00513A70" w:rsidRPr="004F69AC" w:rsidP="00C92839" w14:textId="10AC68DB">
      <w:pPr>
        <w:pStyle w:val="NoSpacing"/>
        <w:spacing w:line="360" w:lineRule="auto"/>
        <w:rPr>
          <w:rFonts w:ascii="宋体" w:eastAsia="宋体" w:hAnsi="宋体"/>
          <w:sz w:val="24"/>
          <w:szCs w:val="24"/>
        </w:rPr>
      </w:pPr>
      <w:r w:rsidRPr="004F69AC">
        <w:rPr>
          <w:rFonts w:ascii="宋体" w:eastAsia="宋体" w:hAnsi="宋体" w:hint="eastAsia"/>
          <w:sz w:val="24"/>
          <w:szCs w:val="24"/>
        </w:rPr>
        <w:t>（ ）</w:t>
      </w:r>
      <w:r w:rsidRPr="004F69AC">
        <w:rPr>
          <w:rFonts w:ascii="宋体" w:eastAsia="宋体" w:hAnsi="宋体"/>
          <w:sz w:val="24"/>
          <w:szCs w:val="24"/>
        </w:rPr>
        <w:t>27、股票二级市场的投资者可以利用股票收益互换，从而在不需要实际购买相关股票的情况下，只需支付资金利息就可以换取股票收益。</w:t>
      </w:r>
      <w:r w:rsidRPr="004F69AC">
        <w:rPr>
          <w:rFonts w:ascii="宋体" w:eastAsia="宋体" w:hAnsi="宋体" w:hint="eastAsia"/>
          <w:sz w:val="24"/>
          <w:szCs w:val="24"/>
        </w:rPr>
        <w:t xml:space="preserve"> </w:t>
      </w:r>
      <w:r w:rsidRPr="004F69AC">
        <w:rPr>
          <w:rFonts w:ascii="宋体" w:eastAsia="宋体" w:hAnsi="宋体"/>
          <w:sz w:val="24"/>
          <w:szCs w:val="24"/>
        </w:rPr>
        <w:t xml:space="preserve"> </w:t>
      </w:r>
    </w:p>
    <w:p w:rsidR="00513A70" w:rsidRPr="004F69AC" w:rsidP="00C92839" w14:textId="10AC68DB">
      <w:pPr>
        <w:pStyle w:val="NoSpacing"/>
        <w:spacing w:line="360" w:lineRule="auto"/>
        <w:rPr>
          <w:rFonts w:ascii="宋体" w:eastAsia="宋体" w:hAnsi="宋体"/>
          <w:sz w:val="24"/>
          <w:szCs w:val="24"/>
        </w:rPr>
      </w:pPr>
      <w:r w:rsidRPr="004F69AC">
        <w:rPr>
          <w:rFonts w:ascii="宋体" w:eastAsia="宋体" w:hAnsi="宋体" w:hint="eastAsia"/>
          <w:sz w:val="24"/>
          <w:szCs w:val="24"/>
        </w:rPr>
        <w:t>（ ）</w:t>
      </w:r>
      <w:r w:rsidRPr="004F69AC">
        <w:rPr>
          <w:rFonts w:ascii="宋体" w:eastAsia="宋体" w:hAnsi="宋体"/>
          <w:sz w:val="24"/>
          <w:szCs w:val="24"/>
        </w:rPr>
        <w:t>28、Gamma的绝对值越大，表示风险程度越高。</w:t>
      </w:r>
      <w:r w:rsidRPr="004F69AC">
        <w:rPr>
          <w:rFonts w:ascii="宋体" w:eastAsia="宋体" w:hAnsi="宋体" w:hint="eastAsia"/>
          <w:sz w:val="24"/>
          <w:szCs w:val="24"/>
        </w:rPr>
        <w:t xml:space="preserve"> </w:t>
      </w:r>
      <w:r w:rsidRPr="004F69AC">
        <w:rPr>
          <w:rFonts w:ascii="宋体" w:eastAsia="宋体" w:hAnsi="宋体"/>
          <w:sz w:val="24"/>
          <w:szCs w:val="24"/>
        </w:rPr>
        <w:t xml:space="preserve"> </w:t>
      </w:r>
    </w:p>
    <w:p w:rsidR="00513A70" w:rsidRPr="004F69AC" w:rsidP="00C92839" w14:textId="10AC68DB">
      <w:pPr>
        <w:pStyle w:val="NoSpacing"/>
        <w:spacing w:line="360" w:lineRule="auto"/>
        <w:rPr>
          <w:rFonts w:ascii="宋体" w:eastAsia="宋体" w:hAnsi="宋体"/>
          <w:sz w:val="24"/>
          <w:szCs w:val="24"/>
        </w:rPr>
      </w:pPr>
      <w:r w:rsidRPr="004F69AC">
        <w:rPr>
          <w:rFonts w:ascii="宋体" w:eastAsia="宋体" w:hAnsi="宋体" w:hint="eastAsia"/>
          <w:sz w:val="24"/>
          <w:szCs w:val="24"/>
        </w:rPr>
        <w:t>（ ）</w:t>
      </w:r>
      <w:r w:rsidRPr="004F69AC">
        <w:rPr>
          <w:rFonts w:ascii="宋体" w:eastAsia="宋体" w:hAnsi="宋体"/>
          <w:sz w:val="24"/>
          <w:szCs w:val="24"/>
        </w:rPr>
        <w:t>29、交易系统的检验和使用应集中引用期货交易最远离交割月时段的数据。</w:t>
      </w:r>
      <w:r w:rsidRPr="004F69AC">
        <w:rPr>
          <w:rFonts w:ascii="宋体" w:eastAsia="宋体" w:hAnsi="宋体" w:hint="eastAsia"/>
          <w:sz w:val="24"/>
          <w:szCs w:val="24"/>
        </w:rPr>
        <w:t xml:space="preserve"> </w:t>
      </w:r>
      <w:r w:rsidRPr="004F69AC">
        <w:rPr>
          <w:rFonts w:ascii="宋体" w:eastAsia="宋体" w:hAnsi="宋体"/>
          <w:sz w:val="24"/>
          <w:szCs w:val="24"/>
        </w:rPr>
        <w:t xml:space="preserve"> </w:t>
      </w:r>
    </w:p>
    <w:p w:rsidR="00513A70" w:rsidRPr="004F69AC" w:rsidP="00C92839" w14:textId="10AC68DB">
      <w:pPr>
        <w:pStyle w:val="NoSpacing"/>
        <w:spacing w:line="360" w:lineRule="auto"/>
        <w:rPr>
          <w:rFonts w:ascii="宋体" w:eastAsia="宋体" w:hAnsi="宋体"/>
          <w:sz w:val="24"/>
          <w:szCs w:val="24"/>
        </w:rPr>
      </w:pPr>
      <w:r w:rsidRPr="004F69AC">
        <w:rPr>
          <w:rFonts w:ascii="宋体" w:eastAsia="宋体" w:hAnsi="宋体" w:hint="eastAsia"/>
          <w:sz w:val="24"/>
          <w:szCs w:val="24"/>
        </w:rPr>
        <w:t>（ ）</w:t>
      </w:r>
      <w:r w:rsidRPr="004F69AC">
        <w:rPr>
          <w:rFonts w:ascii="宋体" w:eastAsia="宋体" w:hAnsi="宋体"/>
          <w:sz w:val="24"/>
          <w:szCs w:val="24"/>
        </w:rPr>
        <w:t>30、一元线性回归模型，（i=1，2，3…，n）中，称为解释变量，称为被解释变量。</w:t>
      </w:r>
      <w:r w:rsidRPr="004F69AC">
        <w:rPr>
          <w:rFonts w:ascii="宋体" w:eastAsia="宋体" w:hAnsi="宋体" w:hint="eastAsia"/>
          <w:sz w:val="24"/>
          <w:szCs w:val="24"/>
        </w:rPr>
        <w:t xml:space="preserve"> </w:t>
      </w:r>
      <w:r w:rsidRPr="004F69AC">
        <w:rPr>
          <w:rFonts w:ascii="宋体" w:eastAsia="宋体" w:hAnsi="宋体"/>
          <w:sz w:val="24"/>
          <w:szCs w:val="24"/>
        </w:rPr>
        <w:t xml:space="preserve"> </w:t>
      </w:r>
    </w:p>
    <w:p w:rsidR="00513A70" w:rsidRPr="004F69AC" w:rsidP="00C92839" w14:textId="10AC68DB">
      <w:pPr>
        <w:pStyle w:val="NoSpacing"/>
        <w:spacing w:line="360" w:lineRule="auto"/>
        <w:rPr>
          <w:rFonts w:ascii="宋体" w:eastAsia="宋体" w:hAnsi="宋体"/>
          <w:sz w:val="24"/>
          <w:szCs w:val="24"/>
        </w:rPr>
      </w:pPr>
      <w:r w:rsidRPr="004F69AC">
        <w:rPr>
          <w:rFonts w:ascii="宋体" w:eastAsia="宋体" w:hAnsi="宋体" w:hint="eastAsia"/>
          <w:sz w:val="24"/>
          <w:szCs w:val="24"/>
        </w:rPr>
        <w:t>（ ）</w:t>
      </w:r>
      <w:r w:rsidRPr="004F69AC">
        <w:rPr>
          <w:rFonts w:ascii="宋体" w:eastAsia="宋体" w:hAnsi="宋体"/>
          <w:sz w:val="24"/>
          <w:szCs w:val="24"/>
        </w:rPr>
        <w:t>31、期货现货互转套利策略要精确测算每次交易的所有成本与收益，这个成本的计算受股票现货仓位的大小、交易时机等因素影响。</w:t>
      </w:r>
      <w:r w:rsidRPr="004F69AC">
        <w:rPr>
          <w:rFonts w:ascii="宋体" w:eastAsia="宋体" w:hAnsi="宋体" w:hint="eastAsia"/>
          <w:sz w:val="24"/>
          <w:szCs w:val="24"/>
        </w:rPr>
        <w:t xml:space="preserve"> </w:t>
      </w:r>
      <w:r w:rsidRPr="004F69AC">
        <w:rPr>
          <w:rFonts w:ascii="宋体" w:eastAsia="宋体" w:hAnsi="宋体"/>
          <w:sz w:val="24"/>
          <w:szCs w:val="24"/>
        </w:rPr>
        <w:t xml:space="preserve"> </w:t>
      </w:r>
    </w:p>
    <w:p w:rsidR="00513A70" w:rsidRPr="004F69AC" w:rsidP="00C92839" w14:textId="10AC68DB">
      <w:pPr>
        <w:pStyle w:val="NoSpacing"/>
        <w:spacing w:line="360" w:lineRule="auto"/>
        <w:rPr>
          <w:rFonts w:ascii="宋体" w:eastAsia="宋体" w:hAnsi="宋体"/>
          <w:sz w:val="24"/>
          <w:szCs w:val="24"/>
        </w:rPr>
        <w:sectPr w:rsidSect="00312E8D">
          <w:headerReference w:type="even" r:id="rId9"/>
          <w:headerReference w:type="default" r:id="rId10"/>
          <w:footerReference w:type="default" r:id="rId11"/>
          <w:headerReference w:type="first" r:id="rId12"/>
          <w:type w:val="nextPage"/>
          <w:pgSz w:w="11906" w:h="16838"/>
          <w:pgMar w:top="1440" w:right="1800" w:bottom="1440" w:left="1800" w:header="851" w:footer="992" w:gutter="0"/>
          <w:pgBorders w:offsetFrom="page">
            <w:top w:val="dashed" w:sz="4" w:space="24" w:color="auto"/>
            <w:left w:val="dashed" w:sz="4" w:space="24" w:color="auto"/>
            <w:bottom w:val="dashed" w:sz="4" w:space="24" w:color="auto"/>
            <w:right w:val="dashed" w:sz="4" w:space="24" w:color="auto"/>
          </w:pgBorders>
          <w:pgNumType w:start="2"/>
          <w:cols w:space="425"/>
          <w:titlePg w:val="0"/>
          <w:docGrid w:type="lines" w:linePitch="312"/>
        </w:sectPr>
      </w:pPr>
      <w:r w:rsidRPr="004F69AC">
        <w:rPr>
          <w:rFonts w:ascii="宋体" w:eastAsia="宋体" w:hAnsi="宋体" w:hint="eastAsia"/>
          <w:sz w:val="24"/>
          <w:szCs w:val="24"/>
        </w:rPr>
        <w:t>（ ）</w:t>
      </w:r>
      <w:r w:rsidRPr="004F69AC">
        <w:rPr>
          <w:rFonts w:ascii="宋体" w:eastAsia="宋体" w:hAnsi="宋体"/>
          <w:sz w:val="24"/>
          <w:szCs w:val="24"/>
        </w:rPr>
        <w:t>32、传统的敏感性分析采用非线性近似研究风险因子的变化对金融产品价值的影响。</w:t>
      </w:r>
      <w:r w:rsidRPr="004F69AC">
        <w:rPr>
          <w:rFonts w:ascii="宋体" w:eastAsia="宋体" w:hAnsi="宋体" w:hint="eastAsia"/>
          <w:sz w:val="24"/>
          <w:szCs w:val="24"/>
        </w:rPr>
        <w:t xml:space="preserve"> </w:t>
      </w:r>
      <w:r w:rsidRPr="004F69AC">
        <w:rPr>
          <w:rFonts w:ascii="宋体" w:eastAsia="宋体" w:hAnsi="宋体"/>
          <w:sz w:val="24"/>
          <w:szCs w:val="24"/>
        </w:rPr>
        <w:t xml:space="preserve"> </w:t>
      </w:r>
    </w:p>
    <w:p w:rsidR="00513A70" w:rsidRPr="004F69AC" w:rsidP="00C92839" w14:textId="10AC68DB">
      <w:pPr>
        <w:pStyle w:val="NoSpacing"/>
        <w:spacing w:line="360" w:lineRule="auto"/>
        <w:rPr>
          <w:rFonts w:ascii="宋体" w:eastAsia="宋体" w:hAnsi="宋体"/>
          <w:sz w:val="24"/>
          <w:szCs w:val="24"/>
        </w:rPr>
      </w:pPr>
      <w:r w:rsidRPr="004F69AC">
        <w:rPr>
          <w:rFonts w:ascii="宋体" w:eastAsia="宋体" w:hAnsi="宋体" w:hint="eastAsia"/>
          <w:sz w:val="24"/>
          <w:szCs w:val="24"/>
        </w:rPr>
        <w:t>（ ）</w:t>
      </w:r>
      <w:r w:rsidRPr="004F69AC">
        <w:rPr>
          <w:rFonts w:ascii="宋体" w:eastAsia="宋体" w:hAnsi="宋体"/>
          <w:sz w:val="24"/>
          <w:szCs w:val="24"/>
        </w:rPr>
        <w:t>33、区间浮动利率票据是普通债券与利率期权的组合。</w:t>
      </w:r>
      <w:r w:rsidRPr="004F69AC">
        <w:rPr>
          <w:rFonts w:ascii="宋体" w:eastAsia="宋体" w:hAnsi="宋体" w:hint="eastAsia"/>
          <w:sz w:val="24"/>
          <w:szCs w:val="24"/>
        </w:rPr>
        <w:t xml:space="preserve"> </w:t>
      </w:r>
      <w:r w:rsidRPr="004F69AC">
        <w:rPr>
          <w:rFonts w:ascii="宋体" w:eastAsia="宋体" w:hAnsi="宋体"/>
          <w:sz w:val="24"/>
          <w:szCs w:val="24"/>
        </w:rPr>
        <w:t xml:space="preserve"> </w:t>
      </w:r>
    </w:p>
    <w:p w:rsidR="00513A70" w:rsidRPr="004F69AC" w:rsidP="00C92839" w14:textId="10AC68DB">
      <w:pPr>
        <w:pStyle w:val="NoSpacing"/>
        <w:spacing w:line="360" w:lineRule="auto"/>
        <w:rPr>
          <w:rFonts w:ascii="宋体" w:eastAsia="宋体" w:hAnsi="宋体"/>
          <w:sz w:val="24"/>
          <w:szCs w:val="24"/>
        </w:rPr>
      </w:pPr>
      <w:r w:rsidRPr="004F69AC">
        <w:rPr>
          <w:rFonts w:ascii="宋体" w:eastAsia="宋体" w:hAnsi="宋体" w:hint="eastAsia"/>
          <w:sz w:val="24"/>
          <w:szCs w:val="24"/>
        </w:rPr>
        <w:t>（ ）</w:t>
      </w:r>
      <w:r w:rsidRPr="004F69AC">
        <w:rPr>
          <w:rFonts w:ascii="宋体" w:eastAsia="宋体" w:hAnsi="宋体"/>
          <w:sz w:val="24"/>
          <w:szCs w:val="24"/>
        </w:rPr>
        <w:t>34、计算VaR时，流动性强的资产可以每星期或每月计算VaR，期限较长的头寸往往需要每日计算VaR。</w:t>
      </w:r>
      <w:r w:rsidRPr="004F69AC">
        <w:rPr>
          <w:rFonts w:ascii="宋体" w:eastAsia="宋体" w:hAnsi="宋体" w:hint="eastAsia"/>
          <w:sz w:val="24"/>
          <w:szCs w:val="24"/>
        </w:rPr>
        <w:t xml:space="preserve"> </w:t>
      </w:r>
      <w:r w:rsidRPr="004F69AC">
        <w:rPr>
          <w:rFonts w:ascii="宋体" w:eastAsia="宋体" w:hAnsi="宋体"/>
          <w:sz w:val="24"/>
          <w:szCs w:val="24"/>
        </w:rPr>
        <w:t xml:space="preserve"> </w:t>
      </w:r>
    </w:p>
    <w:p w:rsidR="00513A70" w:rsidRPr="004F69AC" w:rsidP="00C92839" w14:textId="10AC68DB">
      <w:pPr>
        <w:pStyle w:val="NoSpacing"/>
        <w:spacing w:line="360" w:lineRule="auto"/>
        <w:rPr>
          <w:rFonts w:ascii="宋体" w:eastAsia="宋体" w:hAnsi="宋体"/>
          <w:sz w:val="24"/>
          <w:szCs w:val="24"/>
        </w:rPr>
      </w:pPr>
      <w:r w:rsidRPr="004F69AC">
        <w:rPr>
          <w:rFonts w:ascii="宋体" w:eastAsia="宋体" w:hAnsi="宋体" w:hint="eastAsia"/>
          <w:sz w:val="24"/>
          <w:szCs w:val="24"/>
        </w:rPr>
        <w:t>（ ）</w:t>
      </w:r>
      <w:r w:rsidRPr="004F69AC">
        <w:rPr>
          <w:rFonts w:ascii="宋体" w:eastAsia="宋体" w:hAnsi="宋体"/>
          <w:sz w:val="24"/>
          <w:szCs w:val="24"/>
        </w:rPr>
        <w:t>35、在基差交易中，基差买方主要是利用点价策略实现利润最大化。</w:t>
      </w:r>
      <w:r w:rsidRPr="004F69AC">
        <w:rPr>
          <w:rFonts w:ascii="宋体" w:eastAsia="宋体" w:hAnsi="宋体" w:hint="eastAsia"/>
          <w:sz w:val="24"/>
          <w:szCs w:val="24"/>
        </w:rPr>
        <w:t xml:space="preserve"> </w:t>
      </w:r>
      <w:r w:rsidRPr="004F69AC">
        <w:rPr>
          <w:rFonts w:ascii="宋体" w:eastAsia="宋体" w:hAnsi="宋体"/>
          <w:sz w:val="24"/>
          <w:szCs w:val="24"/>
        </w:rPr>
        <w:t xml:space="preserve"> </w:t>
      </w:r>
    </w:p>
    <w:p w:rsidR="00513A70" w:rsidRPr="004F69AC" w:rsidP="00C92839" w14:textId="10AC68DB">
      <w:pPr>
        <w:pStyle w:val="NoSpacing"/>
        <w:spacing w:line="360" w:lineRule="auto"/>
        <w:rPr>
          <w:rFonts w:ascii="宋体" w:eastAsia="宋体" w:hAnsi="宋体"/>
          <w:sz w:val="24"/>
          <w:szCs w:val="24"/>
        </w:rPr>
      </w:pPr>
      <w:r w:rsidRPr="004F69AC">
        <w:rPr>
          <w:rFonts w:ascii="宋体" w:eastAsia="宋体" w:hAnsi="宋体" w:hint="eastAsia"/>
          <w:sz w:val="24"/>
          <w:szCs w:val="24"/>
        </w:rPr>
        <w:t>（ ）</w:t>
      </w:r>
      <w:r w:rsidRPr="004F69AC">
        <w:rPr>
          <w:rFonts w:ascii="宋体" w:eastAsia="宋体" w:hAnsi="宋体"/>
          <w:sz w:val="24"/>
          <w:szCs w:val="24"/>
        </w:rPr>
        <w:t>36、发达国家货币管制一般较为宽松，货币当局通常不会设定固定的通货膨胀目标。</w:t>
      </w:r>
      <w:r w:rsidRPr="004F69AC">
        <w:rPr>
          <w:rFonts w:ascii="宋体" w:eastAsia="宋体" w:hAnsi="宋体" w:hint="eastAsia"/>
          <w:sz w:val="24"/>
          <w:szCs w:val="24"/>
        </w:rPr>
        <w:t xml:space="preserve"> </w:t>
      </w:r>
      <w:r w:rsidRPr="004F69AC">
        <w:rPr>
          <w:rFonts w:ascii="宋体" w:eastAsia="宋体" w:hAnsi="宋体"/>
          <w:sz w:val="24"/>
          <w:szCs w:val="24"/>
        </w:rPr>
        <w:t xml:space="preserve"> </w:t>
      </w:r>
    </w:p>
    <w:p w:rsidR="00513A70" w:rsidRPr="004F69AC" w:rsidP="00C92839" w14:textId="10AC68DB">
      <w:pPr>
        <w:pStyle w:val="NoSpacing"/>
        <w:spacing w:line="360" w:lineRule="auto"/>
        <w:rPr>
          <w:rFonts w:ascii="宋体" w:eastAsia="宋体" w:hAnsi="宋体"/>
          <w:sz w:val="24"/>
          <w:szCs w:val="24"/>
        </w:rPr>
      </w:pPr>
      <w:r w:rsidRPr="004F69AC">
        <w:rPr>
          <w:rFonts w:ascii="宋体" w:eastAsia="宋体" w:hAnsi="宋体" w:hint="eastAsia"/>
          <w:sz w:val="24"/>
          <w:szCs w:val="24"/>
        </w:rPr>
        <w:t>（ ）</w:t>
      </w:r>
      <w:r w:rsidRPr="004F69AC">
        <w:rPr>
          <w:rFonts w:ascii="宋体" w:eastAsia="宋体" w:hAnsi="宋体"/>
          <w:sz w:val="24"/>
          <w:szCs w:val="24"/>
        </w:rPr>
        <w:t>37、保护性看跌期权策略保障组合的价值固定在某一价格。</w:t>
      </w:r>
      <w:r w:rsidRPr="004F69AC">
        <w:rPr>
          <w:rFonts w:ascii="宋体" w:eastAsia="宋体" w:hAnsi="宋体" w:hint="eastAsia"/>
          <w:sz w:val="24"/>
          <w:szCs w:val="24"/>
        </w:rPr>
        <w:t xml:space="preserve"> </w:t>
      </w:r>
      <w:r w:rsidRPr="004F69AC">
        <w:rPr>
          <w:rFonts w:ascii="宋体" w:eastAsia="宋体" w:hAnsi="宋体"/>
          <w:sz w:val="24"/>
          <w:szCs w:val="24"/>
        </w:rPr>
        <w:t xml:space="preserve"> </w:t>
      </w:r>
    </w:p>
    <w:p w:rsidR="00513A70" w:rsidRPr="004F69AC" w:rsidP="00C92839" w14:textId="10AC68DB">
      <w:pPr>
        <w:pStyle w:val="NoSpacing"/>
        <w:spacing w:line="360" w:lineRule="auto"/>
        <w:rPr>
          <w:rFonts w:ascii="宋体" w:eastAsia="宋体" w:hAnsi="宋体"/>
          <w:sz w:val="24"/>
          <w:szCs w:val="24"/>
        </w:rPr>
      </w:pPr>
      <w:r w:rsidRPr="004F69AC">
        <w:rPr>
          <w:rFonts w:ascii="宋体" w:eastAsia="宋体" w:hAnsi="宋体" w:hint="eastAsia"/>
          <w:sz w:val="24"/>
          <w:szCs w:val="24"/>
        </w:rPr>
        <w:t>（ ）</w:t>
      </w:r>
      <w:r w:rsidRPr="004F69AC">
        <w:rPr>
          <w:rFonts w:ascii="宋体" w:eastAsia="宋体" w:hAnsi="宋体"/>
          <w:sz w:val="24"/>
          <w:szCs w:val="24"/>
        </w:rPr>
        <w:t>38、套期保值者持有的现货价格的变化与国债期货的收益率变化并不完全相关。</w:t>
      </w:r>
      <w:r w:rsidRPr="004F69AC">
        <w:rPr>
          <w:rFonts w:ascii="宋体" w:eastAsia="宋体" w:hAnsi="宋体" w:hint="eastAsia"/>
          <w:sz w:val="24"/>
          <w:szCs w:val="24"/>
        </w:rPr>
        <w:t xml:space="preserve"> </w:t>
      </w:r>
      <w:r w:rsidRPr="004F69AC">
        <w:rPr>
          <w:rFonts w:ascii="宋体" w:eastAsia="宋体" w:hAnsi="宋体"/>
          <w:sz w:val="24"/>
          <w:szCs w:val="24"/>
        </w:rPr>
        <w:t xml:space="preserve"> </w:t>
      </w:r>
    </w:p>
    <w:p w:rsidR="00513A70" w:rsidRPr="004F69AC" w:rsidP="00C92839" w14:textId="10AC68DB">
      <w:pPr>
        <w:pStyle w:val="NoSpacing"/>
        <w:spacing w:line="360" w:lineRule="auto"/>
        <w:rPr>
          <w:rFonts w:ascii="宋体" w:eastAsia="宋体" w:hAnsi="宋体"/>
          <w:sz w:val="24"/>
          <w:szCs w:val="24"/>
        </w:rPr>
      </w:pPr>
      <w:r w:rsidRPr="004F69AC">
        <w:rPr>
          <w:rFonts w:ascii="宋体" w:eastAsia="宋体" w:hAnsi="宋体" w:hint="eastAsia"/>
          <w:sz w:val="24"/>
          <w:szCs w:val="24"/>
        </w:rPr>
        <w:t>（ ）</w:t>
      </w:r>
      <w:r w:rsidRPr="004F69AC">
        <w:rPr>
          <w:rFonts w:ascii="宋体" w:eastAsia="宋体" w:hAnsi="宋体"/>
          <w:sz w:val="24"/>
          <w:szCs w:val="24"/>
        </w:rPr>
        <w:t>39、牵制风险只有期权做市商在从事期权交易的过程中才会遇到。</w:t>
      </w:r>
      <w:r w:rsidRPr="004F69AC">
        <w:rPr>
          <w:rFonts w:ascii="宋体" w:eastAsia="宋体" w:hAnsi="宋体" w:hint="eastAsia"/>
          <w:sz w:val="24"/>
          <w:szCs w:val="24"/>
        </w:rPr>
        <w:t xml:space="preserve"> </w:t>
      </w:r>
      <w:r w:rsidRPr="004F69AC">
        <w:rPr>
          <w:rFonts w:ascii="宋体" w:eastAsia="宋体" w:hAnsi="宋体"/>
          <w:sz w:val="24"/>
          <w:szCs w:val="24"/>
        </w:rPr>
        <w:t xml:space="preserve"> </w:t>
      </w:r>
    </w:p>
    <w:p w:rsidR="00513A70" w:rsidRPr="004F69AC" w:rsidP="00C92839" w14:textId="10AC68DB">
      <w:pPr>
        <w:pStyle w:val="NoSpacing"/>
        <w:spacing w:line="360" w:lineRule="auto"/>
        <w:rPr>
          <w:rFonts w:ascii="宋体" w:eastAsia="宋体" w:hAnsi="宋体"/>
          <w:sz w:val="24"/>
          <w:szCs w:val="24"/>
        </w:rPr>
        <w:sectPr w:rsidSect="00312E8D">
          <w:headerReference w:type="even" r:id="rId13"/>
          <w:headerReference w:type="default" r:id="rId14"/>
          <w:footerReference w:type="default" r:id="rId15"/>
          <w:headerReference w:type="first" r:id="rId16"/>
          <w:type w:val="nextPage"/>
          <w:pgSz w:w="11906" w:h="16838"/>
          <w:pgMar w:top="1440" w:right="1800" w:bottom="1440" w:left="1800" w:header="851" w:footer="992" w:gutter="0"/>
          <w:pgBorders w:offsetFrom="page">
            <w:top w:val="dashed" w:sz="4" w:space="24" w:color="auto"/>
            <w:left w:val="dashed" w:sz="4" w:space="24" w:color="auto"/>
            <w:bottom w:val="dashed" w:sz="4" w:space="24" w:color="auto"/>
            <w:right w:val="dashed" w:sz="4" w:space="24" w:color="auto"/>
          </w:pgBorders>
          <w:pgNumType w:start="3"/>
          <w:cols w:space="425"/>
          <w:titlePg w:val="0"/>
          <w:docGrid w:type="lines" w:linePitch="312"/>
        </w:sectPr>
      </w:pPr>
      <w:r w:rsidRPr="004F69AC">
        <w:rPr>
          <w:rFonts w:ascii="宋体" w:eastAsia="宋体" w:hAnsi="宋体" w:hint="eastAsia"/>
          <w:sz w:val="24"/>
          <w:szCs w:val="24"/>
        </w:rPr>
        <w:t>（ ）</w:t>
      </w:r>
      <w:r w:rsidRPr="004F69AC">
        <w:rPr>
          <w:rFonts w:ascii="宋体" w:eastAsia="宋体" w:hAnsi="宋体"/>
          <w:sz w:val="24"/>
          <w:szCs w:val="24"/>
        </w:rPr>
        <w:t>40、Gamma值较大时，投资者需要频繁调整头寸。</w:t>
      </w:r>
      <w:r w:rsidRPr="004F69AC">
        <w:rPr>
          <w:rFonts w:ascii="宋体" w:eastAsia="宋体" w:hAnsi="宋体" w:hint="eastAsia"/>
          <w:sz w:val="24"/>
          <w:szCs w:val="24"/>
        </w:rPr>
        <w:t xml:space="preserve"> </w:t>
      </w:r>
      <w:r w:rsidRPr="004F69AC">
        <w:rPr>
          <w:rFonts w:ascii="宋体" w:eastAsia="宋体" w:hAnsi="宋体"/>
          <w:sz w:val="24"/>
          <w:szCs w:val="24"/>
        </w:rPr>
        <w:t xml:space="preserve">   </w:t>
      </w:r>
    </w:p>
    <w:p w:rsidR="003F2834" w:rsidRPr="004F69AC" w:rsidP="00A22DC9" w14:paraId="4A6FDC14" w14:textId="405AD849">
      <w:pPr>
        <w:pStyle w:val="Heading2"/>
        <w:jc w:val="center"/>
        <w:rPr>
          <w:rFonts w:ascii="宋体" w:eastAsia="宋体" w:hAnsi="宋体"/>
          <w:sz w:val="24"/>
          <w:szCs w:val="24"/>
        </w:rPr>
      </w:pPr>
      <w:r w:rsidRPr="004F69AC">
        <w:rPr>
          <w:rFonts w:ascii="宋体" w:eastAsia="宋体" w:hAnsi="宋体" w:hint="eastAsia"/>
          <w:sz w:val="24"/>
          <w:szCs w:val="24"/>
        </w:rPr>
        <w:t>参考答案</w:t>
      </w:r>
    </w:p>
    <w:p w:rsidR="00513A70" w:rsidRPr="004F69AC" w:rsidP="00C92839" w14:paraId="18767E9B" w14:textId="78284D5F">
      <w:pPr>
        <w:pStyle w:val="NoSpacing"/>
        <w:spacing w:line="360" w:lineRule="auto"/>
        <w:rPr>
          <w:rFonts w:ascii="宋体" w:eastAsia="宋体" w:hAnsi="宋体"/>
          <w:sz w:val="24"/>
          <w:szCs w:val="24"/>
        </w:rPr>
      </w:pPr>
      <w:r w:rsidRPr="004F69AC">
        <w:rPr>
          <w:rFonts w:ascii="宋体" w:eastAsia="宋体" w:hAnsi="宋体"/>
          <w:sz w:val="24"/>
          <w:szCs w:val="24"/>
        </w:rPr>
        <w:t>一、判断题</w:t>
      </w:r>
    </w:p>
    <w:p w:rsidR="00316A17" w:rsidRPr="004F69AC" w:rsidP="00C92839" w14:paraId="6CAFF40F" w14:textId="64C0A5A5">
      <w:pPr>
        <w:pStyle w:val="NoSpacing"/>
        <w:spacing w:line="360" w:lineRule="auto"/>
        <w:rPr>
          <w:rFonts w:ascii="宋体" w:eastAsia="宋体" w:hAnsi="宋体"/>
          <w:sz w:val="24"/>
          <w:szCs w:val="24"/>
        </w:rPr>
      </w:pPr>
      <w:r w:rsidRPr="004F69AC">
        <w:rPr>
          <w:rFonts w:ascii="宋体" w:eastAsia="宋体" w:hAnsi="宋体"/>
          <w:sz w:val="24"/>
          <w:szCs w:val="24"/>
        </w:rPr>
        <w:t>1、正确</w:t>
      </w:r>
    </w:p>
    <w:p w:rsidR="00316A17" w:rsidRPr="004F69AC" w:rsidP="00C92839" w14:paraId="1CFE49C2" w14:textId="77777777">
      <w:pPr>
        <w:pStyle w:val="NoSpacing"/>
        <w:spacing w:line="360" w:lineRule="auto"/>
        <w:rPr>
          <w:rFonts w:ascii="宋体" w:eastAsia="宋体" w:hAnsi="宋体"/>
          <w:sz w:val="24"/>
          <w:szCs w:val="24"/>
        </w:rPr>
      </w:pPr>
      <w:r w:rsidRPr="004F69AC">
        <w:rPr>
          <w:rFonts w:ascii="宋体" w:eastAsia="宋体" w:hAnsi="宋体"/>
          <w:b/>
          <w:bCs/>
          <w:sz w:val="24"/>
          <w:szCs w:val="24"/>
        </w:rPr>
        <w:t>【解析】</w:t>
      </w:r>
      <w:r w:rsidRPr="004F69AC">
        <w:rPr>
          <w:rFonts w:ascii="宋体" w:eastAsia="宋体" w:hAnsi="宋体"/>
          <w:sz w:val="24"/>
          <w:szCs w:val="24"/>
        </w:rPr>
        <w:t>压力测试可以在金融机构大范围层面，或者在部门层面针对某个资产组合进行，也可以在某个产品层面进行，而且测试的精确性可能更高。这是因为风险因子与产品价值之间的数学联系通常较为明确。</w:t>
      </w:r>
    </w:p>
    <w:p w:rsidR="00513A70" w:rsidRPr="004F69AC" w:rsidP="00C92839" w14:paraId="7D8C222A" w14:textId="7769480E">
      <w:pPr>
        <w:pStyle w:val="NoSpacing"/>
        <w:spacing w:line="360" w:lineRule="auto"/>
        <w:rPr>
          <w:rFonts w:ascii="宋体" w:eastAsia="宋体" w:hAnsi="宋体"/>
          <w:sz w:val="24"/>
          <w:szCs w:val="24"/>
        </w:rPr>
      </w:pPr>
      <w:r w:rsidRPr="004F69AC">
        <w:rPr>
          <w:rFonts w:ascii="宋体" w:eastAsia="宋体" w:hAnsi="宋体"/>
          <w:sz w:val="24"/>
          <w:szCs w:val="24"/>
        </w:rPr>
        <w:t>2、正确</w:t>
      </w:r>
    </w:p>
    <w:p w:rsidR="00316A17" w:rsidRPr="004F69AC" w:rsidP="00C92839" w14:textId="77777777">
      <w:pPr>
        <w:pStyle w:val="NoSpacing"/>
        <w:spacing w:line="360" w:lineRule="auto"/>
        <w:rPr>
          <w:rFonts w:ascii="宋体" w:eastAsia="宋体" w:hAnsi="宋体"/>
          <w:sz w:val="24"/>
          <w:szCs w:val="24"/>
        </w:rPr>
      </w:pPr>
      <w:r w:rsidRPr="004F69AC">
        <w:rPr>
          <w:rFonts w:ascii="宋体" w:eastAsia="宋体" w:hAnsi="宋体"/>
          <w:b/>
          <w:bCs/>
          <w:sz w:val="24"/>
          <w:szCs w:val="24"/>
        </w:rPr>
        <w:t>【解析】</w:t>
      </w:r>
      <w:r w:rsidRPr="004F69AC">
        <w:rPr>
          <w:rFonts w:ascii="宋体" w:eastAsia="宋体" w:hAnsi="宋体"/>
          <w:sz w:val="24"/>
          <w:szCs w:val="24"/>
        </w:rPr>
        <w:t>一般而言，出口型企业出口产品收取外币货款时，将面临本币升值或外币贬值的风险；进口型企业进口产品和设备支付外币时，将面临本币贬值或外币升值的风险。因此，进出口企业可以利用外汇远期、外汇期货、外汇期权以及外汇掉期等汇率类衍生品来对冲汇率波动风险，以减少收支外币的不确定性。</w:t>
      </w:r>
    </w:p>
    <w:p w:rsidR="00513A70" w:rsidRPr="004F69AC" w:rsidP="00C92839" w14:textId="7769480E">
      <w:pPr>
        <w:pStyle w:val="NoSpacing"/>
        <w:spacing w:line="360" w:lineRule="auto"/>
        <w:rPr>
          <w:rFonts w:ascii="宋体" w:eastAsia="宋体" w:hAnsi="宋体"/>
          <w:sz w:val="24"/>
          <w:szCs w:val="24"/>
        </w:rPr>
      </w:pPr>
      <w:r w:rsidRPr="004F69AC">
        <w:rPr>
          <w:rFonts w:ascii="宋体" w:eastAsia="宋体" w:hAnsi="宋体"/>
          <w:sz w:val="24"/>
          <w:szCs w:val="24"/>
        </w:rPr>
        <w:t>3、错误</w:t>
      </w:r>
    </w:p>
    <w:p w:rsidR="00316A17" w:rsidRPr="004F69AC" w:rsidP="00C92839" w14:textId="77777777">
      <w:pPr>
        <w:pStyle w:val="NoSpacing"/>
        <w:spacing w:line="360" w:lineRule="auto"/>
        <w:rPr>
          <w:rFonts w:ascii="宋体" w:eastAsia="宋体" w:hAnsi="宋体"/>
          <w:sz w:val="24"/>
          <w:szCs w:val="24"/>
        </w:rPr>
      </w:pPr>
      <w:r w:rsidRPr="004F69AC">
        <w:rPr>
          <w:rFonts w:ascii="宋体" w:eastAsia="宋体" w:hAnsi="宋体"/>
          <w:b/>
          <w:bCs/>
          <w:sz w:val="24"/>
          <w:szCs w:val="24"/>
        </w:rPr>
        <w:t>【解析】</w:t>
      </w:r>
      <w:r w:rsidRPr="004F69AC">
        <w:rPr>
          <w:rFonts w:ascii="宋体" w:eastAsia="宋体" w:hAnsi="宋体"/>
          <w:sz w:val="24"/>
          <w:szCs w:val="24"/>
        </w:rPr>
        <w:t>随着市场效率的提高，例如在成熟的大盘股市场或债券市场上，想赚取超额收益是很困难的，找到更有可能获取超额收益的新兴市场（如创业板市场）才有可能获得超越市场收益的Alpha。但是，这些市场的系统风险却又比成熟市场大，是投资者所不愿意面对的。</w:t>
      </w:r>
    </w:p>
    <w:p w:rsidR="00513A70" w:rsidRPr="004F69AC" w:rsidP="00C92839" w14:textId="7769480E">
      <w:pPr>
        <w:pStyle w:val="NoSpacing"/>
        <w:spacing w:line="360" w:lineRule="auto"/>
        <w:rPr>
          <w:rFonts w:ascii="宋体" w:eastAsia="宋体" w:hAnsi="宋体"/>
          <w:sz w:val="24"/>
          <w:szCs w:val="24"/>
        </w:rPr>
      </w:pPr>
      <w:r w:rsidRPr="004F69AC">
        <w:rPr>
          <w:rFonts w:ascii="宋体" w:eastAsia="宋体" w:hAnsi="宋体"/>
          <w:sz w:val="24"/>
          <w:szCs w:val="24"/>
        </w:rPr>
        <w:t>4、错误</w:t>
      </w:r>
    </w:p>
    <w:p w:rsidR="00316A17" w:rsidRPr="004F69AC" w:rsidP="00C92839" w14:textId="77777777">
      <w:pPr>
        <w:pStyle w:val="NoSpacing"/>
        <w:spacing w:line="360" w:lineRule="auto"/>
        <w:rPr>
          <w:rFonts w:ascii="宋体" w:eastAsia="宋体" w:hAnsi="宋体"/>
          <w:sz w:val="24"/>
          <w:szCs w:val="24"/>
        </w:rPr>
      </w:pPr>
      <w:r w:rsidRPr="004F69AC">
        <w:rPr>
          <w:rFonts w:ascii="宋体" w:eastAsia="宋体" w:hAnsi="宋体"/>
          <w:b/>
          <w:bCs/>
          <w:sz w:val="24"/>
          <w:szCs w:val="24"/>
        </w:rPr>
        <w:t>【解析】</w:t>
      </w:r>
      <w:r w:rsidRPr="004F69AC">
        <w:rPr>
          <w:rFonts w:ascii="宋体" w:eastAsia="宋体" w:hAnsi="宋体"/>
          <w:sz w:val="24"/>
          <w:szCs w:val="24"/>
        </w:rPr>
        <w:t>由于互换协议相对于远期协议而言，可以约定多次现金流的互换，从而可以省却多次交易的麻烦。而且互换协议的定价是线性的，更加简单，更易于定价，也更受用户偏爱。所以在场外衍生品市场中，互换协议是交易规模最大的。</w:t>
      </w:r>
    </w:p>
    <w:p w:rsidR="00513A70" w:rsidRPr="004F69AC" w:rsidP="00C92839" w14:textId="7769480E">
      <w:pPr>
        <w:pStyle w:val="NoSpacing"/>
        <w:spacing w:line="360" w:lineRule="auto"/>
        <w:rPr>
          <w:rFonts w:ascii="宋体" w:eastAsia="宋体" w:hAnsi="宋体"/>
          <w:sz w:val="24"/>
          <w:szCs w:val="24"/>
        </w:rPr>
      </w:pPr>
      <w:r w:rsidRPr="004F69AC">
        <w:rPr>
          <w:rFonts w:ascii="宋体" w:eastAsia="宋体" w:hAnsi="宋体"/>
          <w:sz w:val="24"/>
          <w:szCs w:val="24"/>
        </w:rPr>
        <w:t>5、正确</w:t>
      </w:r>
    </w:p>
    <w:p w:rsidR="00316A17" w:rsidRPr="004F69AC" w:rsidP="00C92839" w14:textId="77777777">
      <w:pPr>
        <w:pStyle w:val="NoSpacing"/>
        <w:spacing w:line="360" w:lineRule="auto"/>
        <w:rPr>
          <w:rFonts w:ascii="宋体" w:eastAsia="宋体" w:hAnsi="宋体"/>
          <w:sz w:val="24"/>
          <w:szCs w:val="24"/>
        </w:rPr>
      </w:pPr>
      <w:r w:rsidRPr="004F69AC">
        <w:rPr>
          <w:rFonts w:ascii="宋体" w:eastAsia="宋体" w:hAnsi="宋体"/>
          <w:b/>
          <w:bCs/>
          <w:sz w:val="24"/>
          <w:szCs w:val="24"/>
        </w:rPr>
        <w:t>【解析】</w:t>
      </w:r>
      <w:r w:rsidRPr="004F69AC">
        <w:rPr>
          <w:rFonts w:ascii="宋体" w:eastAsia="宋体" w:hAnsi="宋体"/>
          <w:sz w:val="24"/>
          <w:szCs w:val="24"/>
        </w:rPr>
        <w:t>央行货币互换的运作机制是中央银行将通过互换协议而得到的外币注入本国金融体系，使本国的商业机构可以从本国金融机构借入对方国家的货币并用于支付从对方国家进口的商品，这样，在双边贸易中出口企业将会收到本币货款，从而可以有效规避汇率风险，降低汇兑费用。</w:t>
      </w:r>
    </w:p>
    <w:p w:rsidR="00513A70" w:rsidRPr="004F69AC" w:rsidP="00C92839" w14:textId="7769480E">
      <w:pPr>
        <w:pStyle w:val="NoSpacing"/>
        <w:spacing w:line="360" w:lineRule="auto"/>
        <w:rPr>
          <w:rFonts w:ascii="宋体" w:eastAsia="宋体" w:hAnsi="宋体"/>
          <w:sz w:val="24"/>
          <w:szCs w:val="24"/>
        </w:rPr>
        <w:sectPr w:rsidSect="00312E8D">
          <w:headerReference w:type="even" r:id="rId17"/>
          <w:headerReference w:type="default" r:id="rId18"/>
          <w:footerReference w:type="default" r:id="rId19"/>
          <w:headerReference w:type="first" r:id="rId20"/>
          <w:type w:val="nextPage"/>
          <w:pgSz w:w="11906" w:h="16838"/>
          <w:pgMar w:top="1440" w:right="1800" w:bottom="1440" w:left="1800" w:header="851" w:footer="992" w:gutter="0"/>
          <w:pgBorders w:offsetFrom="page">
            <w:top w:val="dashed" w:sz="4" w:space="24" w:color="auto"/>
            <w:left w:val="dashed" w:sz="4" w:space="24" w:color="auto"/>
            <w:bottom w:val="dashed" w:sz="4" w:space="24" w:color="auto"/>
            <w:right w:val="dashed" w:sz="4" w:space="24" w:color="auto"/>
          </w:pgBorders>
          <w:pgNumType w:start="4"/>
          <w:cols w:space="425"/>
          <w:titlePg w:val="0"/>
          <w:docGrid w:type="lines" w:linePitch="312"/>
        </w:sectPr>
      </w:pPr>
      <w:r w:rsidRPr="004F69AC">
        <w:rPr>
          <w:rFonts w:ascii="宋体" w:eastAsia="宋体" w:hAnsi="宋体"/>
          <w:sz w:val="24"/>
          <w:szCs w:val="24"/>
        </w:rPr>
        <w:t>6、错误</w:t>
      </w:r>
    </w:p>
    <w:p w:rsidR="00316A17" w:rsidRPr="004F69AC" w:rsidP="00C92839" w14:textId="77777777">
      <w:pPr>
        <w:pStyle w:val="NoSpacing"/>
        <w:spacing w:line="360" w:lineRule="auto"/>
        <w:rPr>
          <w:rFonts w:ascii="宋体" w:eastAsia="宋体" w:hAnsi="宋体"/>
          <w:sz w:val="24"/>
          <w:szCs w:val="24"/>
        </w:rPr>
      </w:pPr>
      <w:r w:rsidRPr="004F69AC">
        <w:rPr>
          <w:rFonts w:ascii="宋体" w:eastAsia="宋体" w:hAnsi="宋体"/>
          <w:b/>
          <w:bCs/>
          <w:sz w:val="24"/>
          <w:szCs w:val="24"/>
        </w:rPr>
        <w:t>【解析】</w:t>
      </w:r>
      <w:r w:rsidRPr="004F69AC">
        <w:rPr>
          <w:rFonts w:ascii="宋体" w:eastAsia="宋体" w:hAnsi="宋体"/>
          <w:sz w:val="24"/>
          <w:szCs w:val="24"/>
        </w:rPr>
        <w:t>当金融市场的名义利率比较低，而且收益率曲线呈现较为陡峭的正向形态时，追求高投资收益的投资者通常会选择区间浮动利率票据。</w:t>
      </w:r>
    </w:p>
    <w:p w:rsidR="00513A70" w:rsidRPr="004F69AC" w:rsidP="00C92839" w14:textId="7769480E">
      <w:pPr>
        <w:pStyle w:val="NoSpacing"/>
        <w:spacing w:line="360" w:lineRule="auto"/>
        <w:rPr>
          <w:rFonts w:ascii="宋体" w:eastAsia="宋体" w:hAnsi="宋体"/>
          <w:sz w:val="24"/>
          <w:szCs w:val="24"/>
        </w:rPr>
      </w:pPr>
      <w:r w:rsidRPr="004F69AC">
        <w:rPr>
          <w:rFonts w:ascii="宋体" w:eastAsia="宋体" w:hAnsi="宋体"/>
          <w:sz w:val="24"/>
          <w:szCs w:val="24"/>
        </w:rPr>
        <w:t>7、错误</w:t>
      </w:r>
    </w:p>
    <w:p w:rsidR="00316A17" w:rsidRPr="004F69AC" w:rsidP="00C92839" w14:textId="77777777">
      <w:pPr>
        <w:pStyle w:val="NoSpacing"/>
        <w:spacing w:line="360" w:lineRule="auto"/>
        <w:rPr>
          <w:rFonts w:ascii="宋体" w:eastAsia="宋体" w:hAnsi="宋体"/>
          <w:sz w:val="24"/>
          <w:szCs w:val="24"/>
        </w:rPr>
      </w:pPr>
      <w:r w:rsidRPr="004F69AC">
        <w:rPr>
          <w:rFonts w:ascii="宋体" w:eastAsia="宋体" w:hAnsi="宋体"/>
          <w:b/>
          <w:bCs/>
          <w:sz w:val="24"/>
          <w:szCs w:val="24"/>
        </w:rPr>
        <w:t>【解析】</w:t>
      </w:r>
      <w:r w:rsidRPr="004F69AC">
        <w:rPr>
          <w:rFonts w:ascii="宋体" w:eastAsia="宋体" w:hAnsi="宋体"/>
          <w:sz w:val="24"/>
          <w:szCs w:val="24"/>
        </w:rPr>
        <w:t>中国的GDP数据由中国国家统计局发布，年度GDP初步核算数据在年后20天公布，而独立于季度核算的年度GDP核算初步核实数据在年后9个月公布，最终核实数据在年后17个月公布。</w:t>
      </w:r>
    </w:p>
    <w:p w:rsidR="00513A70" w:rsidRPr="004F69AC" w:rsidP="00C92839" w14:textId="7769480E">
      <w:pPr>
        <w:pStyle w:val="NoSpacing"/>
        <w:spacing w:line="360" w:lineRule="auto"/>
        <w:rPr>
          <w:rFonts w:ascii="宋体" w:eastAsia="宋体" w:hAnsi="宋体"/>
          <w:sz w:val="24"/>
          <w:szCs w:val="24"/>
        </w:rPr>
      </w:pPr>
      <w:r w:rsidRPr="004F69AC">
        <w:rPr>
          <w:rFonts w:ascii="宋体" w:eastAsia="宋体" w:hAnsi="宋体"/>
          <w:sz w:val="24"/>
          <w:szCs w:val="24"/>
        </w:rPr>
        <w:t>8、正确</w:t>
      </w:r>
    </w:p>
    <w:p w:rsidR="00316A17" w:rsidRPr="004F69AC" w:rsidP="00C92839" w14:textId="77777777">
      <w:pPr>
        <w:pStyle w:val="NoSpacing"/>
        <w:spacing w:line="360" w:lineRule="auto"/>
        <w:rPr>
          <w:rFonts w:ascii="宋体" w:eastAsia="宋体" w:hAnsi="宋体"/>
          <w:sz w:val="24"/>
          <w:szCs w:val="24"/>
        </w:rPr>
      </w:pPr>
      <w:r w:rsidRPr="004F69AC">
        <w:rPr>
          <w:rFonts w:ascii="宋体" w:eastAsia="宋体" w:hAnsi="宋体"/>
          <w:b/>
          <w:bCs/>
          <w:sz w:val="24"/>
          <w:szCs w:val="24"/>
        </w:rPr>
        <w:t>【解析】</w:t>
      </w:r>
      <w:r w:rsidRPr="004F69AC">
        <w:rPr>
          <w:rFonts w:ascii="宋体" w:eastAsia="宋体" w:hAnsi="宋体"/>
          <w:sz w:val="24"/>
          <w:szCs w:val="24"/>
        </w:rPr>
        <w:t>基准汇价是中国人民银行每日公布的人民币兑美元、欧元、日元、港币的市场交易中间价，该中间价是各外汇制定银行之间以及外汇指定银行之间人民币兑美元、欧元、日元、港币买卖的交易基准汇价。</w:t>
      </w:r>
    </w:p>
    <w:p w:rsidR="00513A70" w:rsidRPr="004F69AC" w:rsidP="00C92839" w14:textId="7769480E">
      <w:pPr>
        <w:pStyle w:val="NoSpacing"/>
        <w:spacing w:line="360" w:lineRule="auto"/>
        <w:rPr>
          <w:rFonts w:ascii="宋体" w:eastAsia="宋体" w:hAnsi="宋体"/>
          <w:sz w:val="24"/>
          <w:szCs w:val="24"/>
        </w:rPr>
      </w:pPr>
      <w:r w:rsidRPr="004F69AC">
        <w:rPr>
          <w:rFonts w:ascii="宋体" w:eastAsia="宋体" w:hAnsi="宋体"/>
          <w:sz w:val="24"/>
          <w:szCs w:val="24"/>
        </w:rPr>
        <w:t>9、正确</w:t>
      </w:r>
    </w:p>
    <w:p w:rsidR="00316A17" w:rsidRPr="004F69AC" w:rsidP="00C92839" w14:textId="77777777">
      <w:pPr>
        <w:pStyle w:val="NoSpacing"/>
        <w:spacing w:line="360" w:lineRule="auto"/>
        <w:rPr>
          <w:rFonts w:ascii="宋体" w:eastAsia="宋体" w:hAnsi="宋体"/>
          <w:sz w:val="24"/>
          <w:szCs w:val="24"/>
        </w:rPr>
      </w:pPr>
      <w:r w:rsidRPr="004F69AC">
        <w:rPr>
          <w:rFonts w:ascii="宋体" w:eastAsia="宋体" w:hAnsi="宋体"/>
          <w:b/>
          <w:bCs/>
          <w:sz w:val="24"/>
          <w:szCs w:val="24"/>
        </w:rPr>
        <w:t>【解析】</w:t>
      </w:r>
      <w:r w:rsidRPr="004F69AC">
        <w:rPr>
          <w:rFonts w:ascii="宋体" w:eastAsia="宋体" w:hAnsi="宋体"/>
          <w:sz w:val="24"/>
          <w:szCs w:val="24"/>
        </w:rPr>
        <w:t>互换是指交易双方同意在约定的时间长度内，按照指定货币以约定的形式交换一系列现金流支付的行为。</w:t>
      </w:r>
    </w:p>
    <w:p w:rsidR="00513A70" w:rsidRPr="004F69AC" w:rsidP="00C92839" w14:textId="7769480E">
      <w:pPr>
        <w:pStyle w:val="NoSpacing"/>
        <w:spacing w:line="360" w:lineRule="auto"/>
        <w:rPr>
          <w:rFonts w:ascii="宋体" w:eastAsia="宋体" w:hAnsi="宋体"/>
          <w:sz w:val="24"/>
          <w:szCs w:val="24"/>
        </w:rPr>
      </w:pPr>
      <w:r w:rsidRPr="004F69AC">
        <w:rPr>
          <w:rFonts w:ascii="宋体" w:eastAsia="宋体" w:hAnsi="宋体"/>
          <w:sz w:val="24"/>
          <w:szCs w:val="24"/>
        </w:rPr>
        <w:t>10、错误</w:t>
      </w:r>
    </w:p>
    <w:p w:rsidR="00316A17" w:rsidRPr="004F69AC" w:rsidP="00C92839" w14:textId="77777777">
      <w:pPr>
        <w:pStyle w:val="NoSpacing"/>
        <w:spacing w:line="360" w:lineRule="auto"/>
        <w:rPr>
          <w:rFonts w:ascii="宋体" w:eastAsia="宋体" w:hAnsi="宋体"/>
          <w:sz w:val="24"/>
          <w:szCs w:val="24"/>
        </w:rPr>
      </w:pPr>
      <w:r w:rsidRPr="004F69AC">
        <w:rPr>
          <w:rFonts w:ascii="宋体" w:eastAsia="宋体" w:hAnsi="宋体"/>
          <w:b/>
          <w:bCs/>
          <w:sz w:val="24"/>
          <w:szCs w:val="24"/>
        </w:rPr>
        <w:t>【解析】</w:t>
      </w:r>
      <w:r w:rsidRPr="004F69AC">
        <w:rPr>
          <w:rFonts w:ascii="宋体" w:eastAsia="宋体" w:hAnsi="宋体"/>
          <w:sz w:val="24"/>
          <w:szCs w:val="24"/>
        </w:rPr>
        <w:t>基差卖方风险主要集中在与基差买方签订合同前的阶段。</w:t>
      </w:r>
    </w:p>
    <w:p w:rsidR="00513A70" w:rsidRPr="004F69AC" w:rsidP="00C92839" w14:textId="7769480E">
      <w:pPr>
        <w:pStyle w:val="NoSpacing"/>
        <w:spacing w:line="360" w:lineRule="auto"/>
        <w:rPr>
          <w:rFonts w:ascii="宋体" w:eastAsia="宋体" w:hAnsi="宋体"/>
          <w:sz w:val="24"/>
          <w:szCs w:val="24"/>
        </w:rPr>
      </w:pPr>
      <w:r w:rsidRPr="004F69AC">
        <w:rPr>
          <w:rFonts w:ascii="宋体" w:eastAsia="宋体" w:hAnsi="宋体"/>
          <w:sz w:val="24"/>
          <w:szCs w:val="24"/>
        </w:rPr>
        <w:t>11、错误</w:t>
      </w:r>
    </w:p>
    <w:p w:rsidR="00316A17" w:rsidRPr="004F69AC" w:rsidP="00C92839" w14:textId="77777777">
      <w:pPr>
        <w:pStyle w:val="NoSpacing"/>
        <w:spacing w:line="360" w:lineRule="auto"/>
        <w:rPr>
          <w:rFonts w:ascii="宋体" w:eastAsia="宋体" w:hAnsi="宋体"/>
          <w:sz w:val="24"/>
          <w:szCs w:val="24"/>
        </w:rPr>
      </w:pPr>
      <w:r w:rsidRPr="004F69AC">
        <w:rPr>
          <w:rFonts w:ascii="宋体" w:eastAsia="宋体" w:hAnsi="宋体"/>
          <w:b/>
          <w:bCs/>
          <w:sz w:val="24"/>
          <w:szCs w:val="24"/>
        </w:rPr>
        <w:t>【解析】</w:t>
      </w:r>
      <w:r w:rsidRPr="004F69AC">
        <w:rPr>
          <w:rFonts w:ascii="宋体" w:eastAsia="宋体" w:hAnsi="宋体"/>
          <w:sz w:val="24"/>
          <w:szCs w:val="24"/>
        </w:rPr>
        <w:t>在无套利区间中，当期货的实际价格高于区间上限时，可以买入现货同时卖出期货进行套利。同理，当期货的实际价格低于区间下限时，可以买入期货同时卖出现货进行套利。</w:t>
      </w:r>
    </w:p>
    <w:p w:rsidR="00513A70" w:rsidRPr="004F69AC" w:rsidP="00C92839" w14:textId="7769480E">
      <w:pPr>
        <w:pStyle w:val="NoSpacing"/>
        <w:spacing w:line="360" w:lineRule="auto"/>
        <w:rPr>
          <w:rFonts w:ascii="宋体" w:eastAsia="宋体" w:hAnsi="宋体"/>
          <w:sz w:val="24"/>
          <w:szCs w:val="24"/>
        </w:rPr>
      </w:pPr>
      <w:r w:rsidRPr="004F69AC">
        <w:rPr>
          <w:rFonts w:ascii="宋体" w:eastAsia="宋体" w:hAnsi="宋体"/>
          <w:sz w:val="24"/>
          <w:szCs w:val="24"/>
        </w:rPr>
        <w:t>12、错误</w:t>
      </w:r>
    </w:p>
    <w:p w:rsidR="00316A17" w:rsidRPr="004F69AC" w:rsidP="00C92839" w14:textId="77777777">
      <w:pPr>
        <w:pStyle w:val="NoSpacing"/>
        <w:spacing w:line="360" w:lineRule="auto"/>
        <w:rPr>
          <w:rFonts w:ascii="宋体" w:eastAsia="宋体" w:hAnsi="宋体"/>
          <w:sz w:val="24"/>
          <w:szCs w:val="24"/>
        </w:rPr>
      </w:pPr>
      <w:r w:rsidRPr="004F69AC">
        <w:rPr>
          <w:rFonts w:ascii="宋体" w:eastAsia="宋体" w:hAnsi="宋体"/>
          <w:b/>
          <w:bCs/>
          <w:sz w:val="24"/>
          <w:szCs w:val="24"/>
        </w:rPr>
        <w:t>【解析】</w:t>
      </w:r>
      <w:r w:rsidRPr="004F69AC">
        <w:rPr>
          <w:rFonts w:ascii="宋体" w:eastAsia="宋体" w:hAnsi="宋体"/>
          <w:sz w:val="24"/>
          <w:szCs w:val="24"/>
        </w:rPr>
        <w:t>市面上的升贴水报价并不是唯一的，也不是固定的，每个基差卖家的升贴水报价可能不一样，所以买方可以通过多次询价，货比三家，为谈判提供讨价还价的理由和依据。</w:t>
      </w:r>
    </w:p>
    <w:p w:rsidR="00513A70" w:rsidRPr="004F69AC" w:rsidP="00C92839" w14:textId="7769480E">
      <w:pPr>
        <w:pStyle w:val="NoSpacing"/>
        <w:spacing w:line="360" w:lineRule="auto"/>
        <w:rPr>
          <w:rFonts w:ascii="宋体" w:eastAsia="宋体" w:hAnsi="宋体"/>
          <w:sz w:val="24"/>
          <w:szCs w:val="24"/>
        </w:rPr>
      </w:pPr>
      <w:r w:rsidRPr="004F69AC">
        <w:rPr>
          <w:rFonts w:ascii="宋体" w:eastAsia="宋体" w:hAnsi="宋体"/>
          <w:sz w:val="24"/>
          <w:szCs w:val="24"/>
        </w:rPr>
        <w:t>13、正确</w:t>
      </w:r>
    </w:p>
    <w:p w:rsidR="00316A17" w:rsidRPr="004F69AC" w:rsidP="00C92839" w14:textId="77777777">
      <w:pPr>
        <w:pStyle w:val="NoSpacing"/>
        <w:spacing w:line="360" w:lineRule="auto"/>
        <w:rPr>
          <w:rFonts w:ascii="宋体" w:eastAsia="宋体" w:hAnsi="宋体"/>
          <w:sz w:val="24"/>
          <w:szCs w:val="24"/>
        </w:rPr>
      </w:pPr>
      <w:r w:rsidRPr="004F69AC">
        <w:rPr>
          <w:rFonts w:ascii="宋体" w:eastAsia="宋体" w:hAnsi="宋体"/>
          <w:b/>
          <w:bCs/>
          <w:sz w:val="24"/>
          <w:szCs w:val="24"/>
        </w:rPr>
        <w:t>【解析】</w:t>
      </w:r>
      <w:r w:rsidRPr="004F69AC">
        <w:rPr>
          <w:rFonts w:ascii="宋体" w:eastAsia="宋体" w:hAnsi="宋体"/>
          <w:sz w:val="24"/>
          <w:szCs w:val="24"/>
        </w:rPr>
        <w:t>在中国的利率政策中，1年期的存贷款利率具有基准利率的作用，在此基础上，其他存贷款利率经过复利计算确定。2007年1月4日开始运行的上海银行间同业拆借利率（Shibor）是目前中国人民银行着力培养的市场基准利率。</w:t>
      </w:r>
    </w:p>
    <w:p w:rsidR="00513A70" w:rsidRPr="004F69AC" w:rsidP="00C92839" w14:textId="7769480E">
      <w:pPr>
        <w:pStyle w:val="NoSpacing"/>
        <w:spacing w:line="360" w:lineRule="auto"/>
        <w:rPr>
          <w:rFonts w:ascii="宋体" w:eastAsia="宋体" w:hAnsi="宋体"/>
          <w:sz w:val="24"/>
          <w:szCs w:val="24"/>
        </w:rPr>
        <w:sectPr w:rsidSect="00312E8D">
          <w:headerReference w:type="even" r:id="rId21"/>
          <w:headerReference w:type="default" r:id="rId22"/>
          <w:footerReference w:type="default" r:id="rId23"/>
          <w:headerReference w:type="first" r:id="rId24"/>
          <w:type w:val="nextPage"/>
          <w:pgSz w:w="11906" w:h="16838"/>
          <w:pgMar w:top="1440" w:right="1800" w:bottom="1440" w:left="1800" w:header="851" w:footer="992" w:gutter="0"/>
          <w:pgBorders w:offsetFrom="page">
            <w:top w:val="dashed" w:sz="4" w:space="24" w:color="auto"/>
            <w:left w:val="dashed" w:sz="4" w:space="24" w:color="auto"/>
            <w:bottom w:val="dashed" w:sz="4" w:space="24" w:color="auto"/>
            <w:right w:val="dashed" w:sz="4" w:space="24" w:color="auto"/>
          </w:pgBorders>
          <w:pgNumType w:start="5"/>
          <w:cols w:space="425"/>
          <w:titlePg w:val="0"/>
          <w:docGrid w:type="lines" w:linePitch="312"/>
        </w:sectPr>
      </w:pPr>
      <w:r w:rsidRPr="004F69AC">
        <w:rPr>
          <w:rFonts w:ascii="宋体" w:eastAsia="宋体" w:hAnsi="宋体"/>
          <w:sz w:val="24"/>
          <w:szCs w:val="24"/>
        </w:rPr>
        <w:t>14、错误</w:t>
      </w:r>
    </w:p>
    <w:p w:rsidR="00316A17" w:rsidRPr="004F69AC" w:rsidP="00C92839" w14:textId="77777777">
      <w:pPr>
        <w:pStyle w:val="NoSpacing"/>
        <w:spacing w:line="360" w:lineRule="auto"/>
        <w:rPr>
          <w:rFonts w:ascii="宋体" w:eastAsia="宋体" w:hAnsi="宋体"/>
          <w:sz w:val="24"/>
          <w:szCs w:val="24"/>
        </w:rPr>
      </w:pPr>
      <w:r w:rsidRPr="004F69AC">
        <w:rPr>
          <w:rFonts w:ascii="宋体" w:eastAsia="宋体" w:hAnsi="宋体"/>
          <w:b/>
          <w:bCs/>
          <w:sz w:val="24"/>
          <w:szCs w:val="24"/>
        </w:rPr>
        <w:t>【解析】</w:t>
      </w:r>
      <w:r w:rsidRPr="004F69AC">
        <w:rPr>
          <w:rFonts w:ascii="宋体" w:eastAsia="宋体" w:hAnsi="宋体"/>
          <w:sz w:val="24"/>
          <w:szCs w:val="24"/>
        </w:rPr>
        <w:t>价格指数是衡量物价总水平在任何一个时期相对于基期变化的指标。最重要的价格指数包括消费者价格指数（CPI）和生产者价格指数（PPI）。</w:t>
      </w:r>
    </w:p>
    <w:p w:rsidR="00513A70" w:rsidRPr="004F69AC" w:rsidP="00C92839" w14:textId="7769480E">
      <w:pPr>
        <w:pStyle w:val="NoSpacing"/>
        <w:spacing w:line="360" w:lineRule="auto"/>
        <w:rPr>
          <w:rFonts w:ascii="宋体" w:eastAsia="宋体" w:hAnsi="宋体"/>
          <w:sz w:val="24"/>
          <w:szCs w:val="24"/>
        </w:rPr>
      </w:pPr>
      <w:r w:rsidRPr="004F69AC">
        <w:rPr>
          <w:rFonts w:ascii="宋体" w:eastAsia="宋体" w:hAnsi="宋体"/>
          <w:sz w:val="24"/>
          <w:szCs w:val="24"/>
        </w:rPr>
        <w:t>15、正确</w:t>
      </w:r>
    </w:p>
    <w:p w:rsidR="00316A17" w:rsidRPr="004F69AC" w:rsidP="00C92839" w14:textId="77777777">
      <w:pPr>
        <w:pStyle w:val="NoSpacing"/>
        <w:spacing w:line="360" w:lineRule="auto"/>
        <w:rPr>
          <w:rFonts w:ascii="宋体" w:eastAsia="宋体" w:hAnsi="宋体"/>
          <w:sz w:val="24"/>
          <w:szCs w:val="24"/>
        </w:rPr>
      </w:pPr>
      <w:r w:rsidRPr="004F69AC">
        <w:rPr>
          <w:rFonts w:ascii="宋体" w:eastAsia="宋体" w:hAnsi="宋体"/>
          <w:b/>
          <w:bCs/>
          <w:sz w:val="24"/>
          <w:szCs w:val="24"/>
        </w:rPr>
        <w:t>【解析】</w:t>
      </w:r>
      <w:r w:rsidRPr="004F69AC">
        <w:rPr>
          <w:rFonts w:ascii="宋体" w:eastAsia="宋体" w:hAnsi="宋体"/>
          <w:sz w:val="24"/>
          <w:szCs w:val="24"/>
        </w:rPr>
        <w:t>物价总水平，是指商品和服务的价格经过加权后的平均价格，通常用价格指数来衡量。</w:t>
      </w:r>
    </w:p>
    <w:p w:rsidR="00513A70" w:rsidRPr="004F69AC" w:rsidP="00C92839" w14:textId="7769480E">
      <w:pPr>
        <w:pStyle w:val="NoSpacing"/>
        <w:spacing w:line="360" w:lineRule="auto"/>
        <w:rPr>
          <w:rFonts w:ascii="宋体" w:eastAsia="宋体" w:hAnsi="宋体"/>
          <w:sz w:val="24"/>
          <w:szCs w:val="24"/>
        </w:rPr>
      </w:pPr>
      <w:r w:rsidRPr="004F69AC">
        <w:rPr>
          <w:rFonts w:ascii="宋体" w:eastAsia="宋体" w:hAnsi="宋体"/>
          <w:sz w:val="24"/>
          <w:szCs w:val="24"/>
        </w:rPr>
        <w:t>16、正确</w:t>
      </w:r>
    </w:p>
    <w:p w:rsidR="00316A17" w:rsidRPr="004F69AC" w:rsidP="00C92839" w14:textId="77777777">
      <w:pPr>
        <w:pStyle w:val="NoSpacing"/>
        <w:spacing w:line="360" w:lineRule="auto"/>
        <w:rPr>
          <w:rFonts w:ascii="宋体" w:eastAsia="宋体" w:hAnsi="宋体"/>
          <w:sz w:val="24"/>
          <w:szCs w:val="24"/>
        </w:rPr>
      </w:pPr>
      <w:r w:rsidRPr="004F69AC">
        <w:rPr>
          <w:rFonts w:ascii="宋体" w:eastAsia="宋体" w:hAnsi="宋体"/>
          <w:b/>
          <w:bCs/>
          <w:sz w:val="24"/>
          <w:szCs w:val="24"/>
        </w:rPr>
        <w:t>【解析】</w:t>
      </w:r>
      <w:r w:rsidRPr="004F69AC">
        <w:rPr>
          <w:rFonts w:ascii="宋体" w:eastAsia="宋体" w:hAnsi="宋体"/>
          <w:sz w:val="24"/>
          <w:szCs w:val="24"/>
        </w:rPr>
        <w:t>相对于场内期权而言，场外期权的各个合约条款都不必是标准化的，合约的买卖双方可以依据双方的需求而进行协商确定。</w:t>
      </w:r>
    </w:p>
    <w:p w:rsidR="00513A70" w:rsidRPr="004F69AC" w:rsidP="00C92839" w14:textId="7769480E">
      <w:pPr>
        <w:pStyle w:val="NoSpacing"/>
        <w:spacing w:line="360" w:lineRule="auto"/>
        <w:rPr>
          <w:rFonts w:ascii="宋体" w:eastAsia="宋体" w:hAnsi="宋体"/>
          <w:sz w:val="24"/>
          <w:szCs w:val="24"/>
        </w:rPr>
      </w:pPr>
      <w:r w:rsidRPr="004F69AC">
        <w:rPr>
          <w:rFonts w:ascii="宋体" w:eastAsia="宋体" w:hAnsi="宋体"/>
          <w:sz w:val="24"/>
          <w:szCs w:val="24"/>
        </w:rPr>
        <w:t>17、正确</w:t>
      </w:r>
    </w:p>
    <w:p w:rsidR="00316A17" w:rsidRPr="004F69AC" w:rsidP="00C92839" w14:textId="77777777">
      <w:pPr>
        <w:pStyle w:val="NoSpacing"/>
        <w:spacing w:line="360" w:lineRule="auto"/>
        <w:rPr>
          <w:rFonts w:ascii="宋体" w:eastAsia="宋体" w:hAnsi="宋体"/>
          <w:sz w:val="24"/>
          <w:szCs w:val="24"/>
        </w:rPr>
      </w:pPr>
      <w:r w:rsidRPr="004F69AC">
        <w:rPr>
          <w:rFonts w:ascii="宋体" w:eastAsia="宋体" w:hAnsi="宋体"/>
          <w:b/>
          <w:bCs/>
          <w:sz w:val="24"/>
          <w:szCs w:val="24"/>
        </w:rPr>
        <w:t>【解析】</w:t>
      </w:r>
      <w:r w:rsidRPr="004F69AC">
        <w:rPr>
          <w:rFonts w:ascii="宋体" w:eastAsia="宋体" w:hAnsi="宋体"/>
          <w:sz w:val="24"/>
          <w:szCs w:val="24"/>
        </w:rPr>
        <w:t>当标的指数上涨时，未对冲情况下的净值总是高于对冲情况下的净值。</w:t>
      </w:r>
    </w:p>
    <w:p w:rsidR="00513A70" w:rsidRPr="004F69AC" w:rsidP="00C92839" w14:textId="7769480E">
      <w:pPr>
        <w:pStyle w:val="NoSpacing"/>
        <w:spacing w:line="360" w:lineRule="auto"/>
        <w:rPr>
          <w:rFonts w:ascii="宋体" w:eastAsia="宋体" w:hAnsi="宋体"/>
          <w:sz w:val="24"/>
          <w:szCs w:val="24"/>
        </w:rPr>
      </w:pPr>
      <w:r w:rsidRPr="004F69AC">
        <w:rPr>
          <w:rFonts w:ascii="宋体" w:eastAsia="宋体" w:hAnsi="宋体"/>
          <w:sz w:val="24"/>
          <w:szCs w:val="24"/>
        </w:rPr>
        <w:t>18、错误</w:t>
      </w:r>
    </w:p>
    <w:p w:rsidR="00316A17" w:rsidRPr="004F69AC" w:rsidP="00C92839" w14:textId="77777777">
      <w:pPr>
        <w:pStyle w:val="NoSpacing"/>
        <w:spacing w:line="360" w:lineRule="auto"/>
        <w:rPr>
          <w:rFonts w:ascii="宋体" w:eastAsia="宋体" w:hAnsi="宋体"/>
          <w:sz w:val="24"/>
          <w:szCs w:val="24"/>
        </w:rPr>
      </w:pPr>
      <w:r w:rsidRPr="004F69AC">
        <w:rPr>
          <w:rFonts w:ascii="宋体" w:eastAsia="宋体" w:hAnsi="宋体"/>
          <w:b/>
          <w:bCs/>
          <w:sz w:val="24"/>
          <w:szCs w:val="24"/>
        </w:rPr>
        <w:t>【解析】</w:t>
      </w:r>
      <w:r w:rsidRPr="004F69AC">
        <w:rPr>
          <w:rFonts w:ascii="宋体" w:eastAsia="宋体" w:hAnsi="宋体"/>
          <w:sz w:val="24"/>
          <w:szCs w:val="24"/>
        </w:rPr>
        <w:t>因为期权的Delta不仅会随着标的资产价格这个随机变量的变化而变化，而且会因为波动率的变化而变化，所以当二者变化之后，场内期权组合的Delta可能不再与场外期权合约的Delta保持一致。</w:t>
      </w:r>
    </w:p>
    <w:p w:rsidR="00513A70" w:rsidRPr="004F69AC" w:rsidP="00C92839" w14:textId="7769480E">
      <w:pPr>
        <w:pStyle w:val="NoSpacing"/>
        <w:spacing w:line="360" w:lineRule="auto"/>
        <w:rPr>
          <w:rFonts w:ascii="宋体" w:eastAsia="宋体" w:hAnsi="宋体"/>
          <w:sz w:val="24"/>
          <w:szCs w:val="24"/>
        </w:rPr>
      </w:pPr>
      <w:r w:rsidRPr="004F69AC">
        <w:rPr>
          <w:rFonts w:ascii="宋体" w:eastAsia="宋体" w:hAnsi="宋体"/>
          <w:sz w:val="24"/>
          <w:szCs w:val="24"/>
        </w:rPr>
        <w:t>19、错误</w:t>
      </w:r>
    </w:p>
    <w:p w:rsidR="00316A17" w:rsidRPr="004F69AC" w:rsidP="00C92839" w14:textId="77777777">
      <w:pPr>
        <w:pStyle w:val="NoSpacing"/>
        <w:spacing w:line="360" w:lineRule="auto"/>
        <w:rPr>
          <w:rFonts w:ascii="宋体" w:eastAsia="宋体" w:hAnsi="宋体"/>
          <w:sz w:val="24"/>
          <w:szCs w:val="24"/>
        </w:rPr>
      </w:pPr>
      <w:r w:rsidRPr="004F69AC">
        <w:rPr>
          <w:rFonts w:ascii="宋体" w:eastAsia="宋体" w:hAnsi="宋体"/>
          <w:b/>
          <w:bCs/>
          <w:sz w:val="24"/>
          <w:szCs w:val="24"/>
        </w:rPr>
        <w:t>【解析】</w:t>
      </w:r>
      <w:r w:rsidRPr="004F69AC">
        <w:rPr>
          <w:rFonts w:ascii="宋体" w:eastAsia="宋体" w:hAnsi="宋体"/>
          <w:sz w:val="24"/>
          <w:szCs w:val="24"/>
        </w:rPr>
        <w:t>交易对手协议提前结束互换，双方的权利义务同时抵消。</w:t>
      </w:r>
    </w:p>
    <w:p w:rsidR="00513A70" w:rsidRPr="004F69AC" w:rsidP="00C92839" w14:textId="7769480E">
      <w:pPr>
        <w:pStyle w:val="NoSpacing"/>
        <w:spacing w:line="360" w:lineRule="auto"/>
        <w:rPr>
          <w:rFonts w:ascii="宋体" w:eastAsia="宋体" w:hAnsi="宋体"/>
          <w:sz w:val="24"/>
          <w:szCs w:val="24"/>
        </w:rPr>
      </w:pPr>
      <w:r w:rsidRPr="004F69AC">
        <w:rPr>
          <w:rFonts w:ascii="宋体" w:eastAsia="宋体" w:hAnsi="宋体"/>
          <w:sz w:val="24"/>
          <w:szCs w:val="24"/>
        </w:rPr>
        <w:t>20、错误</w:t>
      </w:r>
    </w:p>
    <w:p w:rsidR="00316A17" w:rsidRPr="004F69AC" w:rsidP="00C92839" w14:textId="77777777">
      <w:pPr>
        <w:pStyle w:val="NoSpacing"/>
        <w:spacing w:line="360" w:lineRule="auto"/>
        <w:rPr>
          <w:rFonts w:ascii="宋体" w:eastAsia="宋体" w:hAnsi="宋体"/>
          <w:sz w:val="24"/>
          <w:szCs w:val="24"/>
        </w:rPr>
      </w:pPr>
      <w:r w:rsidRPr="004F69AC">
        <w:rPr>
          <w:rFonts w:ascii="宋体" w:eastAsia="宋体" w:hAnsi="宋体"/>
          <w:b/>
          <w:bCs/>
          <w:sz w:val="24"/>
          <w:szCs w:val="24"/>
        </w:rPr>
        <w:t>【解析】</w:t>
      </w:r>
      <w:r w:rsidRPr="004F69AC">
        <w:rPr>
          <w:rFonts w:ascii="宋体" w:eastAsia="宋体" w:hAnsi="宋体"/>
          <w:sz w:val="24"/>
          <w:szCs w:val="24"/>
        </w:rPr>
        <w:t xml:space="preserve">本币和外币的货币互换为例，对于本币支付方，其互换价值为外币债券价值减去本币债券价值（以本币标价） ，即: </w:t>
        <w:br/>
        <w:t>对于外币支付方，其互换价值为本币债券价值减去外币债券价值（以外币标价） ，即:</w:t>
      </w:r>
    </w:p>
    <w:p w:rsidR="00513A70" w:rsidRPr="004F69AC" w:rsidP="00C92839" w14:textId="7769480E">
      <w:pPr>
        <w:pStyle w:val="NoSpacing"/>
        <w:spacing w:line="360" w:lineRule="auto"/>
        <w:rPr>
          <w:rFonts w:ascii="宋体" w:eastAsia="宋体" w:hAnsi="宋体"/>
          <w:sz w:val="24"/>
          <w:szCs w:val="24"/>
        </w:rPr>
      </w:pPr>
      <w:r w:rsidRPr="004F69AC">
        <w:rPr>
          <w:rFonts w:ascii="宋体" w:eastAsia="宋体" w:hAnsi="宋体"/>
          <w:sz w:val="24"/>
          <w:szCs w:val="24"/>
        </w:rPr>
        <w:t>21、错误</w:t>
      </w:r>
    </w:p>
    <w:p w:rsidR="00316A17" w:rsidRPr="004F69AC" w:rsidP="00C92839" w14:textId="77777777">
      <w:pPr>
        <w:pStyle w:val="NoSpacing"/>
        <w:spacing w:line="360" w:lineRule="auto"/>
        <w:rPr>
          <w:rFonts w:ascii="宋体" w:eastAsia="宋体" w:hAnsi="宋体"/>
          <w:sz w:val="24"/>
          <w:szCs w:val="24"/>
        </w:rPr>
      </w:pPr>
      <w:r w:rsidRPr="004F69AC">
        <w:rPr>
          <w:rFonts w:ascii="宋体" w:eastAsia="宋体" w:hAnsi="宋体"/>
          <w:b/>
          <w:bCs/>
          <w:sz w:val="24"/>
          <w:szCs w:val="24"/>
        </w:rPr>
        <w:t>【解析】</w:t>
      </w:r>
      <w:r w:rsidRPr="004F69AC">
        <w:rPr>
          <w:rFonts w:ascii="宋体" w:eastAsia="宋体" w:hAnsi="宋体"/>
          <w:sz w:val="24"/>
          <w:szCs w:val="24"/>
        </w:rPr>
        <w:t>场外期权是一对一交易，一份期权合约有明确的买方和卖方，且买卖双方对对方的信用情况都有比较深入的把握。</w:t>
      </w:r>
    </w:p>
    <w:p w:rsidR="00513A70" w:rsidRPr="004F69AC" w:rsidP="00C92839" w14:textId="7769480E">
      <w:pPr>
        <w:pStyle w:val="NoSpacing"/>
        <w:spacing w:line="360" w:lineRule="auto"/>
        <w:rPr>
          <w:rFonts w:ascii="宋体" w:eastAsia="宋体" w:hAnsi="宋体"/>
          <w:sz w:val="24"/>
          <w:szCs w:val="24"/>
        </w:rPr>
      </w:pPr>
      <w:r w:rsidRPr="004F69AC">
        <w:rPr>
          <w:rFonts w:ascii="宋体" w:eastAsia="宋体" w:hAnsi="宋体"/>
          <w:sz w:val="24"/>
          <w:szCs w:val="24"/>
        </w:rPr>
        <w:t>22、正确</w:t>
      </w:r>
    </w:p>
    <w:p w:rsidR="00316A17" w:rsidRPr="004F69AC" w:rsidP="00C92839" w14:textId="77777777">
      <w:pPr>
        <w:pStyle w:val="NoSpacing"/>
        <w:spacing w:line="360" w:lineRule="auto"/>
        <w:rPr>
          <w:rFonts w:ascii="宋体" w:eastAsia="宋体" w:hAnsi="宋体"/>
          <w:sz w:val="24"/>
          <w:szCs w:val="24"/>
        </w:rPr>
      </w:pPr>
      <w:r w:rsidRPr="004F69AC">
        <w:rPr>
          <w:rFonts w:ascii="宋体" w:eastAsia="宋体" w:hAnsi="宋体"/>
          <w:b/>
          <w:bCs/>
          <w:sz w:val="24"/>
          <w:szCs w:val="24"/>
        </w:rPr>
        <w:t>【解析】</w:t>
      </w:r>
      <w:r w:rsidRPr="004F69AC">
        <w:rPr>
          <w:rFonts w:ascii="宋体" w:eastAsia="宋体" w:hAnsi="宋体"/>
          <w:sz w:val="24"/>
          <w:szCs w:val="24"/>
        </w:rPr>
        <w:t>货币互换是在约定期限内交换约定数量的两种货币本金，同时定期交换两种货币利息的交易协议。</w:t>
      </w:r>
    </w:p>
    <w:p w:rsidR="00513A70" w:rsidRPr="004F69AC" w:rsidP="00C92839" w14:textId="7769480E">
      <w:pPr>
        <w:pStyle w:val="NoSpacing"/>
        <w:spacing w:line="360" w:lineRule="auto"/>
        <w:rPr>
          <w:rFonts w:ascii="宋体" w:eastAsia="宋体" w:hAnsi="宋体"/>
          <w:sz w:val="24"/>
          <w:szCs w:val="24"/>
        </w:rPr>
        <w:sectPr w:rsidSect="00312E8D">
          <w:headerReference w:type="even" r:id="rId25"/>
          <w:headerReference w:type="default" r:id="rId26"/>
          <w:footerReference w:type="default" r:id="rId27"/>
          <w:headerReference w:type="first" r:id="rId28"/>
          <w:type w:val="nextPage"/>
          <w:pgSz w:w="11906" w:h="16838"/>
          <w:pgMar w:top="1440" w:right="1800" w:bottom="1440" w:left="1800" w:header="851" w:footer="992" w:gutter="0"/>
          <w:pgBorders w:offsetFrom="page">
            <w:top w:val="dashed" w:sz="4" w:space="24" w:color="auto"/>
            <w:left w:val="dashed" w:sz="4" w:space="24" w:color="auto"/>
            <w:bottom w:val="dashed" w:sz="4" w:space="24" w:color="auto"/>
            <w:right w:val="dashed" w:sz="4" w:space="24" w:color="auto"/>
          </w:pgBorders>
          <w:pgNumType w:start="6"/>
          <w:cols w:space="425"/>
          <w:titlePg w:val="0"/>
          <w:docGrid w:type="lines" w:linePitch="312"/>
        </w:sectPr>
      </w:pPr>
      <w:r w:rsidRPr="004F69AC">
        <w:rPr>
          <w:rFonts w:ascii="宋体" w:eastAsia="宋体" w:hAnsi="宋体"/>
          <w:sz w:val="24"/>
          <w:szCs w:val="24"/>
        </w:rPr>
        <w:t>23、正确</w:t>
      </w:r>
    </w:p>
    <w:p w:rsidR="00316A17" w:rsidRPr="004F69AC" w:rsidP="00C92839" w14:textId="77777777">
      <w:pPr>
        <w:pStyle w:val="NoSpacing"/>
        <w:spacing w:line="360" w:lineRule="auto"/>
        <w:rPr>
          <w:rFonts w:ascii="宋体" w:eastAsia="宋体" w:hAnsi="宋体"/>
          <w:sz w:val="24"/>
          <w:szCs w:val="24"/>
        </w:rPr>
      </w:pPr>
      <w:r w:rsidRPr="004F69AC">
        <w:rPr>
          <w:rFonts w:ascii="宋体" w:eastAsia="宋体" w:hAnsi="宋体"/>
          <w:b/>
          <w:bCs/>
          <w:sz w:val="24"/>
          <w:szCs w:val="24"/>
        </w:rPr>
        <w:t>【解析】</w:t>
      </w:r>
      <w:r w:rsidRPr="004F69AC">
        <w:rPr>
          <w:rFonts w:ascii="宋体" w:eastAsia="宋体" w:hAnsi="宋体"/>
          <w:sz w:val="24"/>
          <w:szCs w:val="24"/>
        </w:rPr>
        <w:t>不支付红利的标的资产没有持有收益，持有成本也只包括购买标的资产所需资金的利息成本。</w:t>
      </w:r>
    </w:p>
    <w:p w:rsidR="00513A70" w:rsidRPr="004F69AC" w:rsidP="00C92839" w14:textId="7769480E">
      <w:pPr>
        <w:pStyle w:val="NoSpacing"/>
        <w:spacing w:line="360" w:lineRule="auto"/>
        <w:rPr>
          <w:rFonts w:ascii="宋体" w:eastAsia="宋体" w:hAnsi="宋体"/>
          <w:sz w:val="24"/>
          <w:szCs w:val="24"/>
        </w:rPr>
      </w:pPr>
      <w:r w:rsidRPr="004F69AC">
        <w:rPr>
          <w:rFonts w:ascii="宋体" w:eastAsia="宋体" w:hAnsi="宋体"/>
          <w:sz w:val="24"/>
          <w:szCs w:val="24"/>
        </w:rPr>
        <w:t>24、错误</w:t>
      </w:r>
    </w:p>
    <w:p w:rsidR="00316A17" w:rsidRPr="004F69AC" w:rsidP="00C92839" w14:textId="77777777">
      <w:pPr>
        <w:pStyle w:val="NoSpacing"/>
        <w:spacing w:line="360" w:lineRule="auto"/>
        <w:rPr>
          <w:rFonts w:ascii="宋体" w:eastAsia="宋体" w:hAnsi="宋体"/>
          <w:sz w:val="24"/>
          <w:szCs w:val="24"/>
        </w:rPr>
      </w:pPr>
      <w:r w:rsidRPr="004F69AC">
        <w:rPr>
          <w:rFonts w:ascii="宋体" w:eastAsia="宋体" w:hAnsi="宋体"/>
          <w:b/>
          <w:bCs/>
          <w:sz w:val="24"/>
          <w:szCs w:val="24"/>
        </w:rPr>
        <w:t>【解析】</w:t>
      </w:r>
      <w:r w:rsidRPr="004F69AC">
        <w:rPr>
          <w:rFonts w:ascii="宋体" w:eastAsia="宋体" w:hAnsi="宋体"/>
          <w:sz w:val="24"/>
          <w:szCs w:val="24"/>
        </w:rPr>
        <w:t>采购经理人指数以百分比表示，常以50％作为经济强弱的分界点。</w:t>
      </w:r>
    </w:p>
    <w:p w:rsidR="00513A70" w:rsidRPr="004F69AC" w:rsidP="00C92839" w14:textId="7769480E">
      <w:pPr>
        <w:pStyle w:val="NoSpacing"/>
        <w:spacing w:line="360" w:lineRule="auto"/>
        <w:rPr>
          <w:rFonts w:ascii="宋体" w:eastAsia="宋体" w:hAnsi="宋体"/>
          <w:sz w:val="24"/>
          <w:szCs w:val="24"/>
        </w:rPr>
      </w:pPr>
      <w:r w:rsidRPr="004F69AC">
        <w:rPr>
          <w:rFonts w:ascii="宋体" w:eastAsia="宋体" w:hAnsi="宋体"/>
          <w:sz w:val="24"/>
          <w:szCs w:val="24"/>
        </w:rPr>
        <w:t>25、错误</w:t>
      </w:r>
    </w:p>
    <w:p w:rsidR="00316A17" w:rsidRPr="004F69AC" w:rsidP="00C92839" w14:textId="77777777">
      <w:pPr>
        <w:pStyle w:val="NoSpacing"/>
        <w:spacing w:line="360" w:lineRule="auto"/>
        <w:rPr>
          <w:rFonts w:ascii="宋体" w:eastAsia="宋体" w:hAnsi="宋体"/>
          <w:sz w:val="24"/>
          <w:szCs w:val="24"/>
        </w:rPr>
      </w:pPr>
      <w:r w:rsidRPr="004F69AC">
        <w:rPr>
          <w:rFonts w:ascii="宋体" w:eastAsia="宋体" w:hAnsi="宋体"/>
          <w:b/>
          <w:bCs/>
          <w:sz w:val="24"/>
          <w:szCs w:val="24"/>
        </w:rPr>
        <w:t>【解析】</w:t>
      </w:r>
      <w:r w:rsidRPr="004F69AC">
        <w:rPr>
          <w:rFonts w:ascii="宋体" w:eastAsia="宋体" w:hAnsi="宋体"/>
          <w:sz w:val="24"/>
          <w:szCs w:val="24"/>
        </w:rPr>
        <w:t>年化收益率是衡量交易模型盈亏金额及盈亏速度的指标。年化收益率仅把不同时间段、周期的收益率（如日收益率、周收益率、月收益率）换算成年收益率，它是一种理论收益率，并不是真正的已取得的收益率。</w:t>
      </w:r>
    </w:p>
    <w:p w:rsidR="00513A70" w:rsidRPr="004F69AC" w:rsidP="00C92839" w14:textId="7769480E">
      <w:pPr>
        <w:pStyle w:val="NoSpacing"/>
        <w:spacing w:line="360" w:lineRule="auto"/>
        <w:rPr>
          <w:rFonts w:ascii="宋体" w:eastAsia="宋体" w:hAnsi="宋体"/>
          <w:sz w:val="24"/>
          <w:szCs w:val="24"/>
        </w:rPr>
      </w:pPr>
      <w:r w:rsidRPr="004F69AC">
        <w:rPr>
          <w:rFonts w:ascii="宋体" w:eastAsia="宋体" w:hAnsi="宋体"/>
          <w:sz w:val="24"/>
          <w:szCs w:val="24"/>
        </w:rPr>
        <w:t>26、错误</w:t>
      </w:r>
    </w:p>
    <w:p w:rsidR="00316A17" w:rsidRPr="004F69AC" w:rsidP="00C92839" w14:textId="77777777">
      <w:pPr>
        <w:pStyle w:val="NoSpacing"/>
        <w:spacing w:line="360" w:lineRule="auto"/>
        <w:rPr>
          <w:rFonts w:ascii="宋体" w:eastAsia="宋体" w:hAnsi="宋体"/>
          <w:sz w:val="24"/>
          <w:szCs w:val="24"/>
        </w:rPr>
      </w:pPr>
      <w:r w:rsidRPr="004F69AC">
        <w:rPr>
          <w:rFonts w:ascii="宋体" w:eastAsia="宋体" w:hAnsi="宋体"/>
          <w:sz w:val="24"/>
          <w:szCs w:val="24"/>
        </w:rPr>
        <w:t>27、正确</w:t>
      </w:r>
    </w:p>
    <w:p w:rsidR="00316A17" w:rsidRPr="004F69AC" w:rsidP="00C92839" w14:textId="77777777">
      <w:pPr>
        <w:pStyle w:val="NoSpacing"/>
        <w:spacing w:line="360" w:lineRule="auto"/>
        <w:rPr>
          <w:rFonts w:ascii="宋体" w:eastAsia="宋体" w:hAnsi="宋体"/>
          <w:sz w:val="24"/>
          <w:szCs w:val="24"/>
        </w:rPr>
      </w:pPr>
      <w:r w:rsidRPr="004F69AC">
        <w:rPr>
          <w:rFonts w:ascii="宋体" w:eastAsia="宋体" w:hAnsi="宋体"/>
          <w:b/>
          <w:bCs/>
          <w:sz w:val="24"/>
          <w:szCs w:val="24"/>
        </w:rPr>
        <w:t>【解析】</w:t>
      </w:r>
      <w:r w:rsidRPr="004F69AC">
        <w:rPr>
          <w:rFonts w:ascii="宋体" w:eastAsia="宋体" w:hAnsi="宋体"/>
          <w:sz w:val="24"/>
          <w:szCs w:val="24"/>
        </w:rPr>
        <w:t>通过股票收益互换，投资者可以实现杠杆交易、股票套期保值或创建结构化产品等目的。比如股票二级市场的投资者可以利用股票收益互换，从而在不需要实际购买相关股票的情况下，只需支付资金利息就可以换取股票收益。</w:t>
      </w:r>
    </w:p>
    <w:p w:rsidR="00513A70" w:rsidRPr="004F69AC" w:rsidP="00C92839" w14:textId="7769480E">
      <w:pPr>
        <w:pStyle w:val="NoSpacing"/>
        <w:spacing w:line="360" w:lineRule="auto"/>
        <w:rPr>
          <w:rFonts w:ascii="宋体" w:eastAsia="宋体" w:hAnsi="宋体"/>
          <w:sz w:val="24"/>
          <w:szCs w:val="24"/>
        </w:rPr>
      </w:pPr>
      <w:r w:rsidRPr="004F69AC">
        <w:rPr>
          <w:rFonts w:ascii="宋体" w:eastAsia="宋体" w:hAnsi="宋体"/>
          <w:sz w:val="24"/>
          <w:szCs w:val="24"/>
        </w:rPr>
        <w:t>28、正确</w:t>
      </w:r>
    </w:p>
    <w:p w:rsidR="00316A17" w:rsidRPr="004F69AC" w:rsidP="00C92839" w14:textId="77777777">
      <w:pPr>
        <w:pStyle w:val="NoSpacing"/>
        <w:spacing w:line="360" w:lineRule="auto"/>
        <w:rPr>
          <w:rFonts w:ascii="宋体" w:eastAsia="宋体" w:hAnsi="宋体"/>
          <w:sz w:val="24"/>
          <w:szCs w:val="24"/>
        </w:rPr>
      </w:pPr>
      <w:r w:rsidRPr="004F69AC">
        <w:rPr>
          <w:rFonts w:ascii="宋体" w:eastAsia="宋体" w:hAnsi="宋体"/>
          <w:b/>
          <w:bCs/>
          <w:sz w:val="24"/>
          <w:szCs w:val="24"/>
        </w:rPr>
        <w:t>【解析】</w:t>
      </w:r>
      <w:r w:rsidRPr="004F69AC">
        <w:rPr>
          <w:rFonts w:ascii="宋体" w:eastAsia="宋体" w:hAnsi="宋体"/>
          <w:sz w:val="24"/>
          <w:szCs w:val="24"/>
        </w:rPr>
        <w:t>期权的Gamma值衡量Delta值对标的资产的敏感度。Gamma值较小时，意味着Delta对资产价格变动不敏感，投资者不必频繁调整头寸对冲资产价格变动风险。反之，投资者就需要频繁调整头寸。</w:t>
      </w:r>
    </w:p>
    <w:p w:rsidR="00513A70" w:rsidRPr="004F69AC" w:rsidP="00C92839" w14:textId="7769480E">
      <w:pPr>
        <w:pStyle w:val="NoSpacing"/>
        <w:spacing w:line="360" w:lineRule="auto"/>
        <w:rPr>
          <w:rFonts w:ascii="宋体" w:eastAsia="宋体" w:hAnsi="宋体"/>
          <w:sz w:val="24"/>
          <w:szCs w:val="24"/>
        </w:rPr>
      </w:pPr>
      <w:r w:rsidRPr="004F69AC">
        <w:rPr>
          <w:rFonts w:ascii="宋体" w:eastAsia="宋体" w:hAnsi="宋体"/>
          <w:sz w:val="24"/>
          <w:szCs w:val="24"/>
        </w:rPr>
        <w:t>29、错误</w:t>
      </w:r>
    </w:p>
    <w:p w:rsidR="00316A17" w:rsidRPr="004F69AC" w:rsidP="00C92839" w14:textId="77777777">
      <w:pPr>
        <w:pStyle w:val="NoSpacing"/>
        <w:spacing w:line="360" w:lineRule="auto"/>
        <w:rPr>
          <w:rFonts w:ascii="宋体" w:eastAsia="宋体" w:hAnsi="宋体"/>
          <w:sz w:val="24"/>
          <w:szCs w:val="24"/>
        </w:rPr>
      </w:pPr>
      <w:r w:rsidRPr="004F69AC">
        <w:rPr>
          <w:rFonts w:ascii="宋体" w:eastAsia="宋体" w:hAnsi="宋体"/>
          <w:b/>
          <w:bCs/>
          <w:sz w:val="24"/>
          <w:szCs w:val="24"/>
        </w:rPr>
        <w:t>【解析】</w:t>
      </w:r>
      <w:r w:rsidRPr="004F69AC">
        <w:rPr>
          <w:rFonts w:ascii="宋体" w:eastAsia="宋体" w:hAnsi="宋体"/>
          <w:sz w:val="24"/>
          <w:szCs w:val="24"/>
        </w:rPr>
        <w:t>绝大多数投资人仅集中交易最活跃的期货合约，一般为最接近交割月的期货合约，这一时期的交易对整个期货合约最具代表性。因此，交易系统的检验和使用应集中引用期货交易的这一时段数据。</w:t>
      </w:r>
    </w:p>
    <w:p w:rsidR="00513A70" w:rsidRPr="004F69AC" w:rsidP="00C92839" w14:textId="7769480E">
      <w:pPr>
        <w:pStyle w:val="NoSpacing"/>
        <w:spacing w:line="360" w:lineRule="auto"/>
        <w:rPr>
          <w:rFonts w:ascii="宋体" w:eastAsia="宋体" w:hAnsi="宋体"/>
          <w:sz w:val="24"/>
          <w:szCs w:val="24"/>
        </w:rPr>
      </w:pPr>
      <w:r w:rsidRPr="004F69AC">
        <w:rPr>
          <w:rFonts w:ascii="宋体" w:eastAsia="宋体" w:hAnsi="宋体"/>
          <w:sz w:val="24"/>
          <w:szCs w:val="24"/>
        </w:rPr>
        <w:t>30、错误</w:t>
      </w:r>
    </w:p>
    <w:p w:rsidR="00316A17" w:rsidRPr="004F69AC" w:rsidP="00C92839" w14:textId="77777777">
      <w:pPr>
        <w:pStyle w:val="NoSpacing"/>
        <w:spacing w:line="360" w:lineRule="auto"/>
        <w:rPr>
          <w:rFonts w:ascii="宋体" w:eastAsia="宋体" w:hAnsi="宋体"/>
          <w:sz w:val="24"/>
          <w:szCs w:val="24"/>
        </w:rPr>
      </w:pPr>
      <w:r w:rsidRPr="004F69AC">
        <w:rPr>
          <w:rFonts w:ascii="宋体" w:eastAsia="宋体" w:hAnsi="宋体"/>
          <w:b/>
          <w:bCs/>
          <w:sz w:val="24"/>
          <w:szCs w:val="24"/>
        </w:rPr>
        <w:t>【解析】</w:t>
      </w:r>
      <w:r w:rsidRPr="004F69AC">
        <w:rPr>
          <w:rFonts w:ascii="宋体" w:eastAsia="宋体" w:hAnsi="宋体"/>
          <w:sz w:val="24"/>
          <w:szCs w:val="24"/>
        </w:rPr>
        <w:t>，（i=1，2，3…，n）中，称为被解释变量，称为解释变量；是一个随机变量，称为随机（扰动）项；α和β是两个常数，称为回归参数；下标i表示变量的第i个观察值或随机项。</w:t>
      </w:r>
    </w:p>
    <w:p w:rsidR="00513A70" w:rsidRPr="004F69AC" w:rsidP="00C92839" w14:textId="7769480E">
      <w:pPr>
        <w:pStyle w:val="NoSpacing"/>
        <w:spacing w:line="360" w:lineRule="auto"/>
        <w:rPr>
          <w:rFonts w:ascii="宋体" w:eastAsia="宋体" w:hAnsi="宋体"/>
          <w:sz w:val="24"/>
          <w:szCs w:val="24"/>
        </w:rPr>
        <w:sectPr w:rsidSect="00312E8D">
          <w:headerReference w:type="even" r:id="rId29"/>
          <w:headerReference w:type="default" r:id="rId30"/>
          <w:footerReference w:type="default" r:id="rId31"/>
          <w:headerReference w:type="first" r:id="rId32"/>
          <w:type w:val="nextPage"/>
          <w:pgSz w:w="11906" w:h="16838"/>
          <w:pgMar w:top="1440" w:right="1800" w:bottom="1440" w:left="1800" w:header="851" w:footer="992" w:gutter="0"/>
          <w:pgBorders w:offsetFrom="page">
            <w:top w:val="dashed" w:sz="4" w:space="24" w:color="auto"/>
            <w:left w:val="dashed" w:sz="4" w:space="24" w:color="auto"/>
            <w:bottom w:val="dashed" w:sz="4" w:space="24" w:color="auto"/>
            <w:right w:val="dashed" w:sz="4" w:space="24" w:color="auto"/>
          </w:pgBorders>
          <w:pgNumType w:start="7"/>
          <w:cols w:space="425"/>
          <w:titlePg w:val="0"/>
          <w:docGrid w:type="lines" w:linePitch="312"/>
        </w:sectPr>
      </w:pPr>
      <w:r w:rsidRPr="004F69AC">
        <w:rPr>
          <w:rFonts w:ascii="宋体" w:eastAsia="宋体" w:hAnsi="宋体"/>
          <w:sz w:val="24"/>
          <w:szCs w:val="24"/>
        </w:rPr>
        <w:t>31、正确</w:t>
      </w:r>
    </w:p>
    <w:p w:rsidR="00316A17" w:rsidRPr="004F69AC" w:rsidP="00C92839" w14:textId="77777777">
      <w:pPr>
        <w:pStyle w:val="NoSpacing"/>
        <w:spacing w:line="360" w:lineRule="auto"/>
        <w:rPr>
          <w:rFonts w:ascii="宋体" w:eastAsia="宋体" w:hAnsi="宋体"/>
          <w:sz w:val="24"/>
          <w:szCs w:val="24"/>
        </w:rPr>
      </w:pPr>
      <w:r w:rsidRPr="004F69AC">
        <w:rPr>
          <w:rFonts w:ascii="宋体" w:eastAsia="宋体" w:hAnsi="宋体"/>
          <w:b/>
          <w:bCs/>
          <w:sz w:val="24"/>
          <w:szCs w:val="24"/>
        </w:rPr>
        <w:t>【解析】</w:t>
      </w:r>
      <w:r w:rsidRPr="004F69AC">
        <w:rPr>
          <w:rFonts w:ascii="宋体" w:eastAsia="宋体" w:hAnsi="宋体"/>
          <w:sz w:val="24"/>
          <w:szCs w:val="24"/>
        </w:rPr>
        <w:t>期货现货互转套利策略在操作上的限制是股票现货头寸的买卖。大量卖出股票组合对股票现货市场有冲击，会产生冲击成本。这个成本的计算受股票现货仓位的大小、交易时机等因素影响。</w:t>
      </w:r>
    </w:p>
    <w:p w:rsidR="00513A70" w:rsidRPr="004F69AC" w:rsidP="00C92839" w14:textId="7769480E">
      <w:pPr>
        <w:pStyle w:val="NoSpacing"/>
        <w:spacing w:line="360" w:lineRule="auto"/>
        <w:rPr>
          <w:rFonts w:ascii="宋体" w:eastAsia="宋体" w:hAnsi="宋体"/>
          <w:sz w:val="24"/>
          <w:szCs w:val="24"/>
        </w:rPr>
      </w:pPr>
      <w:r w:rsidRPr="004F69AC">
        <w:rPr>
          <w:rFonts w:ascii="宋体" w:eastAsia="宋体" w:hAnsi="宋体"/>
          <w:sz w:val="24"/>
          <w:szCs w:val="24"/>
        </w:rPr>
        <w:t>32、错误</w:t>
      </w:r>
    </w:p>
    <w:p w:rsidR="00316A17" w:rsidRPr="004F69AC" w:rsidP="00C92839" w14:textId="77777777">
      <w:pPr>
        <w:pStyle w:val="NoSpacing"/>
        <w:spacing w:line="360" w:lineRule="auto"/>
        <w:rPr>
          <w:rFonts w:ascii="宋体" w:eastAsia="宋体" w:hAnsi="宋体"/>
          <w:sz w:val="24"/>
          <w:szCs w:val="24"/>
        </w:rPr>
      </w:pPr>
      <w:r w:rsidRPr="004F69AC">
        <w:rPr>
          <w:rFonts w:ascii="宋体" w:eastAsia="宋体" w:hAnsi="宋体"/>
          <w:b/>
          <w:bCs/>
          <w:sz w:val="24"/>
          <w:szCs w:val="24"/>
        </w:rPr>
        <w:t>【解析】</w:t>
      </w:r>
      <w:r w:rsidRPr="004F69AC">
        <w:rPr>
          <w:rFonts w:ascii="宋体" w:eastAsia="宋体" w:hAnsi="宋体"/>
          <w:sz w:val="24"/>
          <w:szCs w:val="24"/>
        </w:rPr>
        <w:t>传统的敏感性分析只能采用线性近似，假设风险因子的微小变化与金融产品价值的变化呈线性关系，无法捕捉其中的非线性变化。</w:t>
      </w:r>
    </w:p>
    <w:p w:rsidR="00513A70" w:rsidRPr="004F69AC" w:rsidP="00C92839" w14:textId="7769480E">
      <w:pPr>
        <w:pStyle w:val="NoSpacing"/>
        <w:spacing w:line="360" w:lineRule="auto"/>
        <w:rPr>
          <w:rFonts w:ascii="宋体" w:eastAsia="宋体" w:hAnsi="宋体"/>
          <w:sz w:val="24"/>
          <w:szCs w:val="24"/>
        </w:rPr>
      </w:pPr>
      <w:r w:rsidRPr="004F69AC">
        <w:rPr>
          <w:rFonts w:ascii="宋体" w:eastAsia="宋体" w:hAnsi="宋体"/>
          <w:sz w:val="24"/>
          <w:szCs w:val="24"/>
        </w:rPr>
        <w:t>33、正确</w:t>
      </w:r>
    </w:p>
    <w:p w:rsidR="00316A17" w:rsidRPr="004F69AC" w:rsidP="00C92839" w14:textId="77777777">
      <w:pPr>
        <w:pStyle w:val="NoSpacing"/>
        <w:spacing w:line="360" w:lineRule="auto"/>
        <w:rPr>
          <w:rFonts w:ascii="宋体" w:eastAsia="宋体" w:hAnsi="宋体"/>
          <w:sz w:val="24"/>
          <w:szCs w:val="24"/>
        </w:rPr>
      </w:pPr>
      <w:r w:rsidRPr="004F69AC">
        <w:rPr>
          <w:rFonts w:ascii="宋体" w:eastAsia="宋体" w:hAnsi="宋体"/>
          <w:b/>
          <w:bCs/>
          <w:sz w:val="24"/>
          <w:szCs w:val="24"/>
        </w:rPr>
        <w:t>【解析】</w:t>
      </w:r>
      <w:r w:rsidRPr="004F69AC">
        <w:rPr>
          <w:rFonts w:ascii="宋体" w:eastAsia="宋体" w:hAnsi="宋体"/>
          <w:sz w:val="24"/>
          <w:szCs w:val="24"/>
        </w:rPr>
        <w:t>区间浮动利率票据是普通债券与利率期权的组合。</w:t>
      </w:r>
    </w:p>
    <w:p w:rsidR="00513A70" w:rsidRPr="004F69AC" w:rsidP="00C92839" w14:textId="7769480E">
      <w:pPr>
        <w:pStyle w:val="NoSpacing"/>
        <w:spacing w:line="360" w:lineRule="auto"/>
        <w:rPr>
          <w:rFonts w:ascii="宋体" w:eastAsia="宋体" w:hAnsi="宋体"/>
          <w:sz w:val="24"/>
          <w:szCs w:val="24"/>
        </w:rPr>
      </w:pPr>
      <w:r w:rsidRPr="004F69AC">
        <w:rPr>
          <w:rFonts w:ascii="宋体" w:eastAsia="宋体" w:hAnsi="宋体"/>
          <w:sz w:val="24"/>
          <w:szCs w:val="24"/>
        </w:rPr>
        <w:t>34、错误</w:t>
      </w:r>
    </w:p>
    <w:p w:rsidR="00316A17" w:rsidRPr="004F69AC" w:rsidP="00C92839" w14:textId="77777777">
      <w:pPr>
        <w:pStyle w:val="NoSpacing"/>
        <w:spacing w:line="360" w:lineRule="auto"/>
        <w:rPr>
          <w:rFonts w:ascii="宋体" w:eastAsia="宋体" w:hAnsi="宋体"/>
          <w:sz w:val="24"/>
          <w:szCs w:val="24"/>
        </w:rPr>
      </w:pPr>
      <w:r w:rsidRPr="004F69AC">
        <w:rPr>
          <w:rFonts w:ascii="宋体" w:eastAsia="宋体" w:hAnsi="宋体"/>
          <w:b/>
          <w:bCs/>
          <w:sz w:val="24"/>
          <w:szCs w:val="24"/>
        </w:rPr>
        <w:t>【解析】</w:t>
      </w:r>
      <w:r w:rsidRPr="004F69AC">
        <w:rPr>
          <w:rFonts w:ascii="宋体" w:eastAsia="宋体" w:hAnsi="宋体"/>
          <w:sz w:val="24"/>
          <w:szCs w:val="24"/>
        </w:rPr>
        <w:t>一般而言，流动性强的资产往往需要每日计算VaR，而期限较长的头寸则可以每星期或每月计算VaR。</w:t>
      </w:r>
    </w:p>
    <w:p w:rsidR="00513A70" w:rsidRPr="004F69AC" w:rsidP="00C92839" w14:textId="7769480E">
      <w:pPr>
        <w:pStyle w:val="NoSpacing"/>
        <w:spacing w:line="360" w:lineRule="auto"/>
        <w:rPr>
          <w:rFonts w:ascii="宋体" w:eastAsia="宋体" w:hAnsi="宋体"/>
          <w:sz w:val="24"/>
          <w:szCs w:val="24"/>
        </w:rPr>
      </w:pPr>
      <w:r w:rsidRPr="004F69AC">
        <w:rPr>
          <w:rFonts w:ascii="宋体" w:eastAsia="宋体" w:hAnsi="宋体"/>
          <w:sz w:val="24"/>
          <w:szCs w:val="24"/>
        </w:rPr>
        <w:t>35、错误</w:t>
      </w:r>
    </w:p>
    <w:p w:rsidR="00316A17" w:rsidRPr="004F69AC" w:rsidP="00C92839" w14:textId="77777777">
      <w:pPr>
        <w:pStyle w:val="NoSpacing"/>
        <w:spacing w:line="360" w:lineRule="auto"/>
        <w:rPr>
          <w:rFonts w:ascii="宋体" w:eastAsia="宋体" w:hAnsi="宋体"/>
          <w:sz w:val="24"/>
          <w:szCs w:val="24"/>
        </w:rPr>
      </w:pPr>
      <w:r w:rsidRPr="004F69AC">
        <w:rPr>
          <w:rFonts w:ascii="宋体" w:eastAsia="宋体" w:hAnsi="宋体"/>
          <w:b/>
          <w:bCs/>
          <w:sz w:val="24"/>
          <w:szCs w:val="24"/>
        </w:rPr>
        <w:t>【解析】</w:t>
      </w:r>
      <w:r w:rsidRPr="004F69AC">
        <w:rPr>
          <w:rFonts w:ascii="宋体" w:eastAsia="宋体" w:hAnsi="宋体"/>
          <w:sz w:val="24"/>
          <w:szCs w:val="24"/>
        </w:rPr>
        <w:t>在基差交易中，基差买方的交易策略是基于利益最大化原则，主要体现在对升贴水谈判和点价两个方面。</w:t>
      </w:r>
    </w:p>
    <w:p w:rsidR="00513A70" w:rsidRPr="004F69AC" w:rsidP="00C92839" w14:textId="7769480E">
      <w:pPr>
        <w:pStyle w:val="NoSpacing"/>
        <w:spacing w:line="360" w:lineRule="auto"/>
        <w:rPr>
          <w:rFonts w:ascii="宋体" w:eastAsia="宋体" w:hAnsi="宋体"/>
          <w:sz w:val="24"/>
          <w:szCs w:val="24"/>
        </w:rPr>
      </w:pPr>
      <w:r w:rsidRPr="004F69AC">
        <w:rPr>
          <w:rFonts w:ascii="宋体" w:eastAsia="宋体" w:hAnsi="宋体"/>
          <w:sz w:val="24"/>
          <w:szCs w:val="24"/>
        </w:rPr>
        <w:t>36、错误</w:t>
      </w:r>
    </w:p>
    <w:p w:rsidR="00316A17" w:rsidRPr="004F69AC" w:rsidP="00C92839" w14:textId="77777777">
      <w:pPr>
        <w:pStyle w:val="NoSpacing"/>
        <w:spacing w:line="360" w:lineRule="auto"/>
        <w:rPr>
          <w:rFonts w:ascii="宋体" w:eastAsia="宋体" w:hAnsi="宋体"/>
          <w:sz w:val="24"/>
          <w:szCs w:val="24"/>
        </w:rPr>
      </w:pPr>
      <w:r w:rsidRPr="004F69AC">
        <w:rPr>
          <w:rFonts w:ascii="宋体" w:eastAsia="宋体" w:hAnsi="宋体"/>
          <w:b/>
          <w:bCs/>
          <w:sz w:val="24"/>
          <w:szCs w:val="24"/>
        </w:rPr>
        <w:t>【解析】</w:t>
      </w:r>
      <w:r w:rsidRPr="004F69AC">
        <w:rPr>
          <w:rFonts w:ascii="宋体" w:eastAsia="宋体" w:hAnsi="宋体"/>
          <w:sz w:val="24"/>
          <w:szCs w:val="24"/>
        </w:rPr>
        <w:t>发达国家货币当局通常会设定固定的通货膨胀目标，美联储将美国的通货膨胀率目标设为1．5％～2％，欧洲中央银行设定的通货膨胀目标为2％以下。</w:t>
      </w:r>
    </w:p>
    <w:p w:rsidR="00513A70" w:rsidRPr="004F69AC" w:rsidP="00C92839" w14:textId="7769480E">
      <w:pPr>
        <w:pStyle w:val="NoSpacing"/>
        <w:spacing w:line="360" w:lineRule="auto"/>
        <w:rPr>
          <w:rFonts w:ascii="宋体" w:eastAsia="宋体" w:hAnsi="宋体"/>
          <w:sz w:val="24"/>
          <w:szCs w:val="24"/>
        </w:rPr>
      </w:pPr>
      <w:r w:rsidRPr="004F69AC">
        <w:rPr>
          <w:rFonts w:ascii="宋体" w:eastAsia="宋体" w:hAnsi="宋体"/>
          <w:sz w:val="24"/>
          <w:szCs w:val="24"/>
        </w:rPr>
        <w:t>37、错误</w:t>
      </w:r>
    </w:p>
    <w:p w:rsidR="00316A17" w:rsidRPr="004F69AC" w:rsidP="00C92839" w14:textId="77777777">
      <w:pPr>
        <w:pStyle w:val="NoSpacing"/>
        <w:spacing w:line="360" w:lineRule="auto"/>
        <w:rPr>
          <w:rFonts w:ascii="宋体" w:eastAsia="宋体" w:hAnsi="宋体"/>
          <w:sz w:val="24"/>
          <w:szCs w:val="24"/>
        </w:rPr>
      </w:pPr>
      <w:r w:rsidRPr="004F69AC">
        <w:rPr>
          <w:rFonts w:ascii="宋体" w:eastAsia="宋体" w:hAnsi="宋体"/>
          <w:b/>
          <w:bCs/>
          <w:sz w:val="24"/>
          <w:szCs w:val="24"/>
        </w:rPr>
        <w:t>【解析】</w:t>
      </w:r>
      <w:r w:rsidRPr="004F69AC">
        <w:rPr>
          <w:rFonts w:ascii="宋体" w:eastAsia="宋体" w:hAnsi="宋体"/>
          <w:sz w:val="24"/>
          <w:szCs w:val="24"/>
        </w:rPr>
        <w:t>保护性看跌期权策略是在持有某种资产的同时，购进以该资产为标的的看跌期权，从而在一定期限内保障资产的价值不会低于某一限定值，而市场价格上升时，组合价值则随之上升。</w:t>
      </w:r>
    </w:p>
    <w:p w:rsidR="00513A70" w:rsidRPr="004F69AC" w:rsidP="00C92839" w14:textId="7769480E">
      <w:pPr>
        <w:pStyle w:val="NoSpacing"/>
        <w:spacing w:line="360" w:lineRule="auto"/>
        <w:rPr>
          <w:rFonts w:ascii="宋体" w:eastAsia="宋体" w:hAnsi="宋体"/>
          <w:sz w:val="24"/>
          <w:szCs w:val="24"/>
        </w:rPr>
      </w:pPr>
      <w:r w:rsidRPr="004F69AC">
        <w:rPr>
          <w:rFonts w:ascii="宋体" w:eastAsia="宋体" w:hAnsi="宋体"/>
          <w:sz w:val="24"/>
          <w:szCs w:val="24"/>
        </w:rPr>
        <w:t>38、正确</w:t>
      </w:r>
    </w:p>
    <w:p w:rsidR="00316A17" w:rsidRPr="004F69AC" w:rsidP="00C92839" w14:textId="77777777">
      <w:pPr>
        <w:pStyle w:val="NoSpacing"/>
        <w:spacing w:line="360" w:lineRule="auto"/>
        <w:rPr>
          <w:rFonts w:ascii="宋体" w:eastAsia="宋体" w:hAnsi="宋体"/>
          <w:sz w:val="24"/>
          <w:szCs w:val="24"/>
        </w:rPr>
      </w:pPr>
      <w:r w:rsidRPr="004F69AC">
        <w:rPr>
          <w:rFonts w:ascii="宋体" w:eastAsia="宋体" w:hAnsi="宋体"/>
          <w:b/>
          <w:bCs/>
          <w:sz w:val="24"/>
          <w:szCs w:val="24"/>
        </w:rPr>
        <w:t>【解析】</w:t>
      </w:r>
      <w:r w:rsidRPr="004F69AC">
        <w:rPr>
          <w:rFonts w:ascii="宋体" w:eastAsia="宋体" w:hAnsi="宋体"/>
          <w:sz w:val="24"/>
          <w:szCs w:val="24"/>
        </w:rPr>
        <w:t>在实际操作中，由于国债期货是一种虚拟的标准化合约，被实施套期保值的债券与期货合约的基础债券一般来说并不相同。也就是说，套期保值者持有的现货价格的变化与国债期货的收益率变化并不完全相关，此外还存在整数倍合约的对冲限制以及对冲时间段不一致的情况。</w:t>
      </w:r>
    </w:p>
    <w:p w:rsidR="00513A70" w:rsidRPr="004F69AC" w:rsidP="00C92839" w14:textId="7769480E">
      <w:pPr>
        <w:pStyle w:val="NoSpacing"/>
        <w:spacing w:line="360" w:lineRule="auto"/>
        <w:rPr>
          <w:rFonts w:ascii="宋体" w:eastAsia="宋体" w:hAnsi="宋体"/>
          <w:sz w:val="24"/>
          <w:szCs w:val="24"/>
        </w:rPr>
        <w:sectPr w:rsidSect="00312E8D">
          <w:headerReference w:type="even" r:id="rId33"/>
          <w:headerReference w:type="default" r:id="rId34"/>
          <w:footerReference w:type="default" r:id="rId35"/>
          <w:headerReference w:type="first" r:id="rId36"/>
          <w:type w:val="nextPage"/>
          <w:pgSz w:w="11906" w:h="16838"/>
          <w:pgMar w:top="1440" w:right="1800" w:bottom="1440" w:left="1800" w:header="851" w:footer="992" w:gutter="0"/>
          <w:pgBorders w:offsetFrom="page">
            <w:top w:val="dashed" w:sz="4" w:space="24" w:color="auto"/>
            <w:left w:val="dashed" w:sz="4" w:space="24" w:color="auto"/>
            <w:bottom w:val="dashed" w:sz="4" w:space="24" w:color="auto"/>
            <w:right w:val="dashed" w:sz="4" w:space="24" w:color="auto"/>
          </w:pgBorders>
          <w:pgNumType w:start="8"/>
          <w:cols w:space="425"/>
          <w:titlePg w:val="0"/>
          <w:docGrid w:type="lines" w:linePitch="312"/>
        </w:sectPr>
      </w:pPr>
      <w:r w:rsidRPr="004F69AC">
        <w:rPr>
          <w:rFonts w:ascii="宋体" w:eastAsia="宋体" w:hAnsi="宋体"/>
          <w:sz w:val="24"/>
          <w:szCs w:val="24"/>
        </w:rPr>
        <w:t>39、错误</w:t>
      </w:r>
    </w:p>
    <w:p w:rsidR="00316A17" w:rsidRPr="004F69AC" w:rsidP="00C92839" w14:textId="77777777">
      <w:pPr>
        <w:pStyle w:val="NoSpacing"/>
        <w:spacing w:line="360" w:lineRule="auto"/>
        <w:rPr>
          <w:rFonts w:ascii="宋体" w:eastAsia="宋体" w:hAnsi="宋体"/>
          <w:sz w:val="24"/>
          <w:szCs w:val="24"/>
        </w:rPr>
      </w:pPr>
      <w:r w:rsidRPr="004F69AC">
        <w:rPr>
          <w:rFonts w:ascii="宋体" w:eastAsia="宋体" w:hAnsi="宋体"/>
          <w:b/>
          <w:bCs/>
          <w:sz w:val="24"/>
          <w:szCs w:val="24"/>
        </w:rPr>
        <w:t>【解析】</w:t>
      </w:r>
      <w:r w:rsidRPr="004F69AC">
        <w:rPr>
          <w:rFonts w:ascii="宋体" w:eastAsia="宋体" w:hAnsi="宋体"/>
          <w:sz w:val="24"/>
          <w:szCs w:val="24"/>
        </w:rPr>
        <w:t>期权做市商卖出期权后会面临牵制风险。这个风险不仅期权做市商会遇到，而且其他从事期权相关金融产品发行的机构也会遇到。</w:t>
      </w:r>
    </w:p>
    <w:p w:rsidR="00513A70" w:rsidRPr="004F69AC" w:rsidP="00C92839" w14:textId="7769480E">
      <w:pPr>
        <w:pStyle w:val="NoSpacing"/>
        <w:spacing w:line="360" w:lineRule="auto"/>
        <w:rPr>
          <w:rFonts w:ascii="宋体" w:eastAsia="宋体" w:hAnsi="宋体"/>
          <w:sz w:val="24"/>
          <w:szCs w:val="24"/>
        </w:rPr>
      </w:pPr>
      <w:r w:rsidRPr="004F69AC">
        <w:rPr>
          <w:rFonts w:ascii="宋体" w:eastAsia="宋体" w:hAnsi="宋体"/>
          <w:sz w:val="24"/>
          <w:szCs w:val="24"/>
        </w:rPr>
        <w:t>40、正确</w:t>
      </w:r>
    </w:p>
    <w:p w:rsidR="00316A17" w:rsidRPr="004F69AC" w:rsidP="00C92839" w14:textId="77777777">
      <w:pPr>
        <w:pStyle w:val="NoSpacing"/>
        <w:spacing w:line="360" w:lineRule="auto"/>
        <w:rPr>
          <w:rFonts w:ascii="宋体" w:eastAsia="宋体" w:hAnsi="宋体"/>
          <w:sz w:val="24"/>
          <w:szCs w:val="24"/>
        </w:rPr>
      </w:pPr>
      <w:r w:rsidRPr="004F69AC">
        <w:rPr>
          <w:rFonts w:ascii="宋体" w:eastAsia="宋体" w:hAnsi="宋体"/>
          <w:b/>
          <w:bCs/>
          <w:sz w:val="24"/>
          <w:szCs w:val="24"/>
        </w:rPr>
        <w:t>【解析】</w:t>
      </w:r>
      <w:r w:rsidRPr="004F69AC">
        <w:rPr>
          <w:rFonts w:ascii="宋体" w:eastAsia="宋体" w:hAnsi="宋体"/>
          <w:sz w:val="24"/>
          <w:szCs w:val="24"/>
        </w:rPr>
        <w:t>Gamma值较小时，意味着Delta对资产价格变动不敏感，投资者不必频繁调整头寸对冲资产价格变动风险；反之，投资者要频繁调整。</w:t>
      </w:r>
    </w:p>
    <w:p w:rsidR="00513A70" w:rsidRPr="004F69AC" w:rsidP="00C92839" w14:textId="7769480E">
      <w:pPr>
        <w:pStyle w:val="NoSpacing"/>
        <w:spacing w:line="360" w:lineRule="auto"/>
        <w:rPr>
          <w:rFonts w:ascii="宋体" w:eastAsia="宋体" w:hAnsi="宋体"/>
          <w:sz w:val="24"/>
          <w:szCs w:val="24"/>
        </w:rPr>
        <w:sectPr w:rsidSect="00312E8D">
          <w:headerReference w:type="even" r:id="rId37"/>
          <w:headerReference w:type="default" r:id="rId38"/>
          <w:footerReference w:type="default" r:id="rId39"/>
          <w:headerReference w:type="first" r:id="rId40"/>
          <w:type w:val="nextPage"/>
          <w:pgSz w:w="11906" w:h="16838"/>
          <w:pgMar w:top="1440" w:right="1800" w:bottom="1440" w:left="1800" w:header="851" w:footer="992" w:gutter="0"/>
          <w:pgBorders w:offsetFrom="page">
            <w:top w:val="dashed" w:sz="4" w:space="24" w:color="auto"/>
            <w:left w:val="dashed" w:sz="4" w:space="24" w:color="auto"/>
            <w:bottom w:val="dashed" w:sz="4" w:space="24" w:color="auto"/>
            <w:right w:val="dashed" w:sz="4" w:space="24" w:color="auto"/>
          </w:pgBorders>
          <w:pgNumType w:start="9"/>
          <w:cols w:space="425"/>
          <w:titlePg w:val="0"/>
          <w:docGrid w:type="lines" w:linePitch="312"/>
        </w:sectPr>
      </w:pPr>
    </w:p>
    <w:p w:rsidR="00513A70" w:rsidRPr="004F69AC" w:rsidP="00C92839" w14:paraId="066FEEDA" w14:textId="2A7A8E85">
      <w:pPr>
        <w:pStyle w:val="NoSpacing"/>
        <w:jc w:val="center"/>
        <w:rPr>
          <w:rFonts w:ascii="宋体" w:eastAsia="宋体" w:hAnsi="宋体"/>
          <w:sz w:val="24"/>
          <w:szCs w:val="24"/>
        </w:rPr>
      </w:pPr>
      <w:r w:rsidRPr="004F69AC" w:rsidR="008279EE">
        <w:rPr>
          <w:rFonts w:ascii="宋体" w:eastAsia="宋体" w:hAnsi="宋体"/>
          <w:sz w:val="24"/>
          <w:szCs w:val="24"/>
        </w:rPr>
        <w:t>2023年期货投资分析判断题大全(二)</w:t>
      </w:r>
    </w:p>
    <w:p w:rsidR="00513A70" w:rsidRPr="004F69AC" w:rsidP="004F69AC" w14:textId="61EEE1CD">
      <w:pPr>
        <w:pStyle w:val="Heading2"/>
        <w:jc w:val="left"/>
        <w:rPr>
          <w:rFonts w:ascii="宋体" w:eastAsia="宋体" w:hAnsi="宋体"/>
          <w:b w:val="0"/>
          <w:bCs w:val="0"/>
          <w:sz w:val="24"/>
          <w:szCs w:val="24"/>
        </w:rPr>
      </w:pPr>
      <w:r w:rsidRPr="004F69AC">
        <w:rPr>
          <w:rFonts w:ascii="宋体" w:eastAsia="宋体" w:hAnsi="宋体" w:hint="eastAsia"/>
          <w:b w:val="0"/>
          <w:bCs w:val="0"/>
          <w:sz w:val="24"/>
          <w:szCs w:val="24"/>
        </w:rPr>
        <w:t>一</w:t>
      </w:r>
      <w:r w:rsidRPr="004F69AC">
        <w:rPr>
          <w:rFonts w:ascii="宋体" w:eastAsia="宋体" w:hAnsi="宋体" w:hint="eastAsia"/>
          <w:b w:val="0"/>
          <w:bCs w:val="0"/>
          <w:sz w:val="24"/>
          <w:szCs w:val="24"/>
        </w:rPr>
        <w:t>、判断题</w:t>
      </w:r>
      <w:r w:rsidRPr="004F69AC">
        <w:rPr>
          <w:rFonts w:ascii="宋体" w:eastAsia="宋体" w:hAnsi="宋体" w:hint="eastAsia"/>
          <w:b w:val="0"/>
          <w:bCs w:val="0"/>
          <w:sz w:val="24"/>
          <w:szCs w:val="24"/>
        </w:rPr>
        <w:t>（</w:t>
      </w:r>
      <w:r w:rsidRPr="004F69AC" w:rsidR="00007296">
        <w:rPr>
          <w:rFonts w:ascii="宋体" w:eastAsia="宋体" w:hAnsi="宋体" w:hint="eastAsia"/>
          <w:b w:val="0"/>
          <w:bCs w:val="0"/>
          <w:sz w:val="24"/>
          <w:szCs w:val="24"/>
        </w:rPr>
        <w:t>共</w:t>
      </w:r>
      <w:r w:rsidRPr="004F69AC" w:rsidR="00007296">
        <w:rPr>
          <w:rFonts w:ascii="宋体" w:eastAsia="宋体" w:hAnsi="宋体"/>
          <w:b w:val="0"/>
          <w:bCs w:val="0"/>
          <w:sz w:val="24"/>
          <w:szCs w:val="24"/>
        </w:rPr>
        <w:t>40</w:t>
      </w:r>
      <w:r w:rsidRPr="004F69AC" w:rsidR="00007296">
        <w:rPr>
          <w:rFonts w:ascii="宋体" w:eastAsia="宋体" w:hAnsi="宋体" w:hint="eastAsia"/>
          <w:b w:val="0"/>
          <w:bCs w:val="0"/>
          <w:sz w:val="24"/>
          <w:szCs w:val="24"/>
        </w:rPr>
        <w:t>题，</w:t>
      </w:r>
      <w:r w:rsidRPr="004F69AC">
        <w:rPr>
          <w:rFonts w:ascii="宋体" w:eastAsia="宋体" w:hAnsi="宋体" w:hint="eastAsia"/>
          <w:b w:val="0"/>
          <w:bCs w:val="0"/>
          <w:sz w:val="24"/>
          <w:szCs w:val="24"/>
        </w:rPr>
        <w:t>每小题</w:t>
      </w:r>
      <w:r w:rsidRPr="004F69AC">
        <w:rPr>
          <w:rFonts w:ascii="宋体" w:eastAsia="宋体" w:hAnsi="宋体"/>
          <w:b w:val="0"/>
          <w:bCs w:val="0"/>
          <w:sz w:val="24"/>
          <w:szCs w:val="24"/>
        </w:rPr>
        <w:t xml:space="preserve">2.5 </w:t>
      </w:r>
      <w:r w:rsidRPr="004F69AC">
        <w:rPr>
          <w:rFonts w:ascii="宋体" w:eastAsia="宋体" w:hAnsi="宋体" w:hint="eastAsia"/>
          <w:b w:val="0"/>
          <w:bCs w:val="0"/>
          <w:sz w:val="24"/>
          <w:szCs w:val="24"/>
        </w:rPr>
        <w:t>分，</w:t>
      </w:r>
      <w:r w:rsidRPr="004F69AC">
        <w:rPr>
          <w:rFonts w:ascii="宋体" w:eastAsia="宋体" w:hAnsi="宋体" w:hint="eastAsia"/>
          <w:b w:val="0"/>
          <w:bCs w:val="0"/>
          <w:sz w:val="24"/>
          <w:szCs w:val="24"/>
        </w:rPr>
        <w:t xml:space="preserve">共 </w:t>
      </w:r>
      <w:r w:rsidRPr="004F69AC">
        <w:rPr>
          <w:rFonts w:ascii="宋体" w:eastAsia="宋体" w:hAnsi="宋体"/>
          <w:b w:val="0"/>
          <w:bCs w:val="0"/>
          <w:sz w:val="24"/>
          <w:szCs w:val="24"/>
        </w:rPr>
        <w:t>100</w:t>
      </w:r>
      <w:r w:rsidRPr="004F69AC">
        <w:rPr>
          <w:rFonts w:ascii="宋体" w:eastAsia="宋体" w:hAnsi="宋体" w:hint="eastAsia"/>
          <w:b w:val="0"/>
          <w:bCs w:val="0"/>
          <w:sz w:val="24"/>
          <w:szCs w:val="24"/>
        </w:rPr>
        <w:t>分）</w:t>
      </w:r>
    </w:p>
    <w:p w:rsidR="00513A70" w:rsidRPr="004F69AC" w:rsidP="00C92839" w14:textId="10AC68DB">
      <w:pPr>
        <w:pStyle w:val="NoSpacing"/>
        <w:spacing w:line="360" w:lineRule="auto"/>
        <w:rPr>
          <w:rFonts w:ascii="宋体" w:eastAsia="宋体" w:hAnsi="宋体"/>
          <w:sz w:val="24"/>
          <w:szCs w:val="24"/>
        </w:rPr>
      </w:pPr>
      <w:r w:rsidRPr="004F69AC">
        <w:rPr>
          <w:rFonts w:ascii="宋体" w:eastAsia="宋体" w:hAnsi="宋体" w:hint="eastAsia"/>
          <w:sz w:val="24"/>
          <w:szCs w:val="24"/>
        </w:rPr>
        <w:t>（ ）</w:t>
      </w:r>
      <w:r w:rsidRPr="004F69AC">
        <w:rPr>
          <w:rFonts w:ascii="宋体" w:eastAsia="宋体" w:hAnsi="宋体"/>
          <w:sz w:val="24"/>
          <w:szCs w:val="24"/>
        </w:rPr>
        <w:t>1、信号闪烁出现说明模型的策略里在判断买卖交易的条件中使用了“未来函数”。</w:t>
      </w:r>
      <w:r w:rsidRPr="004F69AC">
        <w:rPr>
          <w:rFonts w:ascii="宋体" w:eastAsia="宋体" w:hAnsi="宋体" w:hint="eastAsia"/>
          <w:sz w:val="24"/>
          <w:szCs w:val="24"/>
        </w:rPr>
        <w:t xml:space="preserve"> </w:t>
      </w:r>
      <w:r w:rsidRPr="004F69AC">
        <w:rPr>
          <w:rFonts w:ascii="宋体" w:eastAsia="宋体" w:hAnsi="宋体"/>
          <w:sz w:val="24"/>
          <w:szCs w:val="24"/>
        </w:rPr>
        <w:t xml:space="preserve"> </w:t>
      </w:r>
    </w:p>
    <w:p w:rsidR="00513A70" w:rsidRPr="004F69AC" w:rsidP="00C92839" w14:textId="10AC68DB">
      <w:pPr>
        <w:pStyle w:val="NoSpacing"/>
        <w:spacing w:line="360" w:lineRule="auto"/>
        <w:rPr>
          <w:rFonts w:ascii="宋体" w:eastAsia="宋体" w:hAnsi="宋体"/>
          <w:sz w:val="24"/>
          <w:szCs w:val="24"/>
        </w:rPr>
      </w:pPr>
      <w:r w:rsidRPr="004F69AC">
        <w:rPr>
          <w:rFonts w:ascii="宋体" w:eastAsia="宋体" w:hAnsi="宋体" w:hint="eastAsia"/>
          <w:sz w:val="24"/>
          <w:szCs w:val="24"/>
        </w:rPr>
        <w:t>（ ）</w:t>
      </w:r>
      <w:r w:rsidRPr="004F69AC">
        <w:rPr>
          <w:rFonts w:ascii="宋体" w:eastAsia="宋体" w:hAnsi="宋体"/>
          <w:sz w:val="24"/>
          <w:szCs w:val="24"/>
        </w:rPr>
        <w:t>2、相对于远期协议而言，互换协议只涉及一次现金流的交换。</w:t>
      </w:r>
      <w:r w:rsidRPr="004F69AC">
        <w:rPr>
          <w:rFonts w:ascii="宋体" w:eastAsia="宋体" w:hAnsi="宋体" w:hint="eastAsia"/>
          <w:sz w:val="24"/>
          <w:szCs w:val="24"/>
        </w:rPr>
        <w:t xml:space="preserve"> </w:t>
      </w:r>
      <w:r w:rsidRPr="004F69AC">
        <w:rPr>
          <w:rFonts w:ascii="宋体" w:eastAsia="宋体" w:hAnsi="宋体"/>
          <w:sz w:val="24"/>
          <w:szCs w:val="24"/>
        </w:rPr>
        <w:t xml:space="preserve"> </w:t>
      </w:r>
    </w:p>
    <w:p w:rsidR="00513A70" w:rsidRPr="004F69AC" w:rsidP="00C92839" w14:textId="10AC68DB">
      <w:pPr>
        <w:pStyle w:val="NoSpacing"/>
        <w:spacing w:line="360" w:lineRule="auto"/>
        <w:rPr>
          <w:rFonts w:ascii="宋体" w:eastAsia="宋体" w:hAnsi="宋体"/>
          <w:sz w:val="24"/>
          <w:szCs w:val="24"/>
        </w:rPr>
      </w:pPr>
      <w:r w:rsidRPr="004F69AC">
        <w:rPr>
          <w:rFonts w:ascii="宋体" w:eastAsia="宋体" w:hAnsi="宋体" w:hint="eastAsia"/>
          <w:sz w:val="24"/>
          <w:szCs w:val="24"/>
        </w:rPr>
        <w:t>（ ）</w:t>
      </w:r>
      <w:r w:rsidRPr="004F69AC">
        <w:rPr>
          <w:rFonts w:ascii="宋体" w:eastAsia="宋体" w:hAnsi="宋体"/>
          <w:sz w:val="24"/>
          <w:szCs w:val="24"/>
        </w:rPr>
        <w:t>3、一般而言，失业率下降，代表整体经济健康发展，利于货币升值。</w:t>
      </w:r>
      <w:r w:rsidRPr="004F69AC">
        <w:rPr>
          <w:rFonts w:ascii="宋体" w:eastAsia="宋体" w:hAnsi="宋体" w:hint="eastAsia"/>
          <w:sz w:val="24"/>
          <w:szCs w:val="24"/>
        </w:rPr>
        <w:t xml:space="preserve"> </w:t>
      </w:r>
      <w:r w:rsidRPr="004F69AC">
        <w:rPr>
          <w:rFonts w:ascii="宋体" w:eastAsia="宋体" w:hAnsi="宋体"/>
          <w:sz w:val="24"/>
          <w:szCs w:val="24"/>
        </w:rPr>
        <w:t xml:space="preserve"> </w:t>
      </w:r>
    </w:p>
    <w:p w:rsidR="00513A70" w:rsidRPr="004F69AC" w:rsidP="00C92839" w14:textId="10AC68DB">
      <w:pPr>
        <w:pStyle w:val="NoSpacing"/>
        <w:spacing w:line="360" w:lineRule="auto"/>
        <w:rPr>
          <w:rFonts w:ascii="宋体" w:eastAsia="宋体" w:hAnsi="宋体"/>
          <w:sz w:val="24"/>
          <w:szCs w:val="24"/>
        </w:rPr>
      </w:pPr>
      <w:r w:rsidRPr="004F69AC">
        <w:rPr>
          <w:rFonts w:ascii="宋体" w:eastAsia="宋体" w:hAnsi="宋体" w:hint="eastAsia"/>
          <w:sz w:val="24"/>
          <w:szCs w:val="24"/>
        </w:rPr>
        <w:t>（ ）</w:t>
      </w:r>
      <w:r w:rsidRPr="004F69AC">
        <w:rPr>
          <w:rFonts w:ascii="宋体" w:eastAsia="宋体" w:hAnsi="宋体"/>
          <w:sz w:val="24"/>
          <w:szCs w:val="24"/>
        </w:rPr>
        <w:t>4、现汇汇率是银行买卖外汇支付凭证时标出的汇率。</w:t>
      </w:r>
      <w:r w:rsidRPr="004F69AC">
        <w:rPr>
          <w:rFonts w:ascii="宋体" w:eastAsia="宋体" w:hAnsi="宋体" w:hint="eastAsia"/>
          <w:sz w:val="24"/>
          <w:szCs w:val="24"/>
        </w:rPr>
        <w:t xml:space="preserve"> </w:t>
      </w:r>
      <w:r w:rsidRPr="004F69AC">
        <w:rPr>
          <w:rFonts w:ascii="宋体" w:eastAsia="宋体" w:hAnsi="宋体"/>
          <w:sz w:val="24"/>
          <w:szCs w:val="24"/>
        </w:rPr>
        <w:t xml:space="preserve"> </w:t>
      </w:r>
    </w:p>
    <w:p w:rsidR="00513A70" w:rsidRPr="004F69AC" w:rsidP="00C92839" w14:textId="10AC68DB">
      <w:pPr>
        <w:pStyle w:val="NoSpacing"/>
        <w:spacing w:line="360" w:lineRule="auto"/>
        <w:rPr>
          <w:rFonts w:ascii="宋体" w:eastAsia="宋体" w:hAnsi="宋体"/>
          <w:sz w:val="24"/>
          <w:szCs w:val="24"/>
        </w:rPr>
      </w:pPr>
      <w:r w:rsidRPr="004F69AC">
        <w:rPr>
          <w:rFonts w:ascii="宋体" w:eastAsia="宋体" w:hAnsi="宋体" w:hint="eastAsia"/>
          <w:sz w:val="24"/>
          <w:szCs w:val="24"/>
        </w:rPr>
        <w:t>（ ）</w:t>
      </w:r>
      <w:r w:rsidRPr="004F69AC">
        <w:rPr>
          <w:rFonts w:ascii="宋体" w:eastAsia="宋体" w:hAnsi="宋体"/>
          <w:sz w:val="24"/>
          <w:szCs w:val="24"/>
        </w:rPr>
        <w:t>5、居民消费价格指数的变动往往要比生产者价格指数的变动更剧烈。</w:t>
      </w:r>
      <w:r w:rsidRPr="004F69AC">
        <w:rPr>
          <w:rFonts w:ascii="宋体" w:eastAsia="宋体" w:hAnsi="宋体" w:hint="eastAsia"/>
          <w:sz w:val="24"/>
          <w:szCs w:val="24"/>
        </w:rPr>
        <w:t xml:space="preserve"> </w:t>
      </w:r>
      <w:r w:rsidRPr="004F69AC">
        <w:rPr>
          <w:rFonts w:ascii="宋体" w:eastAsia="宋体" w:hAnsi="宋体"/>
          <w:sz w:val="24"/>
          <w:szCs w:val="24"/>
        </w:rPr>
        <w:t xml:space="preserve"> </w:t>
      </w:r>
    </w:p>
    <w:p w:rsidR="00513A70" w:rsidRPr="004F69AC" w:rsidP="00C92839" w14:textId="10AC68DB">
      <w:pPr>
        <w:pStyle w:val="NoSpacing"/>
        <w:spacing w:line="360" w:lineRule="auto"/>
        <w:rPr>
          <w:rFonts w:ascii="宋体" w:eastAsia="宋体" w:hAnsi="宋体"/>
          <w:sz w:val="24"/>
          <w:szCs w:val="24"/>
        </w:rPr>
      </w:pPr>
      <w:r w:rsidRPr="004F69AC">
        <w:rPr>
          <w:rFonts w:ascii="宋体" w:eastAsia="宋体" w:hAnsi="宋体" w:hint="eastAsia"/>
          <w:sz w:val="24"/>
          <w:szCs w:val="24"/>
        </w:rPr>
        <w:t>（ ）</w:t>
      </w:r>
      <w:r w:rsidRPr="004F69AC">
        <w:rPr>
          <w:rFonts w:ascii="宋体" w:eastAsia="宋体" w:hAnsi="宋体"/>
          <w:sz w:val="24"/>
          <w:szCs w:val="24"/>
        </w:rPr>
        <w:t>6、场内金融工具的标准化可能使风险对冲机构的风险因子与场内交易的金融工具不一致，给交易带来一定的困难。</w:t>
      </w:r>
      <w:r w:rsidRPr="004F69AC">
        <w:rPr>
          <w:rFonts w:ascii="宋体" w:eastAsia="宋体" w:hAnsi="宋体" w:hint="eastAsia"/>
          <w:sz w:val="24"/>
          <w:szCs w:val="24"/>
        </w:rPr>
        <w:t xml:space="preserve"> </w:t>
      </w:r>
      <w:r w:rsidRPr="004F69AC">
        <w:rPr>
          <w:rFonts w:ascii="宋体" w:eastAsia="宋体" w:hAnsi="宋体"/>
          <w:sz w:val="24"/>
          <w:szCs w:val="24"/>
        </w:rPr>
        <w:t xml:space="preserve"> </w:t>
      </w:r>
    </w:p>
    <w:p w:rsidR="00513A70" w:rsidRPr="004F69AC" w:rsidP="00C92839" w14:textId="10AC68DB">
      <w:pPr>
        <w:pStyle w:val="NoSpacing"/>
        <w:spacing w:line="360" w:lineRule="auto"/>
        <w:rPr>
          <w:rFonts w:ascii="宋体" w:eastAsia="宋体" w:hAnsi="宋体"/>
          <w:sz w:val="24"/>
          <w:szCs w:val="24"/>
        </w:rPr>
      </w:pPr>
      <w:r w:rsidRPr="004F69AC">
        <w:rPr>
          <w:rFonts w:ascii="宋体" w:eastAsia="宋体" w:hAnsi="宋体" w:hint="eastAsia"/>
          <w:sz w:val="24"/>
          <w:szCs w:val="24"/>
        </w:rPr>
        <w:t>（ ）</w:t>
      </w:r>
      <w:r w:rsidRPr="004F69AC">
        <w:rPr>
          <w:rFonts w:ascii="宋体" w:eastAsia="宋体" w:hAnsi="宋体"/>
          <w:sz w:val="24"/>
          <w:szCs w:val="24"/>
        </w:rPr>
        <w:t>7、协整指的是多个非平稳性时间序列的某种线性组合是平稳的。</w:t>
      </w:r>
      <w:r w:rsidRPr="004F69AC">
        <w:rPr>
          <w:rFonts w:ascii="宋体" w:eastAsia="宋体" w:hAnsi="宋体" w:hint="eastAsia"/>
          <w:sz w:val="24"/>
          <w:szCs w:val="24"/>
        </w:rPr>
        <w:t xml:space="preserve"> </w:t>
      </w:r>
      <w:r w:rsidRPr="004F69AC">
        <w:rPr>
          <w:rFonts w:ascii="宋体" w:eastAsia="宋体" w:hAnsi="宋体"/>
          <w:sz w:val="24"/>
          <w:szCs w:val="24"/>
        </w:rPr>
        <w:t xml:space="preserve"> </w:t>
      </w:r>
    </w:p>
    <w:p w:rsidR="00513A70" w:rsidRPr="004F69AC" w:rsidP="00C92839" w14:textId="10AC68DB">
      <w:pPr>
        <w:pStyle w:val="NoSpacing"/>
        <w:spacing w:line="360" w:lineRule="auto"/>
        <w:rPr>
          <w:rFonts w:ascii="宋体" w:eastAsia="宋体" w:hAnsi="宋体"/>
          <w:sz w:val="24"/>
          <w:szCs w:val="24"/>
        </w:rPr>
      </w:pPr>
      <w:r w:rsidRPr="004F69AC">
        <w:rPr>
          <w:rFonts w:ascii="宋体" w:eastAsia="宋体" w:hAnsi="宋体" w:hint="eastAsia"/>
          <w:sz w:val="24"/>
          <w:szCs w:val="24"/>
        </w:rPr>
        <w:t>（ ）</w:t>
      </w:r>
      <w:r w:rsidRPr="004F69AC">
        <w:rPr>
          <w:rFonts w:ascii="宋体" w:eastAsia="宋体" w:hAnsi="宋体"/>
          <w:sz w:val="24"/>
          <w:szCs w:val="24"/>
        </w:rPr>
        <w:t>8、信用风险缓释凭证可以在二级市场中流通。</w:t>
      </w:r>
      <w:r w:rsidRPr="004F69AC">
        <w:rPr>
          <w:rFonts w:ascii="宋体" w:eastAsia="宋体" w:hAnsi="宋体" w:hint="eastAsia"/>
          <w:sz w:val="24"/>
          <w:szCs w:val="24"/>
        </w:rPr>
        <w:t xml:space="preserve"> </w:t>
      </w:r>
      <w:r w:rsidRPr="004F69AC">
        <w:rPr>
          <w:rFonts w:ascii="宋体" w:eastAsia="宋体" w:hAnsi="宋体"/>
          <w:sz w:val="24"/>
          <w:szCs w:val="24"/>
        </w:rPr>
        <w:t xml:space="preserve"> </w:t>
      </w:r>
    </w:p>
    <w:p w:rsidR="00513A70" w:rsidRPr="004F69AC" w:rsidP="00C92839" w14:textId="10AC68DB">
      <w:pPr>
        <w:pStyle w:val="NoSpacing"/>
        <w:spacing w:line="360" w:lineRule="auto"/>
        <w:rPr>
          <w:rFonts w:ascii="宋体" w:eastAsia="宋体" w:hAnsi="宋体"/>
          <w:sz w:val="24"/>
          <w:szCs w:val="24"/>
        </w:rPr>
      </w:pPr>
      <w:r w:rsidRPr="004F69AC">
        <w:rPr>
          <w:rFonts w:ascii="宋体" w:eastAsia="宋体" w:hAnsi="宋体" w:hint="eastAsia"/>
          <w:sz w:val="24"/>
          <w:szCs w:val="24"/>
        </w:rPr>
        <w:t>（ ）</w:t>
      </w:r>
      <w:r w:rsidRPr="004F69AC">
        <w:rPr>
          <w:rFonts w:ascii="宋体" w:eastAsia="宋体" w:hAnsi="宋体"/>
          <w:sz w:val="24"/>
          <w:szCs w:val="24"/>
        </w:rPr>
        <w:t>9、铁路在一定时期内实际运送的货物数量，既能反映经济运行现状，又可反映经济运行效率。</w:t>
      </w:r>
      <w:r w:rsidRPr="004F69AC">
        <w:rPr>
          <w:rFonts w:ascii="宋体" w:eastAsia="宋体" w:hAnsi="宋体" w:hint="eastAsia"/>
          <w:sz w:val="24"/>
          <w:szCs w:val="24"/>
        </w:rPr>
        <w:t xml:space="preserve"> </w:t>
      </w:r>
      <w:r w:rsidRPr="004F69AC">
        <w:rPr>
          <w:rFonts w:ascii="宋体" w:eastAsia="宋体" w:hAnsi="宋体"/>
          <w:sz w:val="24"/>
          <w:szCs w:val="24"/>
        </w:rPr>
        <w:t xml:space="preserve"> </w:t>
      </w:r>
    </w:p>
    <w:p w:rsidR="00513A70" w:rsidRPr="004F69AC" w:rsidP="00C92839" w14:textId="10AC68DB">
      <w:pPr>
        <w:pStyle w:val="NoSpacing"/>
        <w:spacing w:line="360" w:lineRule="auto"/>
        <w:rPr>
          <w:rFonts w:ascii="宋体" w:eastAsia="宋体" w:hAnsi="宋体"/>
          <w:sz w:val="24"/>
          <w:szCs w:val="24"/>
        </w:rPr>
      </w:pPr>
      <w:r w:rsidRPr="004F69AC">
        <w:rPr>
          <w:rFonts w:ascii="宋体" w:eastAsia="宋体" w:hAnsi="宋体" w:hint="eastAsia"/>
          <w:sz w:val="24"/>
          <w:szCs w:val="24"/>
        </w:rPr>
        <w:t>（ ）</w:t>
      </w:r>
      <w:r w:rsidRPr="004F69AC">
        <w:rPr>
          <w:rFonts w:ascii="宋体" w:eastAsia="宋体" w:hAnsi="宋体"/>
          <w:sz w:val="24"/>
          <w:szCs w:val="24"/>
        </w:rPr>
        <w:t>10、平衡表法虽然简单明了，但商品数据不公开透明，不容易取得。</w:t>
      </w:r>
      <w:r w:rsidRPr="004F69AC">
        <w:rPr>
          <w:rFonts w:ascii="宋体" w:eastAsia="宋体" w:hAnsi="宋体" w:hint="eastAsia"/>
          <w:sz w:val="24"/>
          <w:szCs w:val="24"/>
        </w:rPr>
        <w:t xml:space="preserve"> </w:t>
      </w:r>
      <w:r w:rsidRPr="004F69AC">
        <w:rPr>
          <w:rFonts w:ascii="宋体" w:eastAsia="宋体" w:hAnsi="宋体"/>
          <w:sz w:val="24"/>
          <w:szCs w:val="24"/>
        </w:rPr>
        <w:t xml:space="preserve"> </w:t>
      </w:r>
    </w:p>
    <w:p w:rsidR="00513A70" w:rsidRPr="004F69AC" w:rsidP="00C92839" w14:textId="10AC68DB">
      <w:pPr>
        <w:pStyle w:val="NoSpacing"/>
        <w:spacing w:line="360" w:lineRule="auto"/>
        <w:rPr>
          <w:rFonts w:ascii="宋体" w:eastAsia="宋体" w:hAnsi="宋体"/>
          <w:sz w:val="24"/>
          <w:szCs w:val="24"/>
        </w:rPr>
      </w:pPr>
      <w:r w:rsidRPr="004F69AC">
        <w:rPr>
          <w:rFonts w:ascii="宋体" w:eastAsia="宋体" w:hAnsi="宋体" w:hint="eastAsia"/>
          <w:sz w:val="24"/>
          <w:szCs w:val="24"/>
        </w:rPr>
        <w:t>（ ）</w:t>
      </w:r>
      <w:r w:rsidRPr="004F69AC">
        <w:rPr>
          <w:rFonts w:ascii="宋体" w:eastAsia="宋体" w:hAnsi="宋体"/>
          <w:sz w:val="24"/>
          <w:szCs w:val="24"/>
        </w:rPr>
        <w:t>11、在风险度量的在险价值计算中，ΔΠ是一个常量。</w:t>
      </w:r>
      <w:r w:rsidRPr="004F69AC">
        <w:rPr>
          <w:rFonts w:ascii="宋体" w:eastAsia="宋体" w:hAnsi="宋体" w:hint="eastAsia"/>
          <w:sz w:val="24"/>
          <w:szCs w:val="24"/>
        </w:rPr>
        <w:t xml:space="preserve"> </w:t>
      </w:r>
      <w:r w:rsidRPr="004F69AC">
        <w:rPr>
          <w:rFonts w:ascii="宋体" w:eastAsia="宋体" w:hAnsi="宋体"/>
          <w:sz w:val="24"/>
          <w:szCs w:val="24"/>
        </w:rPr>
        <w:t xml:space="preserve"> </w:t>
      </w:r>
    </w:p>
    <w:p w:rsidR="00513A70" w:rsidRPr="004F69AC" w:rsidP="00C92839" w14:textId="10AC68DB">
      <w:pPr>
        <w:pStyle w:val="NoSpacing"/>
        <w:spacing w:line="360" w:lineRule="auto"/>
        <w:rPr>
          <w:rFonts w:ascii="宋体" w:eastAsia="宋体" w:hAnsi="宋体"/>
          <w:sz w:val="24"/>
          <w:szCs w:val="24"/>
        </w:rPr>
      </w:pPr>
      <w:r w:rsidRPr="004F69AC">
        <w:rPr>
          <w:rFonts w:ascii="宋体" w:eastAsia="宋体" w:hAnsi="宋体" w:hint="eastAsia"/>
          <w:sz w:val="24"/>
          <w:szCs w:val="24"/>
        </w:rPr>
        <w:t>（ ）</w:t>
      </w:r>
      <w:r w:rsidRPr="004F69AC">
        <w:rPr>
          <w:rFonts w:ascii="宋体" w:eastAsia="宋体" w:hAnsi="宋体"/>
          <w:sz w:val="24"/>
          <w:szCs w:val="24"/>
        </w:rPr>
        <w:t>12、点价成败的关键是对期货价格走势的正确判断。</w:t>
      </w:r>
      <w:r w:rsidRPr="004F69AC">
        <w:rPr>
          <w:rFonts w:ascii="宋体" w:eastAsia="宋体" w:hAnsi="宋体" w:hint="eastAsia"/>
          <w:sz w:val="24"/>
          <w:szCs w:val="24"/>
        </w:rPr>
        <w:t xml:space="preserve"> </w:t>
      </w:r>
      <w:r w:rsidRPr="004F69AC">
        <w:rPr>
          <w:rFonts w:ascii="宋体" w:eastAsia="宋体" w:hAnsi="宋体"/>
          <w:sz w:val="24"/>
          <w:szCs w:val="24"/>
        </w:rPr>
        <w:t xml:space="preserve"> </w:t>
      </w:r>
    </w:p>
    <w:p w:rsidR="00513A70" w:rsidRPr="004F69AC" w:rsidP="00C92839" w14:textId="10AC68DB">
      <w:pPr>
        <w:pStyle w:val="NoSpacing"/>
        <w:spacing w:line="360" w:lineRule="auto"/>
        <w:rPr>
          <w:rFonts w:ascii="宋体" w:eastAsia="宋体" w:hAnsi="宋体"/>
          <w:sz w:val="24"/>
          <w:szCs w:val="24"/>
        </w:rPr>
      </w:pPr>
      <w:r w:rsidRPr="004F69AC">
        <w:rPr>
          <w:rFonts w:ascii="宋体" w:eastAsia="宋体" w:hAnsi="宋体" w:hint="eastAsia"/>
          <w:sz w:val="24"/>
          <w:szCs w:val="24"/>
        </w:rPr>
        <w:t>（ ）</w:t>
      </w:r>
      <w:r w:rsidRPr="004F69AC">
        <w:rPr>
          <w:rFonts w:ascii="宋体" w:eastAsia="宋体" w:hAnsi="宋体"/>
          <w:sz w:val="24"/>
          <w:szCs w:val="24"/>
        </w:rPr>
        <w:t>13、企业可以结合生产需要，合理利用期货，适度缓解企业在生产经营中出现的短期资金压力。</w:t>
      </w:r>
      <w:r w:rsidRPr="004F69AC">
        <w:rPr>
          <w:rFonts w:ascii="宋体" w:eastAsia="宋体" w:hAnsi="宋体" w:hint="eastAsia"/>
          <w:sz w:val="24"/>
          <w:szCs w:val="24"/>
        </w:rPr>
        <w:t xml:space="preserve"> </w:t>
      </w:r>
      <w:r w:rsidRPr="004F69AC">
        <w:rPr>
          <w:rFonts w:ascii="宋体" w:eastAsia="宋体" w:hAnsi="宋体"/>
          <w:sz w:val="24"/>
          <w:szCs w:val="24"/>
        </w:rPr>
        <w:t xml:space="preserve"> </w:t>
      </w:r>
    </w:p>
    <w:p w:rsidR="00513A70" w:rsidRPr="004F69AC" w:rsidP="00C92839" w14:textId="10AC68DB">
      <w:pPr>
        <w:pStyle w:val="NoSpacing"/>
        <w:spacing w:line="360" w:lineRule="auto"/>
        <w:rPr>
          <w:rFonts w:ascii="宋体" w:eastAsia="宋体" w:hAnsi="宋体"/>
          <w:sz w:val="24"/>
          <w:szCs w:val="24"/>
        </w:rPr>
      </w:pPr>
      <w:r w:rsidRPr="004F69AC">
        <w:rPr>
          <w:rFonts w:ascii="宋体" w:eastAsia="宋体" w:hAnsi="宋体" w:hint="eastAsia"/>
          <w:sz w:val="24"/>
          <w:szCs w:val="24"/>
        </w:rPr>
        <w:t>（ ）</w:t>
      </w:r>
      <w:r w:rsidRPr="004F69AC">
        <w:rPr>
          <w:rFonts w:ascii="宋体" w:eastAsia="宋体" w:hAnsi="宋体"/>
          <w:sz w:val="24"/>
          <w:szCs w:val="24"/>
        </w:rPr>
        <w:t>14、采购经理人指数中，当指数高于50%时，通常被解释为经济扩张的信号。</w:t>
      </w:r>
      <w:r w:rsidRPr="004F69AC">
        <w:rPr>
          <w:rFonts w:ascii="宋体" w:eastAsia="宋体" w:hAnsi="宋体" w:hint="eastAsia"/>
          <w:sz w:val="24"/>
          <w:szCs w:val="24"/>
        </w:rPr>
        <w:t xml:space="preserve"> </w:t>
      </w:r>
      <w:r w:rsidRPr="004F69AC">
        <w:rPr>
          <w:rFonts w:ascii="宋体" w:eastAsia="宋体" w:hAnsi="宋体"/>
          <w:sz w:val="24"/>
          <w:szCs w:val="24"/>
        </w:rPr>
        <w:t xml:space="preserve"> </w:t>
      </w:r>
    </w:p>
    <w:p w:rsidR="00513A70" w:rsidRPr="004F69AC" w:rsidP="00C92839" w14:textId="10AC68DB">
      <w:pPr>
        <w:pStyle w:val="NoSpacing"/>
        <w:spacing w:line="360" w:lineRule="auto"/>
        <w:rPr>
          <w:rFonts w:ascii="宋体" w:eastAsia="宋体" w:hAnsi="宋体"/>
          <w:sz w:val="24"/>
          <w:szCs w:val="24"/>
        </w:rPr>
      </w:pPr>
      <w:r w:rsidRPr="004F69AC">
        <w:rPr>
          <w:rFonts w:ascii="宋体" w:eastAsia="宋体" w:hAnsi="宋体" w:hint="eastAsia"/>
          <w:sz w:val="24"/>
          <w:szCs w:val="24"/>
        </w:rPr>
        <w:t>（ ）</w:t>
      </w:r>
      <w:r w:rsidRPr="004F69AC">
        <w:rPr>
          <w:rFonts w:ascii="宋体" w:eastAsia="宋体" w:hAnsi="宋体"/>
          <w:sz w:val="24"/>
          <w:szCs w:val="24"/>
        </w:rPr>
        <w:t>15、利率低会使得在股票估值的过程中提高股票价值。</w:t>
      </w:r>
      <w:r w:rsidRPr="004F69AC">
        <w:rPr>
          <w:rFonts w:ascii="宋体" w:eastAsia="宋体" w:hAnsi="宋体" w:hint="eastAsia"/>
          <w:sz w:val="24"/>
          <w:szCs w:val="24"/>
        </w:rPr>
        <w:t xml:space="preserve"> </w:t>
      </w:r>
      <w:r w:rsidRPr="004F69AC">
        <w:rPr>
          <w:rFonts w:ascii="宋体" w:eastAsia="宋体" w:hAnsi="宋体"/>
          <w:sz w:val="24"/>
          <w:szCs w:val="24"/>
        </w:rPr>
        <w:t xml:space="preserve"> </w:t>
      </w:r>
    </w:p>
    <w:p w:rsidR="00513A70" w:rsidRPr="004F69AC" w:rsidP="00C92839" w14:textId="10AC68DB">
      <w:pPr>
        <w:pStyle w:val="NoSpacing"/>
        <w:spacing w:line="360" w:lineRule="auto"/>
        <w:rPr>
          <w:rFonts w:ascii="宋体" w:eastAsia="宋体" w:hAnsi="宋体"/>
          <w:sz w:val="24"/>
          <w:szCs w:val="24"/>
        </w:rPr>
      </w:pPr>
      <w:r w:rsidRPr="004F69AC">
        <w:rPr>
          <w:rFonts w:ascii="宋体" w:eastAsia="宋体" w:hAnsi="宋体" w:hint="eastAsia"/>
          <w:sz w:val="24"/>
          <w:szCs w:val="24"/>
        </w:rPr>
        <w:t>（ ）</w:t>
      </w:r>
      <w:r w:rsidRPr="004F69AC">
        <w:rPr>
          <w:rFonts w:ascii="宋体" w:eastAsia="宋体" w:hAnsi="宋体"/>
          <w:sz w:val="24"/>
          <w:szCs w:val="24"/>
        </w:rPr>
        <w:t>16、期货市场采用的是保证金交易机制，通常只收取交易总额的5%～10%的保证金。</w:t>
      </w:r>
      <w:r w:rsidRPr="004F69AC">
        <w:rPr>
          <w:rFonts w:ascii="宋体" w:eastAsia="宋体" w:hAnsi="宋体" w:hint="eastAsia"/>
          <w:sz w:val="24"/>
          <w:szCs w:val="24"/>
        </w:rPr>
        <w:t xml:space="preserve"> </w:t>
      </w:r>
      <w:r w:rsidRPr="004F69AC">
        <w:rPr>
          <w:rFonts w:ascii="宋体" w:eastAsia="宋体" w:hAnsi="宋体"/>
          <w:sz w:val="24"/>
          <w:szCs w:val="24"/>
        </w:rPr>
        <w:t xml:space="preserve"> </w:t>
      </w:r>
    </w:p>
    <w:p w:rsidR="00513A70" w:rsidRPr="004F69AC" w:rsidP="00C92839" w14:textId="10AC68DB">
      <w:pPr>
        <w:pStyle w:val="NoSpacing"/>
        <w:spacing w:line="360" w:lineRule="auto"/>
        <w:rPr>
          <w:rFonts w:ascii="宋体" w:eastAsia="宋体" w:hAnsi="宋体"/>
          <w:sz w:val="24"/>
          <w:szCs w:val="24"/>
        </w:rPr>
      </w:pPr>
      <w:r w:rsidRPr="004F69AC">
        <w:rPr>
          <w:rFonts w:ascii="宋体" w:eastAsia="宋体" w:hAnsi="宋体" w:hint="eastAsia"/>
          <w:sz w:val="24"/>
          <w:szCs w:val="24"/>
        </w:rPr>
        <w:t>（ ）</w:t>
      </w:r>
      <w:r w:rsidRPr="004F69AC">
        <w:rPr>
          <w:rFonts w:ascii="宋体" w:eastAsia="宋体" w:hAnsi="宋体"/>
          <w:sz w:val="24"/>
          <w:szCs w:val="24"/>
        </w:rPr>
        <w:t>17、短期流动性调节工具（SLO）原则上可以在开展公开市场常规操作期间使用。</w:t>
      </w:r>
      <w:r w:rsidRPr="004F69AC">
        <w:rPr>
          <w:rFonts w:ascii="宋体" w:eastAsia="宋体" w:hAnsi="宋体" w:hint="eastAsia"/>
          <w:sz w:val="24"/>
          <w:szCs w:val="24"/>
        </w:rPr>
        <w:t xml:space="preserve"> </w:t>
      </w:r>
      <w:r w:rsidRPr="004F69AC">
        <w:rPr>
          <w:rFonts w:ascii="宋体" w:eastAsia="宋体" w:hAnsi="宋体"/>
          <w:sz w:val="24"/>
          <w:szCs w:val="24"/>
        </w:rPr>
        <w:t xml:space="preserve"> </w:t>
      </w:r>
    </w:p>
    <w:p w:rsidR="00513A70" w:rsidRPr="004F69AC" w:rsidP="00C92839" w14:textId="10AC68DB">
      <w:pPr>
        <w:pStyle w:val="NoSpacing"/>
        <w:spacing w:line="360" w:lineRule="auto"/>
        <w:rPr>
          <w:rFonts w:ascii="宋体" w:eastAsia="宋体" w:hAnsi="宋体"/>
          <w:sz w:val="24"/>
          <w:szCs w:val="24"/>
        </w:rPr>
        <w:sectPr w:rsidSect="00312E8D">
          <w:headerReference w:type="even" r:id="rId41"/>
          <w:headerReference w:type="default" r:id="rId42"/>
          <w:footerReference w:type="default" r:id="rId43"/>
          <w:headerReference w:type="first" r:id="rId44"/>
          <w:type w:val="nextPage"/>
          <w:pgSz w:w="11906" w:h="16838"/>
          <w:pgMar w:top="1440" w:right="1800" w:bottom="1440" w:left="1800" w:header="851" w:footer="992" w:gutter="0"/>
          <w:pgBorders w:offsetFrom="page">
            <w:top w:val="dashed" w:sz="4" w:space="24" w:color="auto"/>
            <w:left w:val="dashed" w:sz="4" w:space="24" w:color="auto"/>
            <w:bottom w:val="dashed" w:sz="4" w:space="24" w:color="auto"/>
            <w:right w:val="dashed" w:sz="4" w:space="24" w:color="auto"/>
          </w:pgBorders>
          <w:pgNumType w:start="10"/>
          <w:cols w:space="425"/>
          <w:titlePg w:val="0"/>
          <w:docGrid w:type="lines" w:linePitch="312"/>
        </w:sectPr>
      </w:pPr>
      <w:r w:rsidRPr="004F69AC">
        <w:rPr>
          <w:rFonts w:ascii="宋体" w:eastAsia="宋体" w:hAnsi="宋体" w:hint="eastAsia"/>
          <w:sz w:val="24"/>
          <w:szCs w:val="24"/>
        </w:rPr>
        <w:t>（ ）</w:t>
      </w:r>
      <w:r w:rsidRPr="004F69AC">
        <w:rPr>
          <w:rFonts w:ascii="宋体" w:eastAsia="宋体" w:hAnsi="宋体"/>
          <w:sz w:val="24"/>
          <w:szCs w:val="24"/>
        </w:rPr>
        <w:t>18、全球最著名的基准利率有伦敦同业拆借利率和上海银行间同业拆借利率。</w:t>
      </w:r>
      <w:r w:rsidRPr="004F69AC">
        <w:rPr>
          <w:rFonts w:ascii="宋体" w:eastAsia="宋体" w:hAnsi="宋体" w:hint="eastAsia"/>
          <w:sz w:val="24"/>
          <w:szCs w:val="24"/>
        </w:rPr>
        <w:t xml:space="preserve"> </w:t>
      </w:r>
      <w:r w:rsidRPr="004F69AC">
        <w:rPr>
          <w:rFonts w:ascii="宋体" w:eastAsia="宋体" w:hAnsi="宋体"/>
          <w:sz w:val="24"/>
          <w:szCs w:val="24"/>
        </w:rPr>
        <w:t xml:space="preserve"> </w:t>
      </w:r>
    </w:p>
    <w:p w:rsidR="00513A70" w:rsidRPr="004F69AC" w:rsidP="00C92839" w14:textId="10AC68DB">
      <w:pPr>
        <w:pStyle w:val="NoSpacing"/>
        <w:spacing w:line="360" w:lineRule="auto"/>
        <w:rPr>
          <w:rFonts w:ascii="宋体" w:eastAsia="宋体" w:hAnsi="宋体"/>
          <w:sz w:val="24"/>
          <w:szCs w:val="24"/>
        </w:rPr>
      </w:pPr>
      <w:r w:rsidRPr="004F69AC">
        <w:rPr>
          <w:rFonts w:ascii="宋体" w:eastAsia="宋体" w:hAnsi="宋体" w:hint="eastAsia"/>
          <w:sz w:val="24"/>
          <w:szCs w:val="24"/>
        </w:rPr>
        <w:t>（ ）</w:t>
      </w:r>
      <w:r w:rsidRPr="004F69AC">
        <w:rPr>
          <w:rFonts w:ascii="宋体" w:eastAsia="宋体" w:hAnsi="宋体"/>
          <w:sz w:val="24"/>
          <w:szCs w:val="24"/>
        </w:rPr>
        <w:t>19、金融机构在管理现有投资的收益时需要运用各种工具对冲潜在的风险，而在管理或有支付义务时不需要进行风险对冲。</w:t>
      </w:r>
      <w:r w:rsidRPr="004F69AC">
        <w:rPr>
          <w:rFonts w:ascii="宋体" w:eastAsia="宋体" w:hAnsi="宋体" w:hint="eastAsia"/>
          <w:sz w:val="24"/>
          <w:szCs w:val="24"/>
        </w:rPr>
        <w:t xml:space="preserve"> </w:t>
      </w:r>
      <w:r w:rsidRPr="004F69AC">
        <w:rPr>
          <w:rFonts w:ascii="宋体" w:eastAsia="宋体" w:hAnsi="宋体"/>
          <w:sz w:val="24"/>
          <w:szCs w:val="24"/>
        </w:rPr>
        <w:t xml:space="preserve"> </w:t>
      </w:r>
    </w:p>
    <w:p w:rsidR="00513A70" w:rsidRPr="004F69AC" w:rsidP="00C92839" w14:textId="10AC68DB">
      <w:pPr>
        <w:pStyle w:val="NoSpacing"/>
        <w:spacing w:line="360" w:lineRule="auto"/>
        <w:rPr>
          <w:rFonts w:ascii="宋体" w:eastAsia="宋体" w:hAnsi="宋体"/>
          <w:sz w:val="24"/>
          <w:szCs w:val="24"/>
        </w:rPr>
      </w:pPr>
      <w:r w:rsidRPr="004F69AC">
        <w:rPr>
          <w:rFonts w:ascii="宋体" w:eastAsia="宋体" w:hAnsi="宋体" w:hint="eastAsia"/>
          <w:sz w:val="24"/>
          <w:szCs w:val="24"/>
        </w:rPr>
        <w:t>（ ）</w:t>
      </w:r>
      <w:r w:rsidRPr="004F69AC">
        <w:rPr>
          <w:rFonts w:ascii="宋体" w:eastAsia="宋体" w:hAnsi="宋体"/>
          <w:sz w:val="24"/>
          <w:szCs w:val="24"/>
        </w:rPr>
        <w:t>20、作为一种避险资产，黄金不会受到乌克兰政治危机的影响。</w:t>
      </w:r>
      <w:r w:rsidRPr="004F69AC">
        <w:rPr>
          <w:rFonts w:ascii="宋体" w:eastAsia="宋体" w:hAnsi="宋体" w:hint="eastAsia"/>
          <w:sz w:val="24"/>
          <w:szCs w:val="24"/>
        </w:rPr>
        <w:t xml:space="preserve"> </w:t>
      </w:r>
      <w:r w:rsidRPr="004F69AC">
        <w:rPr>
          <w:rFonts w:ascii="宋体" w:eastAsia="宋体" w:hAnsi="宋体"/>
          <w:sz w:val="24"/>
          <w:szCs w:val="24"/>
        </w:rPr>
        <w:t xml:space="preserve"> </w:t>
      </w:r>
    </w:p>
    <w:p w:rsidR="00513A70" w:rsidRPr="004F69AC" w:rsidP="00C92839" w14:textId="10AC68DB">
      <w:pPr>
        <w:pStyle w:val="NoSpacing"/>
        <w:spacing w:line="360" w:lineRule="auto"/>
        <w:rPr>
          <w:rFonts w:ascii="宋体" w:eastAsia="宋体" w:hAnsi="宋体"/>
          <w:sz w:val="24"/>
          <w:szCs w:val="24"/>
        </w:rPr>
      </w:pPr>
      <w:r w:rsidRPr="004F69AC">
        <w:rPr>
          <w:rFonts w:ascii="宋体" w:eastAsia="宋体" w:hAnsi="宋体" w:hint="eastAsia"/>
          <w:sz w:val="24"/>
          <w:szCs w:val="24"/>
        </w:rPr>
        <w:t>（ ）</w:t>
      </w:r>
      <w:r w:rsidRPr="004F69AC">
        <w:rPr>
          <w:rFonts w:ascii="宋体" w:eastAsia="宋体" w:hAnsi="宋体"/>
          <w:sz w:val="24"/>
          <w:szCs w:val="24"/>
        </w:rPr>
        <w:t>21、当金融机构面临的风险在某些极端情况下使得其难以找到满意的解决方案时，需要进行情景分析。</w:t>
      </w:r>
      <w:r w:rsidRPr="004F69AC">
        <w:rPr>
          <w:rFonts w:ascii="宋体" w:eastAsia="宋体" w:hAnsi="宋体" w:hint="eastAsia"/>
          <w:sz w:val="24"/>
          <w:szCs w:val="24"/>
        </w:rPr>
        <w:t xml:space="preserve"> </w:t>
      </w:r>
      <w:r w:rsidRPr="004F69AC">
        <w:rPr>
          <w:rFonts w:ascii="宋体" w:eastAsia="宋体" w:hAnsi="宋体"/>
          <w:sz w:val="24"/>
          <w:szCs w:val="24"/>
        </w:rPr>
        <w:t xml:space="preserve"> </w:t>
      </w:r>
    </w:p>
    <w:p w:rsidR="00513A70" w:rsidRPr="004F69AC" w:rsidP="00C92839" w14:textId="10AC68DB">
      <w:pPr>
        <w:pStyle w:val="NoSpacing"/>
        <w:spacing w:line="360" w:lineRule="auto"/>
        <w:rPr>
          <w:rFonts w:ascii="宋体" w:eastAsia="宋体" w:hAnsi="宋体"/>
          <w:sz w:val="24"/>
          <w:szCs w:val="24"/>
        </w:rPr>
      </w:pPr>
      <w:r w:rsidRPr="004F69AC">
        <w:rPr>
          <w:rFonts w:ascii="宋体" w:eastAsia="宋体" w:hAnsi="宋体" w:hint="eastAsia"/>
          <w:sz w:val="24"/>
          <w:szCs w:val="24"/>
        </w:rPr>
        <w:t>（ ）</w:t>
      </w:r>
      <w:r w:rsidRPr="004F69AC">
        <w:rPr>
          <w:rFonts w:ascii="宋体" w:eastAsia="宋体" w:hAnsi="宋体"/>
          <w:sz w:val="24"/>
          <w:szCs w:val="24"/>
        </w:rPr>
        <w:t>22、短期国债期货定价公式与不支付红利的标的资产定价公式一致。</w:t>
      </w:r>
      <w:r w:rsidRPr="004F69AC">
        <w:rPr>
          <w:rFonts w:ascii="宋体" w:eastAsia="宋体" w:hAnsi="宋体" w:hint="eastAsia"/>
          <w:sz w:val="24"/>
          <w:szCs w:val="24"/>
        </w:rPr>
        <w:t xml:space="preserve"> </w:t>
      </w:r>
      <w:r w:rsidRPr="004F69AC">
        <w:rPr>
          <w:rFonts w:ascii="宋体" w:eastAsia="宋体" w:hAnsi="宋体"/>
          <w:sz w:val="24"/>
          <w:szCs w:val="24"/>
        </w:rPr>
        <w:t xml:space="preserve"> </w:t>
      </w:r>
    </w:p>
    <w:p w:rsidR="00513A70" w:rsidRPr="004F69AC" w:rsidP="00C92839" w14:textId="10AC68DB">
      <w:pPr>
        <w:pStyle w:val="NoSpacing"/>
        <w:spacing w:line="360" w:lineRule="auto"/>
        <w:rPr>
          <w:rFonts w:ascii="宋体" w:eastAsia="宋体" w:hAnsi="宋体"/>
          <w:sz w:val="24"/>
          <w:szCs w:val="24"/>
        </w:rPr>
      </w:pPr>
      <w:r w:rsidRPr="004F69AC">
        <w:rPr>
          <w:rFonts w:ascii="宋体" w:eastAsia="宋体" w:hAnsi="宋体" w:hint="eastAsia"/>
          <w:sz w:val="24"/>
          <w:szCs w:val="24"/>
        </w:rPr>
        <w:t>（ ）</w:t>
      </w:r>
      <w:r w:rsidRPr="004F69AC">
        <w:rPr>
          <w:rFonts w:ascii="宋体" w:eastAsia="宋体" w:hAnsi="宋体"/>
          <w:sz w:val="24"/>
          <w:szCs w:val="24"/>
        </w:rPr>
        <w:t>23、当美元持续贬值时，投资者也会相应的减少对黄金的持有。</w:t>
      </w:r>
      <w:r w:rsidRPr="004F69AC">
        <w:rPr>
          <w:rFonts w:ascii="宋体" w:eastAsia="宋体" w:hAnsi="宋体" w:hint="eastAsia"/>
          <w:sz w:val="24"/>
          <w:szCs w:val="24"/>
        </w:rPr>
        <w:t xml:space="preserve"> </w:t>
      </w:r>
      <w:r w:rsidRPr="004F69AC">
        <w:rPr>
          <w:rFonts w:ascii="宋体" w:eastAsia="宋体" w:hAnsi="宋体"/>
          <w:sz w:val="24"/>
          <w:szCs w:val="24"/>
        </w:rPr>
        <w:t xml:space="preserve"> </w:t>
      </w:r>
    </w:p>
    <w:p w:rsidR="00513A70" w:rsidRPr="004F69AC" w:rsidP="00C92839" w14:textId="10AC68DB">
      <w:pPr>
        <w:pStyle w:val="NoSpacing"/>
        <w:spacing w:line="360" w:lineRule="auto"/>
        <w:rPr>
          <w:rFonts w:ascii="宋体" w:eastAsia="宋体" w:hAnsi="宋体"/>
          <w:sz w:val="24"/>
          <w:szCs w:val="24"/>
        </w:rPr>
      </w:pPr>
      <w:r w:rsidRPr="004F69AC">
        <w:rPr>
          <w:rFonts w:ascii="宋体" w:eastAsia="宋体" w:hAnsi="宋体" w:hint="eastAsia"/>
          <w:sz w:val="24"/>
          <w:szCs w:val="24"/>
        </w:rPr>
        <w:t>（ ）</w:t>
      </w:r>
      <w:r w:rsidRPr="004F69AC">
        <w:rPr>
          <w:rFonts w:ascii="宋体" w:eastAsia="宋体" w:hAnsi="宋体"/>
          <w:sz w:val="24"/>
          <w:szCs w:val="24"/>
        </w:rPr>
        <w:t>24、短期国债期货标的资产通常是零息债券，没有持有收益，持有成本也只包括购买国债所需资金的利息成本。</w:t>
      </w:r>
      <w:r w:rsidRPr="004F69AC">
        <w:rPr>
          <w:rFonts w:ascii="宋体" w:eastAsia="宋体" w:hAnsi="宋体" w:hint="eastAsia"/>
          <w:sz w:val="24"/>
          <w:szCs w:val="24"/>
        </w:rPr>
        <w:t xml:space="preserve"> </w:t>
      </w:r>
      <w:r w:rsidRPr="004F69AC">
        <w:rPr>
          <w:rFonts w:ascii="宋体" w:eastAsia="宋体" w:hAnsi="宋体"/>
          <w:sz w:val="24"/>
          <w:szCs w:val="24"/>
        </w:rPr>
        <w:t xml:space="preserve"> </w:t>
      </w:r>
    </w:p>
    <w:p w:rsidR="00513A70" w:rsidRPr="004F69AC" w:rsidP="00C92839" w14:textId="10AC68DB">
      <w:pPr>
        <w:pStyle w:val="NoSpacing"/>
        <w:spacing w:line="360" w:lineRule="auto"/>
        <w:rPr>
          <w:rFonts w:ascii="宋体" w:eastAsia="宋体" w:hAnsi="宋体"/>
          <w:sz w:val="24"/>
          <w:szCs w:val="24"/>
        </w:rPr>
      </w:pPr>
      <w:r w:rsidRPr="004F69AC">
        <w:rPr>
          <w:rFonts w:ascii="宋体" w:eastAsia="宋体" w:hAnsi="宋体" w:hint="eastAsia"/>
          <w:sz w:val="24"/>
          <w:szCs w:val="24"/>
        </w:rPr>
        <w:t>（ ）</w:t>
      </w:r>
      <w:r w:rsidRPr="004F69AC">
        <w:rPr>
          <w:rFonts w:ascii="宋体" w:eastAsia="宋体" w:hAnsi="宋体"/>
          <w:sz w:val="24"/>
          <w:szCs w:val="24"/>
        </w:rPr>
        <w:t>25、将量化策略编写成交易模型后需要对量化模型进行测试，这种测试是指在实际交易中进行测试。</w:t>
      </w:r>
      <w:r w:rsidRPr="004F69AC">
        <w:rPr>
          <w:rFonts w:ascii="宋体" w:eastAsia="宋体" w:hAnsi="宋体" w:hint="eastAsia"/>
          <w:sz w:val="24"/>
          <w:szCs w:val="24"/>
        </w:rPr>
        <w:t xml:space="preserve"> </w:t>
      </w:r>
      <w:r w:rsidRPr="004F69AC">
        <w:rPr>
          <w:rFonts w:ascii="宋体" w:eastAsia="宋体" w:hAnsi="宋体"/>
          <w:sz w:val="24"/>
          <w:szCs w:val="24"/>
        </w:rPr>
        <w:t xml:space="preserve"> </w:t>
      </w:r>
    </w:p>
    <w:p w:rsidR="00513A70" w:rsidRPr="004F69AC" w:rsidP="00C92839" w14:textId="10AC68DB">
      <w:pPr>
        <w:pStyle w:val="NoSpacing"/>
        <w:spacing w:line="360" w:lineRule="auto"/>
        <w:rPr>
          <w:rFonts w:ascii="宋体" w:eastAsia="宋体" w:hAnsi="宋体"/>
          <w:sz w:val="24"/>
          <w:szCs w:val="24"/>
        </w:rPr>
      </w:pPr>
      <w:r w:rsidRPr="004F69AC">
        <w:rPr>
          <w:rFonts w:ascii="宋体" w:eastAsia="宋体" w:hAnsi="宋体" w:hint="eastAsia"/>
          <w:sz w:val="24"/>
          <w:szCs w:val="24"/>
        </w:rPr>
        <w:t>（ ）</w:t>
      </w:r>
      <w:r w:rsidRPr="004F69AC">
        <w:rPr>
          <w:rFonts w:ascii="宋体" w:eastAsia="宋体" w:hAnsi="宋体"/>
          <w:sz w:val="24"/>
          <w:szCs w:val="24"/>
        </w:rPr>
        <w:t>26、收益率曲线变得更凸后，中间期限的利率相对向下移动，而长短期限的利率则相对向上移动。</w:t>
      </w:r>
      <w:r w:rsidRPr="004F69AC">
        <w:rPr>
          <w:rFonts w:ascii="宋体" w:eastAsia="宋体" w:hAnsi="宋体" w:hint="eastAsia"/>
          <w:sz w:val="24"/>
          <w:szCs w:val="24"/>
        </w:rPr>
        <w:t xml:space="preserve"> </w:t>
      </w:r>
      <w:r w:rsidRPr="004F69AC">
        <w:rPr>
          <w:rFonts w:ascii="宋体" w:eastAsia="宋体" w:hAnsi="宋体"/>
          <w:sz w:val="24"/>
          <w:szCs w:val="24"/>
        </w:rPr>
        <w:t xml:space="preserve"> </w:t>
      </w:r>
    </w:p>
    <w:p w:rsidR="00513A70" w:rsidRPr="004F69AC" w:rsidP="00C92839" w14:textId="10AC68DB">
      <w:pPr>
        <w:pStyle w:val="NoSpacing"/>
        <w:spacing w:line="360" w:lineRule="auto"/>
        <w:rPr>
          <w:rFonts w:ascii="宋体" w:eastAsia="宋体" w:hAnsi="宋体"/>
          <w:sz w:val="24"/>
          <w:szCs w:val="24"/>
        </w:rPr>
      </w:pPr>
      <w:r w:rsidRPr="004F69AC">
        <w:rPr>
          <w:rFonts w:ascii="宋体" w:eastAsia="宋体" w:hAnsi="宋体" w:hint="eastAsia"/>
          <w:sz w:val="24"/>
          <w:szCs w:val="24"/>
        </w:rPr>
        <w:t>（ ）</w:t>
      </w:r>
      <w:r w:rsidRPr="004F69AC">
        <w:rPr>
          <w:rFonts w:ascii="宋体" w:eastAsia="宋体" w:hAnsi="宋体"/>
          <w:sz w:val="24"/>
          <w:szCs w:val="24"/>
        </w:rPr>
        <w:t>27、根据美林投资时钟理论与类大资产配置，可知在过热期，商品为王，股票次之</w:t>
      </w:r>
      <w:r w:rsidRPr="004F69AC">
        <w:rPr>
          <w:rFonts w:ascii="宋体" w:eastAsia="宋体" w:hAnsi="宋体" w:hint="eastAsia"/>
          <w:sz w:val="24"/>
          <w:szCs w:val="24"/>
        </w:rPr>
        <w:t xml:space="preserve"> </w:t>
      </w:r>
      <w:r w:rsidRPr="004F69AC">
        <w:rPr>
          <w:rFonts w:ascii="宋体" w:eastAsia="宋体" w:hAnsi="宋体"/>
          <w:sz w:val="24"/>
          <w:szCs w:val="24"/>
        </w:rPr>
        <w:t xml:space="preserve"> </w:t>
      </w:r>
    </w:p>
    <w:p w:rsidR="00513A70" w:rsidRPr="004F69AC" w:rsidP="00C92839" w14:textId="10AC68DB">
      <w:pPr>
        <w:pStyle w:val="NoSpacing"/>
        <w:spacing w:line="360" w:lineRule="auto"/>
        <w:rPr>
          <w:rFonts w:ascii="宋体" w:eastAsia="宋体" w:hAnsi="宋体"/>
          <w:sz w:val="24"/>
          <w:szCs w:val="24"/>
        </w:rPr>
      </w:pPr>
      <w:r w:rsidRPr="004F69AC">
        <w:rPr>
          <w:rFonts w:ascii="宋体" w:eastAsia="宋体" w:hAnsi="宋体" w:hint="eastAsia"/>
          <w:sz w:val="24"/>
          <w:szCs w:val="24"/>
        </w:rPr>
        <w:t>（ ）</w:t>
      </w:r>
      <w:r w:rsidRPr="004F69AC">
        <w:rPr>
          <w:rFonts w:ascii="宋体" w:eastAsia="宋体" w:hAnsi="宋体"/>
          <w:sz w:val="24"/>
          <w:szCs w:val="24"/>
        </w:rPr>
        <w:t>28、在我国，金融机构按法人统一存入中国人民银行的准备金存款低于上旬末一般存款余额的6%的，对其不足部分按每日万分之六的利率处以罚息。</w:t>
      </w:r>
      <w:r w:rsidRPr="004F69AC">
        <w:rPr>
          <w:rFonts w:ascii="宋体" w:eastAsia="宋体" w:hAnsi="宋体" w:hint="eastAsia"/>
          <w:sz w:val="24"/>
          <w:szCs w:val="24"/>
        </w:rPr>
        <w:t xml:space="preserve"> </w:t>
      </w:r>
      <w:r w:rsidRPr="004F69AC">
        <w:rPr>
          <w:rFonts w:ascii="宋体" w:eastAsia="宋体" w:hAnsi="宋体"/>
          <w:sz w:val="24"/>
          <w:szCs w:val="24"/>
        </w:rPr>
        <w:t xml:space="preserve"> </w:t>
      </w:r>
    </w:p>
    <w:p w:rsidR="00513A70" w:rsidRPr="004F69AC" w:rsidP="00C92839" w14:textId="10AC68DB">
      <w:pPr>
        <w:pStyle w:val="NoSpacing"/>
        <w:spacing w:line="360" w:lineRule="auto"/>
        <w:rPr>
          <w:rFonts w:ascii="宋体" w:eastAsia="宋体" w:hAnsi="宋体"/>
          <w:sz w:val="24"/>
          <w:szCs w:val="24"/>
        </w:rPr>
      </w:pPr>
      <w:r w:rsidRPr="004F69AC">
        <w:rPr>
          <w:rFonts w:ascii="宋体" w:eastAsia="宋体" w:hAnsi="宋体" w:hint="eastAsia"/>
          <w:sz w:val="24"/>
          <w:szCs w:val="24"/>
        </w:rPr>
        <w:t>（ ）</w:t>
      </w:r>
      <w:r w:rsidRPr="004F69AC">
        <w:rPr>
          <w:rFonts w:ascii="宋体" w:eastAsia="宋体" w:hAnsi="宋体"/>
          <w:sz w:val="24"/>
          <w:szCs w:val="24"/>
        </w:rPr>
        <w:t>29、场外期权合约不是标准化的，则该期权基本上难以在市场上流通。</w:t>
      </w:r>
      <w:r w:rsidRPr="004F69AC">
        <w:rPr>
          <w:rFonts w:ascii="宋体" w:eastAsia="宋体" w:hAnsi="宋体" w:hint="eastAsia"/>
          <w:sz w:val="24"/>
          <w:szCs w:val="24"/>
        </w:rPr>
        <w:t xml:space="preserve"> </w:t>
      </w:r>
      <w:r w:rsidRPr="004F69AC">
        <w:rPr>
          <w:rFonts w:ascii="宋体" w:eastAsia="宋体" w:hAnsi="宋体"/>
          <w:sz w:val="24"/>
          <w:szCs w:val="24"/>
        </w:rPr>
        <w:t xml:space="preserve"> </w:t>
      </w:r>
    </w:p>
    <w:p w:rsidR="00513A70" w:rsidRPr="004F69AC" w:rsidP="00C92839" w14:textId="10AC68DB">
      <w:pPr>
        <w:pStyle w:val="NoSpacing"/>
        <w:spacing w:line="360" w:lineRule="auto"/>
        <w:rPr>
          <w:rFonts w:ascii="宋体" w:eastAsia="宋体" w:hAnsi="宋体"/>
          <w:sz w:val="24"/>
          <w:szCs w:val="24"/>
        </w:rPr>
      </w:pPr>
      <w:r w:rsidRPr="004F69AC">
        <w:rPr>
          <w:rFonts w:ascii="宋体" w:eastAsia="宋体" w:hAnsi="宋体" w:hint="eastAsia"/>
          <w:sz w:val="24"/>
          <w:szCs w:val="24"/>
        </w:rPr>
        <w:t>（ ）</w:t>
      </w:r>
      <w:r w:rsidRPr="004F69AC">
        <w:rPr>
          <w:rFonts w:ascii="宋体" w:eastAsia="宋体" w:hAnsi="宋体"/>
          <w:sz w:val="24"/>
          <w:szCs w:val="24"/>
        </w:rPr>
        <w:t>30、企业在库存管理方面的一个困难是：在原材料价格大起大落时，企业如何管理库存才能降低管理成本，确保生产经营不受大的影响。</w:t>
      </w:r>
      <w:r w:rsidRPr="004F69AC">
        <w:rPr>
          <w:rFonts w:ascii="宋体" w:eastAsia="宋体" w:hAnsi="宋体" w:hint="eastAsia"/>
          <w:sz w:val="24"/>
          <w:szCs w:val="24"/>
        </w:rPr>
        <w:t xml:space="preserve"> </w:t>
      </w:r>
      <w:r w:rsidRPr="004F69AC">
        <w:rPr>
          <w:rFonts w:ascii="宋体" w:eastAsia="宋体" w:hAnsi="宋体"/>
          <w:sz w:val="24"/>
          <w:szCs w:val="24"/>
        </w:rPr>
        <w:t xml:space="preserve"> </w:t>
      </w:r>
    </w:p>
    <w:p w:rsidR="00513A70" w:rsidRPr="004F69AC" w:rsidP="00C92839" w14:textId="10AC68DB">
      <w:pPr>
        <w:pStyle w:val="NoSpacing"/>
        <w:spacing w:line="360" w:lineRule="auto"/>
        <w:rPr>
          <w:rFonts w:ascii="宋体" w:eastAsia="宋体" w:hAnsi="宋体"/>
          <w:sz w:val="24"/>
          <w:szCs w:val="24"/>
        </w:rPr>
      </w:pPr>
      <w:r w:rsidRPr="004F69AC">
        <w:rPr>
          <w:rFonts w:ascii="宋体" w:eastAsia="宋体" w:hAnsi="宋体" w:hint="eastAsia"/>
          <w:sz w:val="24"/>
          <w:szCs w:val="24"/>
        </w:rPr>
        <w:t>（ ）</w:t>
      </w:r>
      <w:r w:rsidRPr="004F69AC">
        <w:rPr>
          <w:rFonts w:ascii="宋体" w:eastAsia="宋体" w:hAnsi="宋体"/>
          <w:sz w:val="24"/>
          <w:szCs w:val="24"/>
        </w:rPr>
        <w:t>31、盈亏比的可以理解为承担一元钱的风险能够赚取的盈利。</w:t>
      </w:r>
      <w:r w:rsidRPr="004F69AC">
        <w:rPr>
          <w:rFonts w:ascii="宋体" w:eastAsia="宋体" w:hAnsi="宋体" w:hint="eastAsia"/>
          <w:sz w:val="24"/>
          <w:szCs w:val="24"/>
        </w:rPr>
        <w:t xml:space="preserve"> </w:t>
      </w:r>
      <w:r w:rsidRPr="004F69AC">
        <w:rPr>
          <w:rFonts w:ascii="宋体" w:eastAsia="宋体" w:hAnsi="宋体"/>
          <w:sz w:val="24"/>
          <w:szCs w:val="24"/>
        </w:rPr>
        <w:t xml:space="preserve"> </w:t>
      </w:r>
    </w:p>
    <w:p w:rsidR="00513A70" w:rsidRPr="004F69AC" w:rsidP="00C92839" w14:textId="10AC68DB">
      <w:pPr>
        <w:pStyle w:val="NoSpacing"/>
        <w:spacing w:line="360" w:lineRule="auto"/>
        <w:rPr>
          <w:rFonts w:ascii="宋体" w:eastAsia="宋体" w:hAnsi="宋体"/>
          <w:sz w:val="24"/>
          <w:szCs w:val="24"/>
        </w:rPr>
      </w:pPr>
      <w:r w:rsidRPr="004F69AC">
        <w:rPr>
          <w:rFonts w:ascii="宋体" w:eastAsia="宋体" w:hAnsi="宋体" w:hint="eastAsia"/>
          <w:sz w:val="24"/>
          <w:szCs w:val="24"/>
        </w:rPr>
        <w:t>（ ）</w:t>
      </w:r>
      <w:r w:rsidRPr="004F69AC">
        <w:rPr>
          <w:rFonts w:ascii="宋体" w:eastAsia="宋体" w:hAnsi="宋体"/>
          <w:sz w:val="24"/>
          <w:szCs w:val="24"/>
        </w:rPr>
        <w:t>32、DF检验是在ADF检验的基础上进行拓展得到的检验方法。</w:t>
      </w:r>
      <w:r w:rsidRPr="004F69AC">
        <w:rPr>
          <w:rFonts w:ascii="宋体" w:eastAsia="宋体" w:hAnsi="宋体" w:hint="eastAsia"/>
          <w:sz w:val="24"/>
          <w:szCs w:val="24"/>
        </w:rPr>
        <w:t xml:space="preserve"> </w:t>
      </w:r>
      <w:r w:rsidRPr="004F69AC">
        <w:rPr>
          <w:rFonts w:ascii="宋体" w:eastAsia="宋体" w:hAnsi="宋体"/>
          <w:sz w:val="24"/>
          <w:szCs w:val="24"/>
        </w:rPr>
        <w:t xml:space="preserve"> </w:t>
      </w:r>
    </w:p>
    <w:p w:rsidR="00513A70" w:rsidRPr="004F69AC" w:rsidP="00C92839" w14:textId="10AC68DB">
      <w:pPr>
        <w:pStyle w:val="NoSpacing"/>
        <w:spacing w:line="360" w:lineRule="auto"/>
        <w:rPr>
          <w:rFonts w:ascii="宋体" w:eastAsia="宋体" w:hAnsi="宋体"/>
          <w:sz w:val="24"/>
          <w:szCs w:val="24"/>
        </w:rPr>
      </w:pPr>
      <w:r w:rsidRPr="004F69AC">
        <w:rPr>
          <w:rFonts w:ascii="宋体" w:eastAsia="宋体" w:hAnsi="宋体" w:hint="eastAsia"/>
          <w:sz w:val="24"/>
          <w:szCs w:val="24"/>
        </w:rPr>
        <w:t>（ ）</w:t>
      </w:r>
      <w:r w:rsidRPr="004F69AC">
        <w:rPr>
          <w:rFonts w:ascii="宋体" w:eastAsia="宋体" w:hAnsi="宋体"/>
          <w:sz w:val="24"/>
          <w:szCs w:val="24"/>
        </w:rPr>
        <w:t>33、利用外汇远期和外汇期货进行套期保值的原理一样，交易场所也一样。</w:t>
      </w:r>
      <w:r w:rsidRPr="004F69AC">
        <w:rPr>
          <w:rFonts w:ascii="宋体" w:eastAsia="宋体" w:hAnsi="宋体" w:hint="eastAsia"/>
          <w:sz w:val="24"/>
          <w:szCs w:val="24"/>
        </w:rPr>
        <w:t xml:space="preserve"> </w:t>
      </w:r>
      <w:r w:rsidRPr="004F69AC">
        <w:rPr>
          <w:rFonts w:ascii="宋体" w:eastAsia="宋体" w:hAnsi="宋体"/>
          <w:sz w:val="24"/>
          <w:szCs w:val="24"/>
        </w:rPr>
        <w:t xml:space="preserve"> </w:t>
      </w:r>
    </w:p>
    <w:p w:rsidR="00513A70" w:rsidRPr="004F69AC" w:rsidP="00C92839" w14:textId="10AC68DB">
      <w:pPr>
        <w:pStyle w:val="NoSpacing"/>
        <w:spacing w:line="360" w:lineRule="auto"/>
        <w:rPr>
          <w:rFonts w:ascii="宋体" w:eastAsia="宋体" w:hAnsi="宋体"/>
          <w:sz w:val="24"/>
          <w:szCs w:val="24"/>
        </w:rPr>
      </w:pPr>
      <w:r w:rsidRPr="004F69AC">
        <w:rPr>
          <w:rFonts w:ascii="宋体" w:eastAsia="宋体" w:hAnsi="宋体" w:hint="eastAsia"/>
          <w:sz w:val="24"/>
          <w:szCs w:val="24"/>
        </w:rPr>
        <w:t>（ ）</w:t>
      </w:r>
      <w:r w:rsidRPr="004F69AC">
        <w:rPr>
          <w:rFonts w:ascii="宋体" w:eastAsia="宋体" w:hAnsi="宋体"/>
          <w:sz w:val="24"/>
          <w:szCs w:val="24"/>
        </w:rPr>
        <w:t>34、上海银行间同业拆放利率（Shibor）是目前国内资金市场的参考利率。</w:t>
      </w:r>
      <w:r w:rsidRPr="004F69AC">
        <w:rPr>
          <w:rFonts w:ascii="宋体" w:eastAsia="宋体" w:hAnsi="宋体" w:hint="eastAsia"/>
          <w:sz w:val="24"/>
          <w:szCs w:val="24"/>
        </w:rPr>
        <w:t xml:space="preserve"> </w:t>
      </w:r>
      <w:r w:rsidRPr="004F69AC">
        <w:rPr>
          <w:rFonts w:ascii="宋体" w:eastAsia="宋体" w:hAnsi="宋体"/>
          <w:sz w:val="24"/>
          <w:szCs w:val="24"/>
        </w:rPr>
        <w:t xml:space="preserve"> </w:t>
      </w:r>
    </w:p>
    <w:p w:rsidR="00513A70" w:rsidRPr="004F69AC" w:rsidP="00C92839" w14:textId="10AC68DB">
      <w:pPr>
        <w:pStyle w:val="NoSpacing"/>
        <w:spacing w:line="360" w:lineRule="auto"/>
        <w:rPr>
          <w:rFonts w:ascii="宋体" w:eastAsia="宋体" w:hAnsi="宋体"/>
          <w:sz w:val="24"/>
          <w:szCs w:val="24"/>
        </w:rPr>
      </w:pPr>
      <w:r w:rsidRPr="004F69AC">
        <w:rPr>
          <w:rFonts w:ascii="宋体" w:eastAsia="宋体" w:hAnsi="宋体" w:hint="eastAsia"/>
          <w:sz w:val="24"/>
          <w:szCs w:val="24"/>
        </w:rPr>
        <w:t>（ ）</w:t>
      </w:r>
      <w:r w:rsidRPr="004F69AC">
        <w:rPr>
          <w:rFonts w:ascii="宋体" w:eastAsia="宋体" w:hAnsi="宋体"/>
          <w:sz w:val="24"/>
          <w:szCs w:val="24"/>
        </w:rPr>
        <w:t>35、在备兑看涨期权策略中，出售期权时，该时期该股票的所有红利分配也应该属于期权的买方。</w:t>
      </w:r>
      <w:r w:rsidRPr="004F69AC">
        <w:rPr>
          <w:rFonts w:ascii="宋体" w:eastAsia="宋体" w:hAnsi="宋体" w:hint="eastAsia"/>
          <w:sz w:val="24"/>
          <w:szCs w:val="24"/>
        </w:rPr>
        <w:t xml:space="preserve"> </w:t>
      </w:r>
      <w:r w:rsidRPr="004F69AC">
        <w:rPr>
          <w:rFonts w:ascii="宋体" w:eastAsia="宋体" w:hAnsi="宋体"/>
          <w:sz w:val="24"/>
          <w:szCs w:val="24"/>
        </w:rPr>
        <w:t xml:space="preserve"> </w:t>
      </w:r>
    </w:p>
    <w:p w:rsidR="00513A70" w:rsidRPr="004F69AC" w:rsidP="00C92839" w14:textId="10AC68DB">
      <w:pPr>
        <w:pStyle w:val="NoSpacing"/>
        <w:spacing w:line="360" w:lineRule="auto"/>
        <w:rPr>
          <w:rFonts w:ascii="宋体" w:eastAsia="宋体" w:hAnsi="宋体"/>
          <w:sz w:val="24"/>
          <w:szCs w:val="24"/>
        </w:rPr>
        <w:sectPr w:rsidSect="00312E8D">
          <w:headerReference w:type="even" r:id="rId45"/>
          <w:headerReference w:type="default" r:id="rId46"/>
          <w:footerReference w:type="default" r:id="rId47"/>
          <w:headerReference w:type="first" r:id="rId48"/>
          <w:type w:val="nextPage"/>
          <w:pgSz w:w="11906" w:h="16838"/>
          <w:pgMar w:top="1440" w:right="1800" w:bottom="1440" w:left="1800" w:header="851" w:footer="992" w:gutter="0"/>
          <w:pgBorders w:offsetFrom="page">
            <w:top w:val="dashed" w:sz="4" w:space="24" w:color="auto"/>
            <w:left w:val="dashed" w:sz="4" w:space="24" w:color="auto"/>
            <w:bottom w:val="dashed" w:sz="4" w:space="24" w:color="auto"/>
            <w:right w:val="dashed" w:sz="4" w:space="24" w:color="auto"/>
          </w:pgBorders>
          <w:pgNumType w:start="11"/>
          <w:cols w:space="425"/>
          <w:titlePg w:val="0"/>
          <w:docGrid w:type="lines" w:linePitch="312"/>
        </w:sectPr>
      </w:pPr>
      <w:r w:rsidRPr="004F69AC">
        <w:rPr>
          <w:rFonts w:ascii="宋体" w:eastAsia="宋体" w:hAnsi="宋体" w:hint="eastAsia"/>
          <w:sz w:val="24"/>
          <w:szCs w:val="24"/>
        </w:rPr>
        <w:t>（ ）</w:t>
      </w:r>
      <w:r w:rsidRPr="004F69AC">
        <w:rPr>
          <w:rFonts w:ascii="宋体" w:eastAsia="宋体" w:hAnsi="宋体"/>
          <w:sz w:val="24"/>
          <w:szCs w:val="24"/>
        </w:rPr>
        <w:t>36、法定存款准备金比率由商业银行自主决定。</w:t>
      </w:r>
      <w:r w:rsidRPr="004F69AC">
        <w:rPr>
          <w:rFonts w:ascii="宋体" w:eastAsia="宋体" w:hAnsi="宋体" w:hint="eastAsia"/>
          <w:sz w:val="24"/>
          <w:szCs w:val="24"/>
        </w:rPr>
        <w:t xml:space="preserve"> </w:t>
      </w:r>
      <w:r w:rsidRPr="004F69AC">
        <w:rPr>
          <w:rFonts w:ascii="宋体" w:eastAsia="宋体" w:hAnsi="宋体"/>
          <w:sz w:val="24"/>
          <w:szCs w:val="24"/>
        </w:rPr>
        <w:t xml:space="preserve"> </w:t>
      </w:r>
    </w:p>
    <w:p w:rsidR="00513A70" w:rsidRPr="004F69AC" w:rsidP="00C92839" w14:textId="10AC68DB">
      <w:pPr>
        <w:pStyle w:val="NoSpacing"/>
        <w:spacing w:line="360" w:lineRule="auto"/>
        <w:rPr>
          <w:rFonts w:ascii="宋体" w:eastAsia="宋体" w:hAnsi="宋体"/>
          <w:sz w:val="24"/>
          <w:szCs w:val="24"/>
        </w:rPr>
      </w:pPr>
      <w:r w:rsidRPr="004F69AC">
        <w:rPr>
          <w:rFonts w:ascii="宋体" w:eastAsia="宋体" w:hAnsi="宋体" w:hint="eastAsia"/>
          <w:sz w:val="24"/>
          <w:szCs w:val="24"/>
        </w:rPr>
        <w:t>（ ）</w:t>
      </w:r>
      <w:r w:rsidRPr="004F69AC">
        <w:rPr>
          <w:rFonts w:ascii="宋体" w:eastAsia="宋体" w:hAnsi="宋体"/>
          <w:sz w:val="24"/>
          <w:szCs w:val="24"/>
        </w:rPr>
        <w:t>37、非农就业数据来自社保记录，是反映劳动力市场状况最直接、最有说服力的指标。</w:t>
      </w:r>
      <w:r w:rsidRPr="004F69AC">
        <w:rPr>
          <w:rFonts w:ascii="宋体" w:eastAsia="宋体" w:hAnsi="宋体" w:hint="eastAsia"/>
          <w:sz w:val="24"/>
          <w:szCs w:val="24"/>
        </w:rPr>
        <w:t xml:space="preserve"> </w:t>
      </w:r>
      <w:r w:rsidRPr="004F69AC">
        <w:rPr>
          <w:rFonts w:ascii="宋体" w:eastAsia="宋体" w:hAnsi="宋体"/>
          <w:sz w:val="24"/>
          <w:szCs w:val="24"/>
        </w:rPr>
        <w:t xml:space="preserve"> </w:t>
      </w:r>
    </w:p>
    <w:p w:rsidR="00513A70" w:rsidRPr="004F69AC" w:rsidP="00C92839" w14:textId="10AC68DB">
      <w:pPr>
        <w:pStyle w:val="NoSpacing"/>
        <w:spacing w:line="360" w:lineRule="auto"/>
        <w:rPr>
          <w:rFonts w:ascii="宋体" w:eastAsia="宋体" w:hAnsi="宋体"/>
          <w:sz w:val="24"/>
          <w:szCs w:val="24"/>
        </w:rPr>
      </w:pPr>
      <w:r w:rsidRPr="004F69AC">
        <w:rPr>
          <w:rFonts w:ascii="宋体" w:eastAsia="宋体" w:hAnsi="宋体" w:hint="eastAsia"/>
          <w:sz w:val="24"/>
          <w:szCs w:val="24"/>
        </w:rPr>
        <w:t>（ ）</w:t>
      </w:r>
      <w:r w:rsidRPr="004F69AC">
        <w:rPr>
          <w:rFonts w:ascii="宋体" w:eastAsia="宋体" w:hAnsi="宋体"/>
          <w:sz w:val="24"/>
          <w:szCs w:val="24"/>
        </w:rPr>
        <w:t>38、工业品出厂价格指数是从消费角度反映当月国内市场的工业品价格与上年同月价格相比的价格变动。</w:t>
      </w:r>
      <w:r w:rsidRPr="004F69AC">
        <w:rPr>
          <w:rFonts w:ascii="宋体" w:eastAsia="宋体" w:hAnsi="宋体" w:hint="eastAsia"/>
          <w:sz w:val="24"/>
          <w:szCs w:val="24"/>
        </w:rPr>
        <w:t xml:space="preserve"> </w:t>
      </w:r>
      <w:r w:rsidRPr="004F69AC">
        <w:rPr>
          <w:rFonts w:ascii="宋体" w:eastAsia="宋体" w:hAnsi="宋体"/>
          <w:sz w:val="24"/>
          <w:szCs w:val="24"/>
        </w:rPr>
        <w:t xml:space="preserve"> </w:t>
      </w:r>
    </w:p>
    <w:p w:rsidR="00513A70" w:rsidRPr="004F69AC" w:rsidP="00C92839" w14:textId="10AC68DB">
      <w:pPr>
        <w:pStyle w:val="NoSpacing"/>
        <w:spacing w:line="360" w:lineRule="auto"/>
        <w:rPr>
          <w:rFonts w:ascii="宋体" w:eastAsia="宋体" w:hAnsi="宋体"/>
          <w:sz w:val="24"/>
          <w:szCs w:val="24"/>
        </w:rPr>
      </w:pPr>
      <w:r w:rsidRPr="004F69AC">
        <w:rPr>
          <w:rFonts w:ascii="宋体" w:eastAsia="宋体" w:hAnsi="宋体" w:hint="eastAsia"/>
          <w:sz w:val="24"/>
          <w:szCs w:val="24"/>
        </w:rPr>
        <w:t>（ ）</w:t>
      </w:r>
      <w:r w:rsidRPr="004F69AC">
        <w:rPr>
          <w:rFonts w:ascii="宋体" w:eastAsia="宋体" w:hAnsi="宋体"/>
          <w:sz w:val="24"/>
          <w:szCs w:val="24"/>
        </w:rPr>
        <w:t>39、市场上所说的美元指数通常是指洲际交易所（ICE）的美元指数期货，并和美联储发布的各种美元有效汇率基本相同。</w:t>
      </w:r>
      <w:r w:rsidRPr="004F69AC">
        <w:rPr>
          <w:rFonts w:ascii="宋体" w:eastAsia="宋体" w:hAnsi="宋体" w:hint="eastAsia"/>
          <w:sz w:val="24"/>
          <w:szCs w:val="24"/>
        </w:rPr>
        <w:t xml:space="preserve"> </w:t>
      </w:r>
      <w:r w:rsidRPr="004F69AC">
        <w:rPr>
          <w:rFonts w:ascii="宋体" w:eastAsia="宋体" w:hAnsi="宋体"/>
          <w:sz w:val="24"/>
          <w:szCs w:val="24"/>
        </w:rPr>
        <w:t xml:space="preserve"> </w:t>
      </w:r>
    </w:p>
    <w:p w:rsidR="00513A70" w:rsidRPr="004F69AC" w:rsidP="00C92839" w14:textId="10AC68DB">
      <w:pPr>
        <w:pStyle w:val="NoSpacing"/>
        <w:spacing w:line="360" w:lineRule="auto"/>
        <w:rPr>
          <w:rFonts w:ascii="宋体" w:eastAsia="宋体" w:hAnsi="宋体"/>
          <w:sz w:val="24"/>
          <w:szCs w:val="24"/>
        </w:rPr>
        <w:sectPr w:rsidSect="00312E8D">
          <w:headerReference w:type="even" r:id="rId49"/>
          <w:headerReference w:type="default" r:id="rId50"/>
          <w:footerReference w:type="default" r:id="rId51"/>
          <w:headerReference w:type="first" r:id="rId52"/>
          <w:type w:val="nextPage"/>
          <w:pgSz w:w="11906" w:h="16838"/>
          <w:pgMar w:top="1440" w:right="1800" w:bottom="1440" w:left="1800" w:header="851" w:footer="992" w:gutter="0"/>
          <w:pgBorders w:offsetFrom="page">
            <w:top w:val="dashed" w:sz="4" w:space="24" w:color="auto"/>
            <w:left w:val="dashed" w:sz="4" w:space="24" w:color="auto"/>
            <w:bottom w:val="dashed" w:sz="4" w:space="24" w:color="auto"/>
            <w:right w:val="dashed" w:sz="4" w:space="24" w:color="auto"/>
          </w:pgBorders>
          <w:pgNumType w:start="12"/>
          <w:cols w:space="425"/>
          <w:titlePg w:val="0"/>
          <w:docGrid w:type="lines" w:linePitch="312"/>
        </w:sectPr>
      </w:pPr>
      <w:r w:rsidRPr="004F69AC">
        <w:rPr>
          <w:rFonts w:ascii="宋体" w:eastAsia="宋体" w:hAnsi="宋体" w:hint="eastAsia"/>
          <w:sz w:val="24"/>
          <w:szCs w:val="24"/>
        </w:rPr>
        <w:t>（ ）</w:t>
      </w:r>
      <w:r w:rsidRPr="004F69AC">
        <w:rPr>
          <w:rFonts w:ascii="宋体" w:eastAsia="宋体" w:hAnsi="宋体"/>
          <w:sz w:val="24"/>
          <w:szCs w:val="24"/>
        </w:rPr>
        <w:t>40、在场内衍生品市场中，互换协议是交易规模最大的。</w:t>
      </w:r>
      <w:r w:rsidRPr="004F69AC">
        <w:rPr>
          <w:rFonts w:ascii="宋体" w:eastAsia="宋体" w:hAnsi="宋体" w:hint="eastAsia"/>
          <w:sz w:val="24"/>
          <w:szCs w:val="24"/>
        </w:rPr>
        <w:t xml:space="preserve"> </w:t>
      </w:r>
      <w:r w:rsidRPr="004F69AC">
        <w:rPr>
          <w:rFonts w:ascii="宋体" w:eastAsia="宋体" w:hAnsi="宋体"/>
          <w:sz w:val="24"/>
          <w:szCs w:val="24"/>
        </w:rPr>
        <w:t xml:space="preserve">   </w:t>
      </w:r>
    </w:p>
    <w:p w:rsidR="003F2834" w:rsidRPr="004F69AC" w:rsidP="00A22DC9" w14:textId="405AD849">
      <w:pPr>
        <w:pStyle w:val="Heading2"/>
        <w:jc w:val="center"/>
        <w:rPr>
          <w:rFonts w:ascii="宋体" w:eastAsia="宋体" w:hAnsi="宋体"/>
          <w:sz w:val="24"/>
          <w:szCs w:val="24"/>
        </w:rPr>
      </w:pPr>
      <w:r w:rsidRPr="004F69AC">
        <w:rPr>
          <w:rFonts w:ascii="宋体" w:eastAsia="宋体" w:hAnsi="宋体" w:hint="eastAsia"/>
          <w:sz w:val="24"/>
          <w:szCs w:val="24"/>
        </w:rPr>
        <w:t>参考答案</w:t>
      </w:r>
    </w:p>
    <w:p w:rsidR="00513A70" w:rsidRPr="004F69AC" w:rsidP="00C92839" w14:textId="78284D5F">
      <w:pPr>
        <w:pStyle w:val="NoSpacing"/>
        <w:spacing w:line="360" w:lineRule="auto"/>
        <w:rPr>
          <w:rFonts w:ascii="宋体" w:eastAsia="宋体" w:hAnsi="宋体"/>
          <w:sz w:val="24"/>
          <w:szCs w:val="24"/>
        </w:rPr>
      </w:pPr>
      <w:r w:rsidRPr="004F69AC">
        <w:rPr>
          <w:rFonts w:ascii="宋体" w:eastAsia="宋体" w:hAnsi="宋体"/>
          <w:sz w:val="24"/>
          <w:szCs w:val="24"/>
        </w:rPr>
        <w:t>一、判断题</w:t>
      </w:r>
    </w:p>
    <w:p w:rsidR="00316A17" w:rsidRPr="004F69AC" w:rsidP="00C92839" w14:textId="64C0A5A5">
      <w:pPr>
        <w:pStyle w:val="NoSpacing"/>
        <w:spacing w:line="360" w:lineRule="auto"/>
        <w:rPr>
          <w:rFonts w:ascii="宋体" w:eastAsia="宋体" w:hAnsi="宋体"/>
          <w:sz w:val="24"/>
          <w:szCs w:val="24"/>
        </w:rPr>
      </w:pPr>
      <w:r w:rsidRPr="004F69AC">
        <w:rPr>
          <w:rFonts w:ascii="宋体" w:eastAsia="宋体" w:hAnsi="宋体"/>
          <w:sz w:val="24"/>
          <w:szCs w:val="24"/>
        </w:rPr>
        <w:t>1、正确</w:t>
      </w:r>
    </w:p>
    <w:p w:rsidR="00316A17" w:rsidRPr="004F69AC" w:rsidP="00C92839" w14:textId="77777777">
      <w:pPr>
        <w:pStyle w:val="NoSpacing"/>
        <w:spacing w:line="360" w:lineRule="auto"/>
        <w:rPr>
          <w:rFonts w:ascii="宋体" w:eastAsia="宋体" w:hAnsi="宋体"/>
          <w:sz w:val="24"/>
          <w:szCs w:val="24"/>
        </w:rPr>
      </w:pPr>
      <w:r w:rsidRPr="004F69AC">
        <w:rPr>
          <w:rFonts w:ascii="宋体" w:eastAsia="宋体" w:hAnsi="宋体"/>
          <w:b/>
          <w:bCs/>
          <w:sz w:val="24"/>
          <w:szCs w:val="24"/>
        </w:rPr>
        <w:t>【解析】</w:t>
      </w:r>
      <w:r w:rsidRPr="004F69AC">
        <w:rPr>
          <w:rFonts w:ascii="宋体" w:eastAsia="宋体" w:hAnsi="宋体"/>
          <w:sz w:val="24"/>
          <w:szCs w:val="24"/>
        </w:rPr>
        <w:t>信号闪烁，是指模型在图表上显示的买卖信号时而出现时而消失。出现这种情况，说明模型策略在判断买卖交易的条件中使用了未来函数。</w:t>
      </w:r>
    </w:p>
    <w:p w:rsidR="00513A70" w:rsidRPr="004F69AC" w:rsidP="00C92839" w14:textId="7769480E">
      <w:pPr>
        <w:pStyle w:val="NoSpacing"/>
        <w:spacing w:line="360" w:lineRule="auto"/>
        <w:rPr>
          <w:rFonts w:ascii="宋体" w:eastAsia="宋体" w:hAnsi="宋体"/>
          <w:sz w:val="24"/>
          <w:szCs w:val="24"/>
        </w:rPr>
      </w:pPr>
      <w:r w:rsidRPr="004F69AC">
        <w:rPr>
          <w:rFonts w:ascii="宋体" w:eastAsia="宋体" w:hAnsi="宋体"/>
          <w:sz w:val="24"/>
          <w:szCs w:val="24"/>
        </w:rPr>
        <w:t>2、错误</w:t>
      </w:r>
    </w:p>
    <w:p w:rsidR="00316A17" w:rsidRPr="004F69AC" w:rsidP="00C92839" w14:textId="77777777">
      <w:pPr>
        <w:pStyle w:val="NoSpacing"/>
        <w:spacing w:line="360" w:lineRule="auto"/>
        <w:rPr>
          <w:rFonts w:ascii="宋体" w:eastAsia="宋体" w:hAnsi="宋体"/>
          <w:sz w:val="24"/>
          <w:szCs w:val="24"/>
        </w:rPr>
      </w:pPr>
      <w:r w:rsidRPr="004F69AC">
        <w:rPr>
          <w:rFonts w:ascii="宋体" w:eastAsia="宋体" w:hAnsi="宋体"/>
          <w:b/>
          <w:bCs/>
          <w:sz w:val="24"/>
          <w:szCs w:val="24"/>
        </w:rPr>
        <w:t>【解析】</w:t>
      </w:r>
      <w:r w:rsidRPr="004F69AC">
        <w:rPr>
          <w:rFonts w:ascii="宋体" w:eastAsia="宋体" w:hAnsi="宋体"/>
          <w:sz w:val="24"/>
          <w:szCs w:val="24"/>
        </w:rPr>
        <w:t>一份远期协议通常只涉及一次现金流的交换，而互换协议则可以约定多次现金流的互换。</w:t>
      </w:r>
    </w:p>
    <w:p w:rsidR="00513A70" w:rsidRPr="004F69AC" w:rsidP="00C92839" w14:textId="7769480E">
      <w:pPr>
        <w:pStyle w:val="NoSpacing"/>
        <w:spacing w:line="360" w:lineRule="auto"/>
        <w:rPr>
          <w:rFonts w:ascii="宋体" w:eastAsia="宋体" w:hAnsi="宋体"/>
          <w:sz w:val="24"/>
          <w:szCs w:val="24"/>
        </w:rPr>
      </w:pPr>
      <w:r w:rsidRPr="004F69AC">
        <w:rPr>
          <w:rFonts w:ascii="宋体" w:eastAsia="宋体" w:hAnsi="宋体"/>
          <w:sz w:val="24"/>
          <w:szCs w:val="24"/>
        </w:rPr>
        <w:t>3、正确</w:t>
      </w:r>
    </w:p>
    <w:p w:rsidR="00316A17" w:rsidRPr="004F69AC" w:rsidP="00C92839" w14:textId="77777777">
      <w:pPr>
        <w:pStyle w:val="NoSpacing"/>
        <w:spacing w:line="360" w:lineRule="auto"/>
        <w:rPr>
          <w:rFonts w:ascii="宋体" w:eastAsia="宋体" w:hAnsi="宋体"/>
          <w:sz w:val="24"/>
          <w:szCs w:val="24"/>
        </w:rPr>
      </w:pPr>
      <w:r w:rsidRPr="004F69AC">
        <w:rPr>
          <w:rFonts w:ascii="宋体" w:eastAsia="宋体" w:hAnsi="宋体"/>
          <w:b/>
          <w:bCs/>
          <w:sz w:val="24"/>
          <w:szCs w:val="24"/>
        </w:rPr>
        <w:t>【解析】</w:t>
      </w:r>
      <w:r w:rsidRPr="004F69AC">
        <w:rPr>
          <w:rFonts w:ascii="宋体" w:eastAsia="宋体" w:hAnsi="宋体"/>
          <w:sz w:val="24"/>
          <w:szCs w:val="24"/>
        </w:rPr>
        <w:t>失业率是反映宏观经济运行状况的重要指标，其变化反映了就业和宏观经济的波动情况。一般而言，失业率下降，代表整体经济健康发展，利于货币升值。</w:t>
      </w:r>
    </w:p>
    <w:p w:rsidR="00513A70" w:rsidRPr="004F69AC" w:rsidP="00C92839" w14:textId="7769480E">
      <w:pPr>
        <w:pStyle w:val="NoSpacing"/>
        <w:spacing w:line="360" w:lineRule="auto"/>
        <w:rPr>
          <w:rFonts w:ascii="宋体" w:eastAsia="宋体" w:hAnsi="宋体"/>
          <w:sz w:val="24"/>
          <w:szCs w:val="24"/>
        </w:rPr>
      </w:pPr>
      <w:r w:rsidRPr="004F69AC">
        <w:rPr>
          <w:rFonts w:ascii="宋体" w:eastAsia="宋体" w:hAnsi="宋体"/>
          <w:sz w:val="24"/>
          <w:szCs w:val="24"/>
        </w:rPr>
        <w:t>4、正确</w:t>
      </w:r>
    </w:p>
    <w:p w:rsidR="00316A17" w:rsidRPr="004F69AC" w:rsidP="00C92839" w14:textId="77777777">
      <w:pPr>
        <w:pStyle w:val="NoSpacing"/>
        <w:spacing w:line="360" w:lineRule="auto"/>
        <w:rPr>
          <w:rFonts w:ascii="宋体" w:eastAsia="宋体" w:hAnsi="宋体"/>
          <w:sz w:val="24"/>
          <w:szCs w:val="24"/>
        </w:rPr>
      </w:pPr>
      <w:r w:rsidRPr="004F69AC">
        <w:rPr>
          <w:rFonts w:ascii="宋体" w:eastAsia="宋体" w:hAnsi="宋体"/>
          <w:b/>
          <w:bCs/>
          <w:sz w:val="24"/>
          <w:szCs w:val="24"/>
        </w:rPr>
        <w:t>【解析】</w:t>
      </w:r>
      <w:r w:rsidRPr="004F69AC">
        <w:rPr>
          <w:rFonts w:ascii="宋体" w:eastAsia="宋体" w:hAnsi="宋体"/>
          <w:sz w:val="24"/>
          <w:szCs w:val="24"/>
        </w:rPr>
        <w:t>现汇汇率是银行买卖外汇支付凭证时标出的汇率。</w:t>
      </w:r>
    </w:p>
    <w:p w:rsidR="00513A70" w:rsidRPr="004F69AC" w:rsidP="00C92839" w14:textId="7769480E">
      <w:pPr>
        <w:pStyle w:val="NoSpacing"/>
        <w:spacing w:line="360" w:lineRule="auto"/>
        <w:rPr>
          <w:rFonts w:ascii="宋体" w:eastAsia="宋体" w:hAnsi="宋体"/>
          <w:sz w:val="24"/>
          <w:szCs w:val="24"/>
        </w:rPr>
      </w:pPr>
      <w:r w:rsidRPr="004F69AC">
        <w:rPr>
          <w:rFonts w:ascii="宋体" w:eastAsia="宋体" w:hAnsi="宋体"/>
          <w:sz w:val="24"/>
          <w:szCs w:val="24"/>
        </w:rPr>
        <w:t>5、错误</w:t>
      </w:r>
    </w:p>
    <w:p w:rsidR="00316A17" w:rsidRPr="004F69AC" w:rsidP="00C92839" w14:textId="77777777">
      <w:pPr>
        <w:pStyle w:val="NoSpacing"/>
        <w:spacing w:line="360" w:lineRule="auto"/>
        <w:rPr>
          <w:rFonts w:ascii="宋体" w:eastAsia="宋体" w:hAnsi="宋体"/>
          <w:sz w:val="24"/>
          <w:szCs w:val="24"/>
        </w:rPr>
      </w:pPr>
      <w:r w:rsidRPr="004F69AC">
        <w:rPr>
          <w:rFonts w:ascii="宋体" w:eastAsia="宋体" w:hAnsi="宋体"/>
          <w:b/>
          <w:bCs/>
          <w:sz w:val="24"/>
          <w:szCs w:val="24"/>
        </w:rPr>
        <w:t>【解析】</w:t>
      </w:r>
      <w:r w:rsidRPr="004F69AC">
        <w:rPr>
          <w:rFonts w:ascii="宋体" w:eastAsia="宋体" w:hAnsi="宋体"/>
          <w:sz w:val="24"/>
          <w:szCs w:val="24"/>
        </w:rPr>
        <w:t>生产者价格指数也被称为工业品出厂价格指数，与居民消费价格指数相比，工业品出厂价格指数只反映了工业品出厂价格的变动情况，没有包括服务价格的变动，其变动也要比居民消费价格剧烈一些。</w:t>
      </w:r>
    </w:p>
    <w:p w:rsidR="00513A70" w:rsidRPr="004F69AC" w:rsidP="00C92839" w14:textId="7769480E">
      <w:pPr>
        <w:pStyle w:val="NoSpacing"/>
        <w:spacing w:line="360" w:lineRule="auto"/>
        <w:rPr>
          <w:rFonts w:ascii="宋体" w:eastAsia="宋体" w:hAnsi="宋体"/>
          <w:sz w:val="24"/>
          <w:szCs w:val="24"/>
        </w:rPr>
      </w:pPr>
      <w:r w:rsidRPr="004F69AC">
        <w:rPr>
          <w:rFonts w:ascii="宋体" w:eastAsia="宋体" w:hAnsi="宋体"/>
          <w:sz w:val="24"/>
          <w:szCs w:val="24"/>
        </w:rPr>
        <w:t>6、正确</w:t>
      </w:r>
    </w:p>
    <w:p w:rsidR="00316A17" w:rsidRPr="004F69AC" w:rsidP="00C92839" w14:textId="77777777">
      <w:pPr>
        <w:pStyle w:val="NoSpacing"/>
        <w:spacing w:line="360" w:lineRule="auto"/>
        <w:rPr>
          <w:rFonts w:ascii="宋体" w:eastAsia="宋体" w:hAnsi="宋体"/>
          <w:sz w:val="24"/>
          <w:szCs w:val="24"/>
        </w:rPr>
      </w:pPr>
      <w:r w:rsidRPr="004F69AC">
        <w:rPr>
          <w:rFonts w:ascii="宋体" w:eastAsia="宋体" w:hAnsi="宋体"/>
          <w:b/>
          <w:bCs/>
          <w:sz w:val="24"/>
          <w:szCs w:val="24"/>
        </w:rPr>
        <w:t>【解析】</w:t>
      </w:r>
      <w:r w:rsidRPr="004F69AC">
        <w:rPr>
          <w:rFonts w:ascii="宋体" w:eastAsia="宋体" w:hAnsi="宋体"/>
          <w:sz w:val="24"/>
          <w:szCs w:val="24"/>
        </w:rPr>
        <w:t>场内金融工具的标准化给对冲交易带来一定的困难。这是因为风险对冲机构所承担的风险可能是较为特殊的，其风险因子与场内交易的金融工具之间可能并不一致。</w:t>
      </w:r>
    </w:p>
    <w:p w:rsidR="00513A70" w:rsidRPr="004F69AC" w:rsidP="00C92839" w14:textId="7769480E">
      <w:pPr>
        <w:pStyle w:val="NoSpacing"/>
        <w:spacing w:line="360" w:lineRule="auto"/>
        <w:rPr>
          <w:rFonts w:ascii="宋体" w:eastAsia="宋体" w:hAnsi="宋体"/>
          <w:sz w:val="24"/>
          <w:szCs w:val="24"/>
        </w:rPr>
      </w:pPr>
      <w:r w:rsidRPr="004F69AC">
        <w:rPr>
          <w:rFonts w:ascii="宋体" w:eastAsia="宋体" w:hAnsi="宋体"/>
          <w:sz w:val="24"/>
          <w:szCs w:val="24"/>
        </w:rPr>
        <w:t>7、正确</w:t>
      </w:r>
    </w:p>
    <w:p w:rsidR="00316A17" w:rsidRPr="004F69AC" w:rsidP="00C92839" w14:textId="77777777">
      <w:pPr>
        <w:pStyle w:val="NoSpacing"/>
        <w:spacing w:line="360" w:lineRule="auto"/>
        <w:rPr>
          <w:rFonts w:ascii="宋体" w:eastAsia="宋体" w:hAnsi="宋体"/>
          <w:sz w:val="24"/>
          <w:szCs w:val="24"/>
        </w:rPr>
      </w:pPr>
      <w:r w:rsidRPr="004F69AC">
        <w:rPr>
          <w:rFonts w:ascii="宋体" w:eastAsia="宋体" w:hAnsi="宋体"/>
          <w:b/>
          <w:bCs/>
          <w:sz w:val="24"/>
          <w:szCs w:val="24"/>
        </w:rPr>
        <w:t>【解析】</w:t>
      </w:r>
      <w:r w:rsidRPr="004F69AC">
        <w:rPr>
          <w:rFonts w:ascii="宋体" w:eastAsia="宋体" w:hAnsi="宋体"/>
          <w:sz w:val="24"/>
          <w:szCs w:val="24"/>
        </w:rPr>
        <w:t>协整指的是多个非平稳性时间序列的某种线性组合是平稳的。某些时间序列是非平稳时间序列，但他们之间却往往存在长期的均衡关系。</w:t>
      </w:r>
    </w:p>
    <w:p w:rsidR="00513A70" w:rsidRPr="004F69AC" w:rsidP="00C92839" w14:textId="7769480E">
      <w:pPr>
        <w:pStyle w:val="NoSpacing"/>
        <w:spacing w:line="360" w:lineRule="auto"/>
        <w:rPr>
          <w:rFonts w:ascii="宋体" w:eastAsia="宋体" w:hAnsi="宋体"/>
          <w:sz w:val="24"/>
          <w:szCs w:val="24"/>
        </w:rPr>
        <w:sectPr w:rsidSect="00312E8D">
          <w:headerReference w:type="even" r:id="rId53"/>
          <w:headerReference w:type="default" r:id="rId54"/>
          <w:footerReference w:type="default" r:id="rId55"/>
          <w:headerReference w:type="first" r:id="rId56"/>
          <w:type w:val="nextPage"/>
          <w:pgSz w:w="11906" w:h="16838"/>
          <w:pgMar w:top="1440" w:right="1800" w:bottom="1440" w:left="1800" w:header="851" w:footer="992" w:gutter="0"/>
          <w:pgBorders w:offsetFrom="page">
            <w:top w:val="dashed" w:sz="4" w:space="24" w:color="auto"/>
            <w:left w:val="dashed" w:sz="4" w:space="24" w:color="auto"/>
            <w:bottom w:val="dashed" w:sz="4" w:space="24" w:color="auto"/>
            <w:right w:val="dashed" w:sz="4" w:space="24" w:color="auto"/>
          </w:pgBorders>
          <w:pgNumType w:start="13"/>
          <w:cols w:space="425"/>
          <w:titlePg w:val="0"/>
          <w:docGrid w:type="lines" w:linePitch="312"/>
        </w:sectPr>
      </w:pPr>
      <w:r w:rsidRPr="004F69AC">
        <w:rPr>
          <w:rFonts w:ascii="宋体" w:eastAsia="宋体" w:hAnsi="宋体"/>
          <w:sz w:val="24"/>
          <w:szCs w:val="24"/>
        </w:rPr>
        <w:t>8、正确</w:t>
      </w:r>
    </w:p>
    <w:p w:rsidR="00316A17" w:rsidRPr="004F69AC" w:rsidP="00C92839" w14:textId="77777777">
      <w:pPr>
        <w:pStyle w:val="NoSpacing"/>
        <w:spacing w:line="360" w:lineRule="auto"/>
        <w:rPr>
          <w:rFonts w:ascii="宋体" w:eastAsia="宋体" w:hAnsi="宋体"/>
          <w:sz w:val="24"/>
          <w:szCs w:val="24"/>
        </w:rPr>
      </w:pPr>
      <w:r w:rsidRPr="004F69AC">
        <w:rPr>
          <w:rFonts w:ascii="宋体" w:eastAsia="宋体" w:hAnsi="宋体"/>
          <w:b/>
          <w:bCs/>
          <w:sz w:val="24"/>
          <w:szCs w:val="24"/>
        </w:rPr>
        <w:t>【解析】</w:t>
      </w:r>
      <w:r w:rsidRPr="004F69AC">
        <w:rPr>
          <w:rFonts w:ascii="宋体" w:eastAsia="宋体" w:hAnsi="宋体"/>
          <w:sz w:val="24"/>
          <w:szCs w:val="24"/>
        </w:rPr>
        <w:t>与信用风险缓释合约相比，信用风险缓释凭证属于更加标准化的信用衍生品，可以在二级市场上流通，其价格会随着参考实体信用风险的变化而变化。</w:t>
      </w:r>
    </w:p>
    <w:p w:rsidR="00513A70" w:rsidRPr="004F69AC" w:rsidP="00C92839" w14:textId="7769480E">
      <w:pPr>
        <w:pStyle w:val="NoSpacing"/>
        <w:spacing w:line="360" w:lineRule="auto"/>
        <w:rPr>
          <w:rFonts w:ascii="宋体" w:eastAsia="宋体" w:hAnsi="宋体"/>
          <w:sz w:val="24"/>
          <w:szCs w:val="24"/>
        </w:rPr>
      </w:pPr>
      <w:r w:rsidRPr="004F69AC">
        <w:rPr>
          <w:rFonts w:ascii="宋体" w:eastAsia="宋体" w:hAnsi="宋体"/>
          <w:sz w:val="24"/>
          <w:szCs w:val="24"/>
        </w:rPr>
        <w:t>9、正确</w:t>
      </w:r>
    </w:p>
    <w:p w:rsidR="00316A17" w:rsidRPr="004F69AC" w:rsidP="00C92839" w14:textId="77777777">
      <w:pPr>
        <w:pStyle w:val="NoSpacing"/>
        <w:spacing w:line="360" w:lineRule="auto"/>
        <w:rPr>
          <w:rFonts w:ascii="宋体" w:eastAsia="宋体" w:hAnsi="宋体"/>
          <w:sz w:val="24"/>
          <w:szCs w:val="24"/>
        </w:rPr>
      </w:pPr>
      <w:r w:rsidRPr="004F69AC">
        <w:rPr>
          <w:rFonts w:ascii="宋体" w:eastAsia="宋体" w:hAnsi="宋体"/>
          <w:b/>
          <w:bCs/>
          <w:sz w:val="24"/>
          <w:szCs w:val="24"/>
        </w:rPr>
        <w:t>【解析】</w:t>
      </w:r>
      <w:r w:rsidRPr="004F69AC">
        <w:rPr>
          <w:rFonts w:ascii="宋体" w:eastAsia="宋体" w:hAnsi="宋体"/>
          <w:sz w:val="24"/>
          <w:szCs w:val="24"/>
        </w:rPr>
        <w:t>作为承担我国货物运输的最大载体，铁路在一定时期内实际运送的货物数量，既能反映经济运行现状，又可反映经济运行效率。</w:t>
      </w:r>
    </w:p>
    <w:p w:rsidR="00513A70" w:rsidRPr="004F69AC" w:rsidP="00C92839" w14:textId="7769480E">
      <w:pPr>
        <w:pStyle w:val="NoSpacing"/>
        <w:spacing w:line="360" w:lineRule="auto"/>
        <w:rPr>
          <w:rFonts w:ascii="宋体" w:eastAsia="宋体" w:hAnsi="宋体"/>
          <w:sz w:val="24"/>
          <w:szCs w:val="24"/>
        </w:rPr>
      </w:pPr>
      <w:r w:rsidRPr="004F69AC">
        <w:rPr>
          <w:rFonts w:ascii="宋体" w:eastAsia="宋体" w:hAnsi="宋体"/>
          <w:sz w:val="24"/>
          <w:szCs w:val="24"/>
        </w:rPr>
        <w:t>10、错误</w:t>
      </w:r>
    </w:p>
    <w:p w:rsidR="00316A17" w:rsidRPr="004F69AC" w:rsidP="00C92839" w14:textId="77777777">
      <w:pPr>
        <w:pStyle w:val="NoSpacing"/>
        <w:spacing w:line="360" w:lineRule="auto"/>
        <w:rPr>
          <w:rFonts w:ascii="宋体" w:eastAsia="宋体" w:hAnsi="宋体"/>
          <w:sz w:val="24"/>
          <w:szCs w:val="24"/>
        </w:rPr>
      </w:pPr>
      <w:r w:rsidRPr="004F69AC">
        <w:rPr>
          <w:rFonts w:ascii="宋体" w:eastAsia="宋体" w:hAnsi="宋体"/>
          <w:b/>
          <w:bCs/>
          <w:sz w:val="24"/>
          <w:szCs w:val="24"/>
        </w:rPr>
        <w:t>【解析】</w:t>
      </w:r>
      <w:r w:rsidRPr="004F69AC">
        <w:rPr>
          <w:rFonts w:ascii="宋体" w:eastAsia="宋体" w:hAnsi="宋体"/>
          <w:sz w:val="24"/>
          <w:szCs w:val="24"/>
        </w:rPr>
        <w:t>而对于供求关系的说明，最明朗的方法就是编制供需平衡表。一些重要的大宗商品都有专业的统计研究机构，这些机构既有官方的，也有非官方的。前者如美国农业部，定期公布各种农产品的数据报告，后者如国际橡胶研究组织，定期向会员提供全球橡胶的统计研究报告。</w:t>
      </w:r>
    </w:p>
    <w:p w:rsidR="00513A70" w:rsidRPr="004F69AC" w:rsidP="00C92839" w14:textId="7769480E">
      <w:pPr>
        <w:pStyle w:val="NoSpacing"/>
        <w:spacing w:line="360" w:lineRule="auto"/>
        <w:rPr>
          <w:rFonts w:ascii="宋体" w:eastAsia="宋体" w:hAnsi="宋体"/>
          <w:sz w:val="24"/>
          <w:szCs w:val="24"/>
        </w:rPr>
      </w:pPr>
      <w:r w:rsidRPr="004F69AC">
        <w:rPr>
          <w:rFonts w:ascii="宋体" w:eastAsia="宋体" w:hAnsi="宋体"/>
          <w:sz w:val="24"/>
          <w:szCs w:val="24"/>
        </w:rPr>
        <w:t>11、错误</w:t>
      </w:r>
    </w:p>
    <w:p w:rsidR="00316A17" w:rsidRPr="004F69AC" w:rsidP="00C92839" w14:textId="77777777">
      <w:pPr>
        <w:pStyle w:val="NoSpacing"/>
        <w:spacing w:line="360" w:lineRule="auto"/>
        <w:rPr>
          <w:rFonts w:ascii="宋体" w:eastAsia="宋体" w:hAnsi="宋体"/>
          <w:sz w:val="24"/>
          <w:szCs w:val="24"/>
        </w:rPr>
      </w:pPr>
      <w:r w:rsidRPr="004F69AC">
        <w:rPr>
          <w:rFonts w:ascii="宋体" w:eastAsia="宋体" w:hAnsi="宋体"/>
          <w:b/>
          <w:bCs/>
          <w:sz w:val="24"/>
          <w:szCs w:val="24"/>
        </w:rPr>
        <w:t>【解析】</w:t>
      </w:r>
      <w:r w:rsidRPr="004F69AC">
        <w:rPr>
          <w:rFonts w:ascii="宋体" w:eastAsia="宋体" w:hAnsi="宋体"/>
          <w:sz w:val="24"/>
          <w:szCs w:val="24"/>
        </w:rPr>
        <w:t>通过在险价值进行风险度量的过程中，ΔΠ表示资产组合价值的未来变动，是一个随机变量。</w:t>
      </w:r>
    </w:p>
    <w:p w:rsidR="00513A70" w:rsidRPr="004F69AC" w:rsidP="00C92839" w14:textId="7769480E">
      <w:pPr>
        <w:pStyle w:val="NoSpacing"/>
        <w:spacing w:line="360" w:lineRule="auto"/>
        <w:rPr>
          <w:rFonts w:ascii="宋体" w:eastAsia="宋体" w:hAnsi="宋体"/>
          <w:sz w:val="24"/>
          <w:szCs w:val="24"/>
        </w:rPr>
      </w:pPr>
      <w:r w:rsidRPr="004F69AC">
        <w:rPr>
          <w:rFonts w:ascii="宋体" w:eastAsia="宋体" w:hAnsi="宋体"/>
          <w:sz w:val="24"/>
          <w:szCs w:val="24"/>
        </w:rPr>
        <w:t>12、正确</w:t>
      </w:r>
    </w:p>
    <w:p w:rsidR="00316A17" w:rsidRPr="004F69AC" w:rsidP="00C92839" w14:textId="77777777">
      <w:pPr>
        <w:pStyle w:val="NoSpacing"/>
        <w:spacing w:line="360" w:lineRule="auto"/>
        <w:rPr>
          <w:rFonts w:ascii="宋体" w:eastAsia="宋体" w:hAnsi="宋体"/>
          <w:sz w:val="24"/>
          <w:szCs w:val="24"/>
        </w:rPr>
      </w:pPr>
      <w:r w:rsidRPr="004F69AC">
        <w:rPr>
          <w:rFonts w:ascii="宋体" w:eastAsia="宋体" w:hAnsi="宋体"/>
          <w:b/>
          <w:bCs/>
          <w:sz w:val="24"/>
          <w:szCs w:val="24"/>
        </w:rPr>
        <w:t>【解析】</w:t>
      </w:r>
      <w:r w:rsidRPr="004F69AC">
        <w:rPr>
          <w:rFonts w:ascii="宋体" w:eastAsia="宋体" w:hAnsi="宋体"/>
          <w:sz w:val="24"/>
          <w:szCs w:val="24"/>
        </w:rPr>
        <w:t>点价的实质是一种投机行为。因此，点价成败的关键，是对期货价格走势的正确判断。这就要求点价一方对影响商品价格的基本面因素要有深入的研究和分析，根据对期货价格的未来走势的判断制定相应的点价策略，并运用基差图表等技术分析方法确定最佳点价时点。</w:t>
      </w:r>
    </w:p>
    <w:p w:rsidR="00513A70" w:rsidRPr="004F69AC" w:rsidP="00C92839" w14:textId="7769480E">
      <w:pPr>
        <w:pStyle w:val="NoSpacing"/>
        <w:spacing w:line="360" w:lineRule="auto"/>
        <w:rPr>
          <w:rFonts w:ascii="宋体" w:eastAsia="宋体" w:hAnsi="宋体"/>
          <w:sz w:val="24"/>
          <w:szCs w:val="24"/>
        </w:rPr>
      </w:pPr>
      <w:r w:rsidRPr="004F69AC">
        <w:rPr>
          <w:rFonts w:ascii="宋体" w:eastAsia="宋体" w:hAnsi="宋体"/>
          <w:sz w:val="24"/>
          <w:szCs w:val="24"/>
        </w:rPr>
        <w:t>13、正确</w:t>
      </w:r>
    </w:p>
    <w:p w:rsidR="00316A17" w:rsidRPr="004F69AC" w:rsidP="00C92839" w14:textId="77777777">
      <w:pPr>
        <w:pStyle w:val="NoSpacing"/>
        <w:spacing w:line="360" w:lineRule="auto"/>
        <w:rPr>
          <w:rFonts w:ascii="宋体" w:eastAsia="宋体" w:hAnsi="宋体"/>
          <w:sz w:val="24"/>
          <w:szCs w:val="24"/>
        </w:rPr>
      </w:pPr>
      <w:r w:rsidRPr="004F69AC">
        <w:rPr>
          <w:rFonts w:ascii="宋体" w:eastAsia="宋体" w:hAnsi="宋体"/>
          <w:b/>
          <w:bCs/>
          <w:sz w:val="24"/>
          <w:szCs w:val="24"/>
        </w:rPr>
        <w:t>【解析】</w:t>
      </w:r>
      <w:r w:rsidRPr="004F69AC">
        <w:rPr>
          <w:rFonts w:ascii="宋体" w:eastAsia="宋体" w:hAnsi="宋体"/>
          <w:sz w:val="24"/>
          <w:szCs w:val="24"/>
        </w:rPr>
        <w:t>合理利用期货市场价格杠杆机制，用较少的资金通过买入套期保值实现虚拟库存，相应减少现货库存，可以大大节省流动资金占用，提高企业资金使用效率。因此，企业可以结合生产需要，合理利用期货，适度缓解企业在生产经营中短期出现的资金压力。</w:t>
      </w:r>
    </w:p>
    <w:p w:rsidR="00513A70" w:rsidRPr="004F69AC" w:rsidP="00C92839" w14:textId="7769480E">
      <w:pPr>
        <w:pStyle w:val="NoSpacing"/>
        <w:spacing w:line="360" w:lineRule="auto"/>
        <w:rPr>
          <w:rFonts w:ascii="宋体" w:eastAsia="宋体" w:hAnsi="宋体"/>
          <w:sz w:val="24"/>
          <w:szCs w:val="24"/>
        </w:rPr>
      </w:pPr>
      <w:r w:rsidRPr="004F69AC">
        <w:rPr>
          <w:rFonts w:ascii="宋体" w:eastAsia="宋体" w:hAnsi="宋体"/>
          <w:sz w:val="24"/>
          <w:szCs w:val="24"/>
        </w:rPr>
        <w:t>14、正确</w:t>
      </w:r>
    </w:p>
    <w:p w:rsidR="00316A17" w:rsidRPr="004F69AC" w:rsidP="00C92839" w14:textId="77777777">
      <w:pPr>
        <w:pStyle w:val="NoSpacing"/>
        <w:spacing w:line="360" w:lineRule="auto"/>
        <w:rPr>
          <w:rFonts w:ascii="宋体" w:eastAsia="宋体" w:hAnsi="宋体"/>
          <w:sz w:val="24"/>
          <w:szCs w:val="24"/>
        </w:rPr>
      </w:pPr>
      <w:r w:rsidRPr="004F69AC">
        <w:rPr>
          <w:rFonts w:ascii="宋体" w:eastAsia="宋体" w:hAnsi="宋体"/>
          <w:b/>
          <w:bCs/>
          <w:sz w:val="24"/>
          <w:szCs w:val="24"/>
        </w:rPr>
        <w:t>【解析】</w:t>
      </w:r>
      <w:r w:rsidRPr="004F69AC">
        <w:rPr>
          <w:rFonts w:ascii="宋体" w:eastAsia="宋体" w:hAnsi="宋体"/>
          <w:sz w:val="24"/>
          <w:szCs w:val="24"/>
        </w:rPr>
        <w:t>采购经理人指数中，当指数高于50%时，通常被解释为经济扩张的信号；当指数低于50%，尤其是接近40%时，则有经济萧条的倾向。</w:t>
      </w:r>
    </w:p>
    <w:p w:rsidR="00513A70" w:rsidRPr="004F69AC" w:rsidP="00C92839" w14:textId="7769480E">
      <w:pPr>
        <w:pStyle w:val="NoSpacing"/>
        <w:spacing w:line="360" w:lineRule="auto"/>
        <w:rPr>
          <w:rFonts w:ascii="宋体" w:eastAsia="宋体" w:hAnsi="宋体"/>
          <w:sz w:val="24"/>
          <w:szCs w:val="24"/>
        </w:rPr>
        <w:sectPr w:rsidSect="00312E8D">
          <w:headerReference w:type="even" r:id="rId57"/>
          <w:headerReference w:type="default" r:id="rId58"/>
          <w:footerReference w:type="default" r:id="rId59"/>
          <w:headerReference w:type="first" r:id="rId60"/>
          <w:type w:val="nextPage"/>
          <w:pgSz w:w="11906" w:h="16838"/>
          <w:pgMar w:top="1440" w:right="1800" w:bottom="1440" w:left="1800" w:header="851" w:footer="992" w:gutter="0"/>
          <w:pgBorders w:offsetFrom="page">
            <w:top w:val="dashed" w:sz="4" w:space="24" w:color="auto"/>
            <w:left w:val="dashed" w:sz="4" w:space="24" w:color="auto"/>
            <w:bottom w:val="dashed" w:sz="4" w:space="24" w:color="auto"/>
            <w:right w:val="dashed" w:sz="4" w:space="24" w:color="auto"/>
          </w:pgBorders>
          <w:pgNumType w:start="14"/>
          <w:cols w:space="425"/>
          <w:titlePg w:val="0"/>
          <w:docGrid w:type="lines" w:linePitch="312"/>
        </w:sectPr>
      </w:pPr>
      <w:r w:rsidRPr="004F69AC">
        <w:rPr>
          <w:rFonts w:ascii="宋体" w:eastAsia="宋体" w:hAnsi="宋体"/>
          <w:sz w:val="24"/>
          <w:szCs w:val="24"/>
        </w:rPr>
        <w:t>15、正确</w:t>
      </w:r>
    </w:p>
    <w:p w:rsidR="00316A17" w:rsidRPr="004F69AC" w:rsidP="00C92839" w14:textId="77777777">
      <w:pPr>
        <w:pStyle w:val="NoSpacing"/>
        <w:spacing w:line="360" w:lineRule="auto"/>
        <w:rPr>
          <w:rFonts w:ascii="宋体" w:eastAsia="宋体" w:hAnsi="宋体"/>
          <w:sz w:val="24"/>
          <w:szCs w:val="24"/>
        </w:rPr>
      </w:pPr>
      <w:r w:rsidRPr="004F69AC">
        <w:rPr>
          <w:rFonts w:ascii="宋体" w:eastAsia="宋体" w:hAnsi="宋体"/>
          <w:b/>
          <w:bCs/>
          <w:sz w:val="24"/>
          <w:szCs w:val="24"/>
        </w:rPr>
        <w:t>【解析】</w:t>
      </w:r>
      <w:r w:rsidRPr="004F69AC">
        <w:rPr>
          <w:rFonts w:ascii="宋体" w:eastAsia="宋体" w:hAnsi="宋体"/>
          <w:sz w:val="24"/>
          <w:szCs w:val="24"/>
        </w:rPr>
        <w:t>利率水平往往和折现率有直接关系，利率降低引起折现率降低，在进行股票估值中提高了股票价值，股票价格会上升。</w:t>
      </w:r>
    </w:p>
    <w:p w:rsidR="00513A70" w:rsidRPr="004F69AC" w:rsidP="00C92839" w14:textId="7769480E">
      <w:pPr>
        <w:pStyle w:val="NoSpacing"/>
        <w:spacing w:line="360" w:lineRule="auto"/>
        <w:rPr>
          <w:rFonts w:ascii="宋体" w:eastAsia="宋体" w:hAnsi="宋体"/>
          <w:sz w:val="24"/>
          <w:szCs w:val="24"/>
        </w:rPr>
      </w:pPr>
      <w:r w:rsidRPr="004F69AC">
        <w:rPr>
          <w:rFonts w:ascii="宋体" w:eastAsia="宋体" w:hAnsi="宋体"/>
          <w:sz w:val="24"/>
          <w:szCs w:val="24"/>
        </w:rPr>
        <w:t>16、错误</w:t>
      </w:r>
    </w:p>
    <w:p w:rsidR="00316A17" w:rsidRPr="004F69AC" w:rsidP="00C92839" w14:textId="77777777">
      <w:pPr>
        <w:pStyle w:val="NoSpacing"/>
        <w:spacing w:line="360" w:lineRule="auto"/>
        <w:rPr>
          <w:rFonts w:ascii="宋体" w:eastAsia="宋体" w:hAnsi="宋体"/>
          <w:sz w:val="24"/>
          <w:szCs w:val="24"/>
        </w:rPr>
      </w:pPr>
      <w:r w:rsidRPr="004F69AC">
        <w:rPr>
          <w:rFonts w:ascii="宋体" w:eastAsia="宋体" w:hAnsi="宋体"/>
          <w:b/>
          <w:bCs/>
          <w:sz w:val="24"/>
          <w:szCs w:val="24"/>
        </w:rPr>
        <w:t>【解析】</w:t>
      </w:r>
      <w:r w:rsidRPr="004F69AC">
        <w:rPr>
          <w:rFonts w:ascii="宋体" w:eastAsia="宋体" w:hAnsi="宋体"/>
          <w:sz w:val="24"/>
          <w:szCs w:val="24"/>
        </w:rPr>
        <w:t>期货市场采用的是保证金交易机制，通常收取交易总额的5%～15%的保证金。</w:t>
      </w:r>
    </w:p>
    <w:p w:rsidR="00513A70" w:rsidRPr="004F69AC" w:rsidP="00C92839" w14:textId="7769480E">
      <w:pPr>
        <w:pStyle w:val="NoSpacing"/>
        <w:spacing w:line="360" w:lineRule="auto"/>
        <w:rPr>
          <w:rFonts w:ascii="宋体" w:eastAsia="宋体" w:hAnsi="宋体"/>
          <w:sz w:val="24"/>
          <w:szCs w:val="24"/>
        </w:rPr>
      </w:pPr>
      <w:r w:rsidRPr="004F69AC">
        <w:rPr>
          <w:rFonts w:ascii="宋体" w:eastAsia="宋体" w:hAnsi="宋体"/>
          <w:sz w:val="24"/>
          <w:szCs w:val="24"/>
        </w:rPr>
        <w:t>17、错误</w:t>
      </w:r>
    </w:p>
    <w:p w:rsidR="00316A17" w:rsidRPr="004F69AC" w:rsidP="00C92839" w14:textId="77777777">
      <w:pPr>
        <w:pStyle w:val="NoSpacing"/>
        <w:spacing w:line="360" w:lineRule="auto"/>
        <w:rPr>
          <w:rFonts w:ascii="宋体" w:eastAsia="宋体" w:hAnsi="宋体"/>
          <w:sz w:val="24"/>
          <w:szCs w:val="24"/>
        </w:rPr>
      </w:pPr>
      <w:r w:rsidRPr="004F69AC">
        <w:rPr>
          <w:rFonts w:ascii="宋体" w:eastAsia="宋体" w:hAnsi="宋体"/>
          <w:b/>
          <w:bCs/>
          <w:sz w:val="24"/>
          <w:szCs w:val="24"/>
        </w:rPr>
        <w:t>【解析】</w:t>
      </w:r>
      <w:r w:rsidRPr="004F69AC">
        <w:rPr>
          <w:rFonts w:ascii="宋体" w:eastAsia="宋体" w:hAnsi="宋体"/>
          <w:sz w:val="24"/>
          <w:szCs w:val="24"/>
        </w:rPr>
        <w:t>中国人民银行根据货币调控需要，综合考虑银行体系流动性供求状况、货币市场利率水平等多种因素，灵活决定SLO的操作时机、操作规模及期限品种等。该工具原则上在公开市场常规操作的间歇期使用。</w:t>
      </w:r>
    </w:p>
    <w:p w:rsidR="00513A70" w:rsidRPr="004F69AC" w:rsidP="00C92839" w14:textId="7769480E">
      <w:pPr>
        <w:pStyle w:val="NoSpacing"/>
        <w:spacing w:line="360" w:lineRule="auto"/>
        <w:rPr>
          <w:rFonts w:ascii="宋体" w:eastAsia="宋体" w:hAnsi="宋体"/>
          <w:sz w:val="24"/>
          <w:szCs w:val="24"/>
        </w:rPr>
      </w:pPr>
      <w:r w:rsidRPr="004F69AC">
        <w:rPr>
          <w:rFonts w:ascii="宋体" w:eastAsia="宋体" w:hAnsi="宋体"/>
          <w:sz w:val="24"/>
          <w:szCs w:val="24"/>
        </w:rPr>
        <w:t>18、错误</w:t>
      </w:r>
    </w:p>
    <w:p w:rsidR="00316A17" w:rsidRPr="004F69AC" w:rsidP="00C92839" w14:textId="77777777">
      <w:pPr>
        <w:pStyle w:val="NoSpacing"/>
        <w:spacing w:line="360" w:lineRule="auto"/>
        <w:rPr>
          <w:rFonts w:ascii="宋体" w:eastAsia="宋体" w:hAnsi="宋体"/>
          <w:sz w:val="24"/>
          <w:szCs w:val="24"/>
        </w:rPr>
      </w:pPr>
      <w:r w:rsidRPr="004F69AC">
        <w:rPr>
          <w:rFonts w:ascii="宋体" w:eastAsia="宋体" w:hAnsi="宋体"/>
          <w:b/>
          <w:bCs/>
          <w:sz w:val="24"/>
          <w:szCs w:val="24"/>
        </w:rPr>
        <w:t>【解析】</w:t>
      </w:r>
      <w:r w:rsidRPr="004F69AC">
        <w:rPr>
          <w:rFonts w:ascii="宋体" w:eastAsia="宋体" w:hAnsi="宋体"/>
          <w:sz w:val="24"/>
          <w:szCs w:val="24"/>
        </w:rPr>
        <w:t>全球最著名的基准利率有伦敦同业拆借利率（Libor）和美国联邦基准利率，两国的存贷款利率均是根据此利率自行确定的。</w:t>
      </w:r>
    </w:p>
    <w:p w:rsidR="00513A70" w:rsidRPr="004F69AC" w:rsidP="00C92839" w14:textId="7769480E">
      <w:pPr>
        <w:pStyle w:val="NoSpacing"/>
        <w:spacing w:line="360" w:lineRule="auto"/>
        <w:rPr>
          <w:rFonts w:ascii="宋体" w:eastAsia="宋体" w:hAnsi="宋体"/>
          <w:sz w:val="24"/>
          <w:szCs w:val="24"/>
        </w:rPr>
      </w:pPr>
      <w:r w:rsidRPr="004F69AC">
        <w:rPr>
          <w:rFonts w:ascii="宋体" w:eastAsia="宋体" w:hAnsi="宋体"/>
          <w:sz w:val="24"/>
          <w:szCs w:val="24"/>
        </w:rPr>
        <w:t>19、错误</w:t>
      </w:r>
    </w:p>
    <w:p w:rsidR="00316A17" w:rsidRPr="004F69AC" w:rsidP="00C92839" w14:textId="77777777">
      <w:pPr>
        <w:pStyle w:val="NoSpacing"/>
        <w:spacing w:line="360" w:lineRule="auto"/>
        <w:rPr>
          <w:rFonts w:ascii="宋体" w:eastAsia="宋体" w:hAnsi="宋体"/>
          <w:sz w:val="24"/>
          <w:szCs w:val="24"/>
        </w:rPr>
      </w:pPr>
      <w:r w:rsidRPr="004F69AC">
        <w:rPr>
          <w:rFonts w:ascii="宋体" w:eastAsia="宋体" w:hAnsi="宋体"/>
          <w:b/>
          <w:bCs/>
          <w:sz w:val="24"/>
          <w:szCs w:val="24"/>
        </w:rPr>
        <w:t>【解析】</w:t>
      </w:r>
      <w:r w:rsidRPr="004F69AC">
        <w:rPr>
          <w:rFonts w:ascii="宋体" w:eastAsia="宋体" w:hAnsi="宋体"/>
          <w:sz w:val="24"/>
          <w:szCs w:val="24"/>
        </w:rPr>
        <w:t>无论是恰当地管理或有支付义务，还是管理现有投资的收益，都在一定程度上需要金融机构利用场外、场内的各种工具来对冲潜在的风险。</w:t>
      </w:r>
    </w:p>
    <w:p w:rsidR="00513A70" w:rsidRPr="004F69AC" w:rsidP="00C92839" w14:textId="7769480E">
      <w:pPr>
        <w:pStyle w:val="NoSpacing"/>
        <w:spacing w:line="360" w:lineRule="auto"/>
        <w:rPr>
          <w:rFonts w:ascii="宋体" w:eastAsia="宋体" w:hAnsi="宋体"/>
          <w:sz w:val="24"/>
          <w:szCs w:val="24"/>
        </w:rPr>
      </w:pPr>
      <w:r w:rsidRPr="004F69AC">
        <w:rPr>
          <w:rFonts w:ascii="宋体" w:eastAsia="宋体" w:hAnsi="宋体"/>
          <w:sz w:val="24"/>
          <w:szCs w:val="24"/>
        </w:rPr>
        <w:t>20、错误</w:t>
      </w:r>
    </w:p>
    <w:p w:rsidR="00316A17" w:rsidRPr="004F69AC" w:rsidP="00C92839" w14:textId="77777777">
      <w:pPr>
        <w:pStyle w:val="NoSpacing"/>
        <w:spacing w:line="360" w:lineRule="auto"/>
        <w:rPr>
          <w:rFonts w:ascii="宋体" w:eastAsia="宋体" w:hAnsi="宋体"/>
          <w:sz w:val="24"/>
          <w:szCs w:val="24"/>
        </w:rPr>
      </w:pPr>
      <w:r w:rsidRPr="004F69AC">
        <w:rPr>
          <w:rFonts w:ascii="宋体" w:eastAsia="宋体" w:hAnsi="宋体"/>
          <w:b/>
          <w:bCs/>
          <w:sz w:val="24"/>
          <w:szCs w:val="24"/>
        </w:rPr>
        <w:t>【解析】</w:t>
      </w:r>
      <w:r w:rsidRPr="004F69AC">
        <w:rPr>
          <w:rFonts w:ascii="宋体" w:eastAsia="宋体" w:hAnsi="宋体"/>
          <w:sz w:val="24"/>
          <w:szCs w:val="24"/>
        </w:rPr>
        <w:t>战争或地缘政治的发生，会引发市场避险情绪，黄金作为一种避险资产，在这些事件发生前后，金价会发生较大的变化。</w:t>
      </w:r>
    </w:p>
    <w:p w:rsidR="00513A70" w:rsidRPr="004F69AC" w:rsidP="00C92839" w14:textId="7769480E">
      <w:pPr>
        <w:pStyle w:val="NoSpacing"/>
        <w:spacing w:line="360" w:lineRule="auto"/>
        <w:rPr>
          <w:rFonts w:ascii="宋体" w:eastAsia="宋体" w:hAnsi="宋体"/>
          <w:sz w:val="24"/>
          <w:szCs w:val="24"/>
        </w:rPr>
      </w:pPr>
      <w:r w:rsidRPr="004F69AC">
        <w:rPr>
          <w:rFonts w:ascii="宋体" w:eastAsia="宋体" w:hAnsi="宋体"/>
          <w:sz w:val="24"/>
          <w:szCs w:val="24"/>
        </w:rPr>
        <w:t>21、错误</w:t>
      </w:r>
    </w:p>
    <w:p w:rsidR="00316A17" w:rsidRPr="004F69AC" w:rsidP="00C92839" w14:textId="77777777">
      <w:pPr>
        <w:pStyle w:val="NoSpacing"/>
        <w:spacing w:line="360" w:lineRule="auto"/>
        <w:rPr>
          <w:rFonts w:ascii="宋体" w:eastAsia="宋体" w:hAnsi="宋体"/>
          <w:sz w:val="24"/>
          <w:szCs w:val="24"/>
        </w:rPr>
      </w:pPr>
      <w:r w:rsidRPr="004F69AC">
        <w:rPr>
          <w:rFonts w:ascii="宋体" w:eastAsia="宋体" w:hAnsi="宋体"/>
          <w:b/>
          <w:bCs/>
          <w:sz w:val="24"/>
          <w:szCs w:val="24"/>
        </w:rPr>
        <w:t>【解析】</w:t>
      </w:r>
      <w:r w:rsidRPr="004F69AC">
        <w:rPr>
          <w:rFonts w:ascii="宋体" w:eastAsia="宋体" w:hAnsi="宋体"/>
          <w:sz w:val="24"/>
          <w:szCs w:val="24"/>
        </w:rPr>
        <w:t>在金融机构卖出期权之后，其所面临的风险在某些极端情况下会使得金融机构难以找到令人满意的解决方案。这种风险需要提前进行压力测试，以便做到事前有所准备。</w:t>
      </w:r>
    </w:p>
    <w:p w:rsidR="00513A70" w:rsidRPr="004F69AC" w:rsidP="00C92839" w14:textId="7769480E">
      <w:pPr>
        <w:pStyle w:val="NoSpacing"/>
        <w:spacing w:line="360" w:lineRule="auto"/>
        <w:rPr>
          <w:rFonts w:ascii="宋体" w:eastAsia="宋体" w:hAnsi="宋体"/>
          <w:sz w:val="24"/>
          <w:szCs w:val="24"/>
        </w:rPr>
      </w:pPr>
      <w:r w:rsidRPr="004F69AC">
        <w:rPr>
          <w:rFonts w:ascii="宋体" w:eastAsia="宋体" w:hAnsi="宋体"/>
          <w:sz w:val="24"/>
          <w:szCs w:val="24"/>
        </w:rPr>
        <w:t>22、正确</w:t>
      </w:r>
    </w:p>
    <w:p w:rsidR="00316A17" w:rsidRPr="004F69AC" w:rsidP="00C92839" w14:textId="77777777">
      <w:pPr>
        <w:pStyle w:val="NoSpacing"/>
        <w:spacing w:line="360" w:lineRule="auto"/>
        <w:rPr>
          <w:rFonts w:ascii="宋体" w:eastAsia="宋体" w:hAnsi="宋体"/>
          <w:sz w:val="24"/>
          <w:szCs w:val="24"/>
        </w:rPr>
      </w:pPr>
      <w:r w:rsidRPr="004F69AC">
        <w:rPr>
          <w:rFonts w:ascii="宋体" w:eastAsia="宋体" w:hAnsi="宋体"/>
          <w:b/>
          <w:bCs/>
          <w:sz w:val="24"/>
          <w:szCs w:val="24"/>
        </w:rPr>
        <w:t>【解析】</w:t>
      </w:r>
      <w:r w:rsidRPr="004F69AC">
        <w:rPr>
          <w:rFonts w:ascii="宋体" w:eastAsia="宋体" w:hAnsi="宋体"/>
          <w:sz w:val="24"/>
          <w:szCs w:val="24"/>
        </w:rPr>
        <w:t>短期国债期货标的资产通常是零息债券，没有持有收益，持有成本也只包括购买国债所需资金的利息成本，因此其期货定价公式与不支付红利的标的资产定价公式一致，为。</w:t>
      </w:r>
    </w:p>
    <w:p w:rsidR="00513A70" w:rsidRPr="004F69AC" w:rsidP="00C92839" w14:textId="7769480E">
      <w:pPr>
        <w:pStyle w:val="NoSpacing"/>
        <w:spacing w:line="360" w:lineRule="auto"/>
        <w:rPr>
          <w:rFonts w:ascii="宋体" w:eastAsia="宋体" w:hAnsi="宋体"/>
          <w:sz w:val="24"/>
          <w:szCs w:val="24"/>
        </w:rPr>
        <w:sectPr w:rsidSect="00312E8D">
          <w:headerReference w:type="even" r:id="rId61"/>
          <w:headerReference w:type="default" r:id="rId62"/>
          <w:footerReference w:type="default" r:id="rId63"/>
          <w:headerReference w:type="first" r:id="rId64"/>
          <w:type w:val="nextPage"/>
          <w:pgSz w:w="11906" w:h="16838"/>
          <w:pgMar w:top="1440" w:right="1800" w:bottom="1440" w:left="1800" w:header="851" w:footer="992" w:gutter="0"/>
          <w:pgBorders w:offsetFrom="page">
            <w:top w:val="dashed" w:sz="4" w:space="24" w:color="auto"/>
            <w:left w:val="dashed" w:sz="4" w:space="24" w:color="auto"/>
            <w:bottom w:val="dashed" w:sz="4" w:space="24" w:color="auto"/>
            <w:right w:val="dashed" w:sz="4" w:space="24" w:color="auto"/>
          </w:pgBorders>
          <w:pgNumType w:start="15"/>
          <w:cols w:space="425"/>
          <w:titlePg w:val="0"/>
          <w:docGrid w:type="lines" w:linePitch="312"/>
        </w:sectPr>
      </w:pPr>
      <w:r w:rsidRPr="004F69AC">
        <w:rPr>
          <w:rFonts w:ascii="宋体" w:eastAsia="宋体" w:hAnsi="宋体"/>
          <w:sz w:val="24"/>
          <w:szCs w:val="24"/>
        </w:rPr>
        <w:t>23、错误</w:t>
      </w:r>
    </w:p>
    <w:p w:rsidR="00316A17" w:rsidRPr="004F69AC" w:rsidP="00C92839" w14:textId="77777777">
      <w:pPr>
        <w:pStyle w:val="NoSpacing"/>
        <w:spacing w:line="360" w:lineRule="auto"/>
        <w:rPr>
          <w:rFonts w:ascii="宋体" w:eastAsia="宋体" w:hAnsi="宋体"/>
          <w:sz w:val="24"/>
          <w:szCs w:val="24"/>
        </w:rPr>
      </w:pPr>
      <w:r w:rsidRPr="004F69AC">
        <w:rPr>
          <w:rFonts w:ascii="宋体" w:eastAsia="宋体" w:hAnsi="宋体"/>
          <w:b/>
          <w:bCs/>
          <w:sz w:val="24"/>
          <w:szCs w:val="24"/>
        </w:rPr>
        <w:t>【解析】</w:t>
      </w:r>
      <w:r w:rsidRPr="004F69AC">
        <w:rPr>
          <w:rFonts w:ascii="宋体" w:eastAsia="宋体" w:hAnsi="宋体"/>
          <w:sz w:val="24"/>
          <w:szCs w:val="24"/>
        </w:rPr>
        <w:t>美元升值或贬值代表着人们对美元的信心变化。美元升值，说明人们对美元的信心增强，从而增加对美元的持有，减少对黄金的持有，从而导致黄金价格下跌；反之，美元贬值则导致黄金价格上升。</w:t>
      </w:r>
    </w:p>
    <w:p w:rsidR="00513A70" w:rsidRPr="004F69AC" w:rsidP="00C92839" w14:textId="7769480E">
      <w:pPr>
        <w:pStyle w:val="NoSpacing"/>
        <w:spacing w:line="360" w:lineRule="auto"/>
        <w:rPr>
          <w:rFonts w:ascii="宋体" w:eastAsia="宋体" w:hAnsi="宋体"/>
          <w:sz w:val="24"/>
          <w:szCs w:val="24"/>
        </w:rPr>
      </w:pPr>
      <w:r w:rsidRPr="004F69AC">
        <w:rPr>
          <w:rFonts w:ascii="宋体" w:eastAsia="宋体" w:hAnsi="宋体"/>
          <w:sz w:val="24"/>
          <w:szCs w:val="24"/>
        </w:rPr>
        <w:t>24、正确</w:t>
      </w:r>
    </w:p>
    <w:p w:rsidR="00316A17" w:rsidRPr="004F69AC" w:rsidP="00C92839" w14:textId="77777777">
      <w:pPr>
        <w:pStyle w:val="NoSpacing"/>
        <w:spacing w:line="360" w:lineRule="auto"/>
        <w:rPr>
          <w:rFonts w:ascii="宋体" w:eastAsia="宋体" w:hAnsi="宋体"/>
          <w:sz w:val="24"/>
          <w:szCs w:val="24"/>
        </w:rPr>
      </w:pPr>
      <w:r w:rsidRPr="004F69AC">
        <w:rPr>
          <w:rFonts w:ascii="宋体" w:eastAsia="宋体" w:hAnsi="宋体"/>
          <w:b/>
          <w:bCs/>
          <w:sz w:val="24"/>
          <w:szCs w:val="24"/>
        </w:rPr>
        <w:t>【解析】</w:t>
      </w:r>
      <w:r w:rsidRPr="004F69AC">
        <w:rPr>
          <w:rFonts w:ascii="宋体" w:eastAsia="宋体" w:hAnsi="宋体"/>
          <w:sz w:val="24"/>
          <w:szCs w:val="24"/>
        </w:rPr>
        <w:t>短期国债期货标的资产通常是零息债券，没有持有收益，持有成本也只包括购买国债所需资金的利息成本，因此其期货定价公式与不支付红利的标的资产定价公式一致。</w:t>
      </w:r>
    </w:p>
    <w:p w:rsidR="00513A70" w:rsidRPr="004F69AC" w:rsidP="00C92839" w14:textId="7769480E">
      <w:pPr>
        <w:pStyle w:val="NoSpacing"/>
        <w:spacing w:line="360" w:lineRule="auto"/>
        <w:rPr>
          <w:rFonts w:ascii="宋体" w:eastAsia="宋体" w:hAnsi="宋体"/>
          <w:sz w:val="24"/>
          <w:szCs w:val="24"/>
        </w:rPr>
      </w:pPr>
      <w:r w:rsidRPr="004F69AC">
        <w:rPr>
          <w:rFonts w:ascii="宋体" w:eastAsia="宋体" w:hAnsi="宋体"/>
          <w:sz w:val="24"/>
          <w:szCs w:val="24"/>
        </w:rPr>
        <w:t>25、错误</w:t>
      </w:r>
    </w:p>
    <w:p w:rsidR="00316A17" w:rsidRPr="004F69AC" w:rsidP="00C92839" w14:textId="77777777">
      <w:pPr>
        <w:pStyle w:val="NoSpacing"/>
        <w:spacing w:line="360" w:lineRule="auto"/>
        <w:rPr>
          <w:rFonts w:ascii="宋体" w:eastAsia="宋体" w:hAnsi="宋体"/>
          <w:sz w:val="24"/>
          <w:szCs w:val="24"/>
        </w:rPr>
      </w:pPr>
      <w:r w:rsidRPr="004F69AC">
        <w:rPr>
          <w:rFonts w:ascii="宋体" w:eastAsia="宋体" w:hAnsi="宋体"/>
          <w:b/>
          <w:bCs/>
          <w:sz w:val="24"/>
          <w:szCs w:val="24"/>
        </w:rPr>
        <w:t>【解析】</w:t>
      </w:r>
      <w:r w:rsidRPr="004F69AC">
        <w:rPr>
          <w:rFonts w:ascii="宋体" w:eastAsia="宋体" w:hAnsi="宋体"/>
          <w:sz w:val="24"/>
          <w:szCs w:val="24"/>
        </w:rPr>
        <w:t>量化模型的测试评估过程是在专业的电子交易测试平台上进行的。测试平台分为自主开发平台与可供公众使用的、由专业的交易软件公司提供的量化交易测试平台。</w:t>
      </w:r>
    </w:p>
    <w:p w:rsidR="00513A70" w:rsidRPr="004F69AC" w:rsidP="00C92839" w14:textId="7769480E">
      <w:pPr>
        <w:pStyle w:val="NoSpacing"/>
        <w:spacing w:line="360" w:lineRule="auto"/>
        <w:rPr>
          <w:rFonts w:ascii="宋体" w:eastAsia="宋体" w:hAnsi="宋体"/>
          <w:sz w:val="24"/>
          <w:szCs w:val="24"/>
        </w:rPr>
      </w:pPr>
      <w:r w:rsidRPr="004F69AC">
        <w:rPr>
          <w:rFonts w:ascii="宋体" w:eastAsia="宋体" w:hAnsi="宋体"/>
          <w:sz w:val="24"/>
          <w:szCs w:val="24"/>
        </w:rPr>
        <w:t>26、正确</w:t>
      </w:r>
    </w:p>
    <w:p w:rsidR="00316A17" w:rsidRPr="004F69AC" w:rsidP="00C92839" w14:textId="77777777">
      <w:pPr>
        <w:pStyle w:val="NoSpacing"/>
        <w:spacing w:line="360" w:lineRule="auto"/>
        <w:rPr>
          <w:rFonts w:ascii="宋体" w:eastAsia="宋体" w:hAnsi="宋体"/>
          <w:sz w:val="24"/>
          <w:szCs w:val="24"/>
        </w:rPr>
      </w:pPr>
      <w:r w:rsidRPr="004F69AC">
        <w:rPr>
          <w:rFonts w:ascii="宋体" w:eastAsia="宋体" w:hAnsi="宋体"/>
          <w:b/>
          <w:bCs/>
          <w:sz w:val="24"/>
          <w:szCs w:val="24"/>
        </w:rPr>
        <w:t>【解析】</w:t>
      </w:r>
      <w:r w:rsidRPr="004F69AC">
        <w:rPr>
          <w:rFonts w:ascii="宋体" w:eastAsia="宋体" w:hAnsi="宋体"/>
          <w:sz w:val="24"/>
          <w:szCs w:val="24"/>
        </w:rPr>
        <w:t>收益率曲线变得更凸后，中间期限的利率相对向下移动，而长短期限的利率则相对向上移动。</w:t>
      </w:r>
    </w:p>
    <w:p w:rsidR="00513A70" w:rsidRPr="004F69AC" w:rsidP="00C92839" w14:textId="7769480E">
      <w:pPr>
        <w:pStyle w:val="NoSpacing"/>
        <w:spacing w:line="360" w:lineRule="auto"/>
        <w:rPr>
          <w:rFonts w:ascii="宋体" w:eastAsia="宋体" w:hAnsi="宋体"/>
          <w:sz w:val="24"/>
          <w:szCs w:val="24"/>
        </w:rPr>
      </w:pPr>
      <w:r w:rsidRPr="004F69AC">
        <w:rPr>
          <w:rFonts w:ascii="宋体" w:eastAsia="宋体" w:hAnsi="宋体"/>
          <w:sz w:val="24"/>
          <w:szCs w:val="24"/>
        </w:rPr>
        <w:t>27、正确</w:t>
      </w:r>
    </w:p>
    <w:p w:rsidR="00316A17" w:rsidRPr="004F69AC" w:rsidP="00C92839" w14:textId="77777777">
      <w:pPr>
        <w:pStyle w:val="NoSpacing"/>
        <w:spacing w:line="360" w:lineRule="auto"/>
        <w:rPr>
          <w:rFonts w:ascii="宋体" w:eastAsia="宋体" w:hAnsi="宋体"/>
          <w:sz w:val="24"/>
          <w:szCs w:val="24"/>
        </w:rPr>
      </w:pPr>
      <w:r w:rsidRPr="004F69AC">
        <w:rPr>
          <w:rFonts w:ascii="宋体" w:eastAsia="宋体" w:hAnsi="宋体"/>
          <w:b/>
          <w:bCs/>
          <w:sz w:val="24"/>
          <w:szCs w:val="24"/>
        </w:rPr>
        <w:t>【解析】</w:t>
      </w:r>
      <w:r w:rsidRPr="004F69AC">
        <w:rPr>
          <w:rFonts w:ascii="宋体" w:eastAsia="宋体" w:hAnsi="宋体"/>
          <w:sz w:val="24"/>
          <w:szCs w:val="24"/>
        </w:rPr>
        <w:t>在复苏期，股票为王，债券次之；在衰退期，债券为王，现金次之；在过热期，商品为王，股票次之；在滞涨期，现金为王，商品次之。</w:t>
      </w:r>
    </w:p>
    <w:p w:rsidR="00513A70" w:rsidRPr="004F69AC" w:rsidP="00C92839" w14:textId="7769480E">
      <w:pPr>
        <w:pStyle w:val="NoSpacing"/>
        <w:spacing w:line="360" w:lineRule="auto"/>
        <w:rPr>
          <w:rFonts w:ascii="宋体" w:eastAsia="宋体" w:hAnsi="宋体"/>
          <w:sz w:val="24"/>
          <w:szCs w:val="24"/>
        </w:rPr>
      </w:pPr>
      <w:r w:rsidRPr="004F69AC">
        <w:rPr>
          <w:rFonts w:ascii="宋体" w:eastAsia="宋体" w:hAnsi="宋体"/>
          <w:sz w:val="24"/>
          <w:szCs w:val="24"/>
        </w:rPr>
        <w:t>28、错误</w:t>
      </w:r>
    </w:p>
    <w:p w:rsidR="00316A17" w:rsidRPr="004F69AC" w:rsidP="00C92839" w14:textId="77777777">
      <w:pPr>
        <w:pStyle w:val="NoSpacing"/>
        <w:spacing w:line="360" w:lineRule="auto"/>
        <w:rPr>
          <w:rFonts w:ascii="宋体" w:eastAsia="宋体" w:hAnsi="宋体"/>
          <w:sz w:val="24"/>
          <w:szCs w:val="24"/>
        </w:rPr>
      </w:pPr>
      <w:r w:rsidRPr="004F69AC">
        <w:rPr>
          <w:rFonts w:ascii="宋体" w:eastAsia="宋体" w:hAnsi="宋体"/>
          <w:b/>
          <w:bCs/>
          <w:sz w:val="24"/>
          <w:szCs w:val="24"/>
        </w:rPr>
        <w:t>【解析】</w:t>
      </w:r>
      <w:r w:rsidRPr="004F69AC">
        <w:rPr>
          <w:rFonts w:ascii="宋体" w:eastAsia="宋体" w:hAnsi="宋体"/>
          <w:sz w:val="24"/>
          <w:szCs w:val="24"/>
        </w:rPr>
        <w:t>在我国，中国人民银行对各金融机构法定存款准备金按旬考核，金融机构按法人统一存入中国人民银行的准备金存款低于上句末一般存款余额的8%，对其不足部分按每目万分之六的利率处以罚息。</w:t>
      </w:r>
    </w:p>
    <w:p w:rsidR="00513A70" w:rsidRPr="004F69AC" w:rsidP="00C92839" w14:textId="7769480E">
      <w:pPr>
        <w:pStyle w:val="NoSpacing"/>
        <w:spacing w:line="360" w:lineRule="auto"/>
        <w:rPr>
          <w:rFonts w:ascii="宋体" w:eastAsia="宋体" w:hAnsi="宋体"/>
          <w:sz w:val="24"/>
          <w:szCs w:val="24"/>
        </w:rPr>
      </w:pPr>
      <w:r w:rsidRPr="004F69AC">
        <w:rPr>
          <w:rFonts w:ascii="宋体" w:eastAsia="宋体" w:hAnsi="宋体"/>
          <w:sz w:val="24"/>
          <w:szCs w:val="24"/>
        </w:rPr>
        <w:t>29、正确</w:t>
      </w:r>
    </w:p>
    <w:p w:rsidR="00316A17" w:rsidRPr="004F69AC" w:rsidP="00C92839" w14:textId="77777777">
      <w:pPr>
        <w:pStyle w:val="NoSpacing"/>
        <w:spacing w:line="360" w:lineRule="auto"/>
        <w:rPr>
          <w:rFonts w:ascii="宋体" w:eastAsia="宋体" w:hAnsi="宋体"/>
          <w:sz w:val="24"/>
          <w:szCs w:val="24"/>
        </w:rPr>
      </w:pPr>
      <w:r w:rsidRPr="004F69AC">
        <w:rPr>
          <w:rFonts w:ascii="宋体" w:eastAsia="宋体" w:hAnsi="宋体"/>
          <w:b/>
          <w:bCs/>
          <w:sz w:val="24"/>
          <w:szCs w:val="24"/>
        </w:rPr>
        <w:t>【解析】</w:t>
      </w:r>
      <w:r w:rsidRPr="004F69AC">
        <w:rPr>
          <w:rFonts w:ascii="宋体" w:eastAsia="宋体" w:hAnsi="宋体"/>
          <w:sz w:val="24"/>
          <w:szCs w:val="24"/>
        </w:rPr>
        <w:t>因为场外期权合约通常不是标准化的，所以该期权基本上难以在市场上流通，不像场内期权那样有那么多的潜在交易对手方（项目合作的对方）。</w:t>
      </w:r>
    </w:p>
    <w:p w:rsidR="00513A70" w:rsidRPr="004F69AC" w:rsidP="00C92839" w14:textId="7769480E">
      <w:pPr>
        <w:pStyle w:val="NoSpacing"/>
        <w:spacing w:line="360" w:lineRule="auto"/>
        <w:rPr>
          <w:rFonts w:ascii="宋体" w:eastAsia="宋体" w:hAnsi="宋体"/>
          <w:sz w:val="24"/>
          <w:szCs w:val="24"/>
        </w:rPr>
      </w:pPr>
      <w:r w:rsidRPr="004F69AC">
        <w:rPr>
          <w:rFonts w:ascii="宋体" w:eastAsia="宋体" w:hAnsi="宋体"/>
          <w:sz w:val="24"/>
          <w:szCs w:val="24"/>
        </w:rPr>
        <w:t>30、错误</w:t>
      </w:r>
    </w:p>
    <w:p w:rsidR="00316A17" w:rsidRPr="004F69AC" w:rsidP="00C92839" w14:textId="77777777">
      <w:pPr>
        <w:pStyle w:val="NoSpacing"/>
        <w:spacing w:line="360" w:lineRule="auto"/>
        <w:rPr>
          <w:rFonts w:ascii="宋体" w:eastAsia="宋体" w:hAnsi="宋体"/>
          <w:sz w:val="24"/>
          <w:szCs w:val="24"/>
        </w:rPr>
      </w:pPr>
      <w:r w:rsidRPr="004F69AC">
        <w:rPr>
          <w:rFonts w:ascii="宋体" w:eastAsia="宋体" w:hAnsi="宋体"/>
          <w:b/>
          <w:bCs/>
          <w:sz w:val="24"/>
          <w:szCs w:val="24"/>
        </w:rPr>
        <w:t>【解析】</w:t>
      </w:r>
      <w:r w:rsidRPr="004F69AC">
        <w:rPr>
          <w:rFonts w:ascii="宋体" w:eastAsia="宋体" w:hAnsi="宋体"/>
          <w:sz w:val="24"/>
          <w:szCs w:val="24"/>
        </w:rPr>
        <w:t>企业对库存管理面临的实际困难是在原材料价格大起大落时，企业如何管理库存才能有效规避价格风险，确保生产经营不受大的影响，而在价格相对平稳期间，企业又如何能够降低实物库存带来的管理成本。</w:t>
      </w:r>
    </w:p>
    <w:p w:rsidR="00513A70" w:rsidRPr="004F69AC" w:rsidP="00C92839" w14:textId="7769480E">
      <w:pPr>
        <w:pStyle w:val="NoSpacing"/>
        <w:spacing w:line="360" w:lineRule="auto"/>
        <w:rPr>
          <w:rFonts w:ascii="宋体" w:eastAsia="宋体" w:hAnsi="宋体"/>
          <w:sz w:val="24"/>
          <w:szCs w:val="24"/>
        </w:rPr>
      </w:pPr>
      <w:r w:rsidRPr="004F69AC">
        <w:rPr>
          <w:rFonts w:ascii="宋体" w:eastAsia="宋体" w:hAnsi="宋体"/>
          <w:sz w:val="24"/>
          <w:szCs w:val="24"/>
        </w:rPr>
        <w:t>31、正确</w:t>
      </w:r>
      <w:r w:rsidRPr="004F69AC">
        <w:rPr>
          <w:rFonts w:ascii="宋体" w:eastAsia="宋体" w:hAnsi="宋体"/>
          <w:sz w:val="24"/>
          <w:szCs w:val="24"/>
        </w:rPr>
        <w:br/>
      </w:r>
      <w:r w:rsidRPr="004F69AC">
        <w:rPr>
          <w:rFonts w:ascii="宋体" w:eastAsia="宋体" w:hAnsi="宋体"/>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5" w:history="1">
        <w:r>
          <w:rPr>
            <w:rFonts w:ascii="SimSun" w:eastAsia="SimSun" w:hAnsi="SimSun" w:cs="SimSun"/>
            <w:b/>
            <w:bCs/>
            <w:color w:val="0000EE"/>
            <w:kern w:val="0"/>
            <w:sz w:val="30"/>
            <w:szCs w:val="30"/>
            <w:u w:val="single" w:color="0000EE"/>
          </w:rPr>
          <w:t>https://d.book118.com/666105122233010030</w:t>
        </w:r>
      </w:hyperlink>
    </w:p>
    <w:p w:rsidR="00513A70" w:rsidRPr="004F69AC" w:rsidP="00C92839">
      <w:pPr>
        <w:pStyle w:val="NoSpacing"/>
        <w:spacing w:line="360" w:lineRule="auto"/>
        <w:rPr>
          <w:rFonts w:ascii="宋体" w:eastAsia="宋体" w:hAnsi="宋体"/>
          <w:sz w:val="24"/>
          <w:szCs w:val="24"/>
        </w:rPr>
      </w:pPr>
    </w:p>
    <w:sectPr w:rsidSect="00312E8D">
      <w:headerReference w:type="even" r:id="rId66"/>
      <w:headerReference w:type="default" r:id="rId67"/>
      <w:footerReference w:type="default" r:id="rId68"/>
      <w:headerReference w:type="first" r:id="rId69"/>
      <w:type w:val="nextPage"/>
      <w:pgSz w:w="11906" w:h="16838"/>
      <w:pgMar w:top="1440" w:right="1800" w:bottom="1440" w:left="1800" w:header="851" w:footer="992" w:gutter="0"/>
      <w:pgBorders w:offsetFrom="page">
        <w:top w:val="dashed" w:sz="4" w:space="24" w:color="auto"/>
        <w:left w:val="dashed" w:sz="4" w:space="24" w:color="auto"/>
        <w:bottom w:val="dashed" w:sz="4" w:space="24" w:color="auto"/>
        <w:right w:val="dashed" w:sz="4" w:space="24" w:color="auto"/>
      </w:pgBorders>
      <w:pgNumType w:start="1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47137789"/>
      <w:docPartObj>
        <w:docPartGallery w:val="Page Numbers (Bottom of Page)"/>
        <w:docPartUnique/>
      </w:docPartObj>
    </w:sdtPr>
    <w:sdtContent>
      <w:sdt>
        <w:sdtPr>
          <w:id w:val="1728636285"/>
          <w:docPartObj>
            <w:docPartGallery w:val="Page Numbers (Top of Page)"/>
            <w:docPartUnique/>
          </w:docPartObj>
        </w:sdtPr>
        <w:sdtContent>
          <w:p w:rsidR="00250606" w14:paraId="64B566B0" w14:textId="359CBB3C">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250606" w14:paraId="04C8AA9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91821028"/>
      <w:docPartObj>
        <w:docPartGallery w:val="Page Numbers (Bottom of Page)"/>
        <w:docPartUnique/>
      </w:docPartObj>
    </w:sdtPr>
    <w:sdtContent>
      <w:sdt>
        <w:sdtPr>
          <w:id w:val="1553405370"/>
          <w:docPartObj>
            <w:docPartGallery w:val="Page Numbers (Top of Page)"/>
            <w:docPartUnique/>
          </w:docPartObj>
        </w:sdtPr>
        <w:sdtContent>
          <w:p w:rsidR="00250606" w14:textId="359CBB3C">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25060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28335515"/>
      <w:docPartObj>
        <w:docPartGallery w:val="Page Numbers (Bottom of Page)"/>
        <w:docPartUnique/>
      </w:docPartObj>
    </w:sdtPr>
    <w:sdtContent>
      <w:sdt>
        <w:sdtPr>
          <w:id w:val="2097477392"/>
          <w:docPartObj>
            <w:docPartGallery w:val="Page Numbers (Top of Page)"/>
            <w:docPartUnique/>
          </w:docPartObj>
        </w:sdtPr>
        <w:sdtContent>
          <w:p w:rsidR="00250606" w14:textId="359CBB3C">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25060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89464500"/>
      <w:docPartObj>
        <w:docPartGallery w:val="Page Numbers (Bottom of Page)"/>
        <w:docPartUnique/>
      </w:docPartObj>
    </w:sdtPr>
    <w:sdtContent>
      <w:sdt>
        <w:sdtPr>
          <w:id w:val="2058602557"/>
          <w:docPartObj>
            <w:docPartGallery w:val="Page Numbers (Top of Page)"/>
            <w:docPartUnique/>
          </w:docPartObj>
        </w:sdtPr>
        <w:sdtContent>
          <w:p w:rsidR="00250606" w14:textId="359CBB3C">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25060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52224384"/>
      <w:docPartObj>
        <w:docPartGallery w:val="Page Numbers (Bottom of Page)"/>
        <w:docPartUnique/>
      </w:docPartObj>
    </w:sdtPr>
    <w:sdtContent>
      <w:sdt>
        <w:sdtPr>
          <w:id w:val="664102589"/>
          <w:docPartObj>
            <w:docPartGallery w:val="Page Numbers (Top of Page)"/>
            <w:docPartUnique/>
          </w:docPartObj>
        </w:sdtPr>
        <w:sdtContent>
          <w:p w:rsidR="00250606" w14:textId="359CBB3C">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25060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34652423"/>
      <w:docPartObj>
        <w:docPartGallery w:val="Page Numbers (Bottom of Page)"/>
        <w:docPartUnique/>
      </w:docPartObj>
    </w:sdtPr>
    <w:sdtContent>
      <w:sdt>
        <w:sdtPr>
          <w:id w:val="1207251950"/>
          <w:docPartObj>
            <w:docPartGallery w:val="Page Numbers (Top of Page)"/>
            <w:docPartUnique/>
          </w:docPartObj>
        </w:sdtPr>
        <w:sdtContent>
          <w:p w:rsidR="00250606" w14:textId="359CBB3C">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25060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37233215"/>
      <w:docPartObj>
        <w:docPartGallery w:val="Page Numbers (Bottom of Page)"/>
        <w:docPartUnique/>
      </w:docPartObj>
    </w:sdtPr>
    <w:sdtContent>
      <w:sdt>
        <w:sdtPr>
          <w:id w:val="374363778"/>
          <w:docPartObj>
            <w:docPartGallery w:val="Page Numbers (Top of Page)"/>
            <w:docPartUnique/>
          </w:docPartObj>
        </w:sdtPr>
        <w:sdtContent>
          <w:p w:rsidR="00250606" w14:textId="359CBB3C">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25060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73902506"/>
      <w:docPartObj>
        <w:docPartGallery w:val="Page Numbers (Bottom of Page)"/>
        <w:docPartUnique/>
      </w:docPartObj>
    </w:sdtPr>
    <w:sdtContent>
      <w:sdt>
        <w:sdtPr>
          <w:id w:val="1456010533"/>
          <w:docPartObj>
            <w:docPartGallery w:val="Page Numbers (Top of Page)"/>
            <w:docPartUnique/>
          </w:docPartObj>
        </w:sdtPr>
        <w:sdtContent>
          <w:p w:rsidR="00250606" w14:textId="359CBB3C">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25060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46461760"/>
      <w:docPartObj>
        <w:docPartGallery w:val="Page Numbers (Bottom of Page)"/>
        <w:docPartUnique/>
      </w:docPartObj>
    </w:sdtPr>
    <w:sdtContent>
      <w:sdt>
        <w:sdtPr>
          <w:id w:val="766217954"/>
          <w:docPartObj>
            <w:docPartGallery w:val="Page Numbers (Top of Page)"/>
            <w:docPartUnique/>
          </w:docPartObj>
        </w:sdtPr>
        <w:sdtContent>
          <w:p w:rsidR="00250606" w14:textId="359CBB3C">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25060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94689543"/>
      <w:docPartObj>
        <w:docPartGallery w:val="Page Numbers (Bottom of Page)"/>
        <w:docPartUnique/>
      </w:docPartObj>
    </w:sdtPr>
    <w:sdtContent>
      <w:sdt>
        <w:sdtPr>
          <w:id w:val="1751937534"/>
          <w:docPartObj>
            <w:docPartGallery w:val="Page Numbers (Top of Page)"/>
            <w:docPartUnique/>
          </w:docPartObj>
        </w:sdtPr>
        <w:sdtContent>
          <w:p w:rsidR="00250606" w14:textId="359CBB3C">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250606"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40277561"/>
      <w:docPartObj>
        <w:docPartGallery w:val="Page Numbers (Bottom of Page)"/>
        <w:docPartUnique/>
      </w:docPartObj>
    </w:sdtPr>
    <w:sdtContent>
      <w:sdt>
        <w:sdtPr>
          <w:id w:val="580679096"/>
          <w:docPartObj>
            <w:docPartGallery w:val="Page Numbers (Top of Page)"/>
            <w:docPartUnique/>
          </w:docPartObj>
        </w:sdtPr>
        <w:sdtContent>
          <w:p w:rsidR="00250606" w14:textId="359CBB3C">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25060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9635703"/>
      <w:docPartObj>
        <w:docPartGallery w:val="Page Numbers (Bottom of Page)"/>
        <w:docPartUnique/>
      </w:docPartObj>
    </w:sdtPr>
    <w:sdtContent>
      <w:sdt>
        <w:sdtPr>
          <w:id w:val="234987510"/>
          <w:docPartObj>
            <w:docPartGallery w:val="Page Numbers (Top of Page)"/>
            <w:docPartUnique/>
          </w:docPartObj>
        </w:sdtPr>
        <w:sdtContent>
          <w:p w:rsidR="00250606" w14:textId="359CBB3C">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250606"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14826356"/>
      <w:docPartObj>
        <w:docPartGallery w:val="Page Numbers (Bottom of Page)"/>
        <w:docPartUnique/>
      </w:docPartObj>
    </w:sdtPr>
    <w:sdtContent>
      <w:sdt>
        <w:sdtPr>
          <w:id w:val="1582135659"/>
          <w:docPartObj>
            <w:docPartGallery w:val="Page Numbers (Top of Page)"/>
            <w:docPartUnique/>
          </w:docPartObj>
        </w:sdtPr>
        <w:sdtContent>
          <w:p w:rsidR="00250606" w14:textId="359CBB3C">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25060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5781140"/>
      <w:docPartObj>
        <w:docPartGallery w:val="Page Numbers (Bottom of Page)"/>
        <w:docPartUnique/>
      </w:docPartObj>
    </w:sdtPr>
    <w:sdtContent>
      <w:sdt>
        <w:sdtPr>
          <w:id w:val="742202547"/>
          <w:docPartObj>
            <w:docPartGallery w:val="Page Numbers (Top of Page)"/>
            <w:docPartUnique/>
          </w:docPartObj>
        </w:sdtPr>
        <w:sdtContent>
          <w:p w:rsidR="00250606" w14:textId="359CBB3C">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250606"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6038985"/>
      <w:docPartObj>
        <w:docPartGallery w:val="Page Numbers (Bottom of Page)"/>
        <w:docPartUnique/>
      </w:docPartObj>
    </w:sdtPr>
    <w:sdtContent>
      <w:sdt>
        <w:sdtPr>
          <w:id w:val="854127821"/>
          <w:docPartObj>
            <w:docPartGallery w:val="Page Numbers (Top of Page)"/>
            <w:docPartUnique/>
          </w:docPartObj>
        </w:sdtPr>
        <w:sdtContent>
          <w:p w:rsidR="00250606" w14:textId="359CBB3C">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25060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38989168"/>
      <w:docPartObj>
        <w:docPartGallery w:val="Page Numbers (Bottom of Page)"/>
        <w:docPartUnique/>
      </w:docPartObj>
    </w:sdtPr>
    <w:sdtContent>
      <w:sdt>
        <w:sdtPr>
          <w:id w:val="702424889"/>
          <w:docPartObj>
            <w:docPartGallery w:val="Page Numbers (Top of Page)"/>
            <w:docPartUnique/>
          </w:docPartObj>
        </w:sdtPr>
        <w:sdtContent>
          <w:p w:rsidR="00250606" w14:textId="359CBB3C">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25060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951A6" w14:paraId="4D906297" w14:textId="0AE88821">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49" type="#_x0000_t136" style="width:390.35pt;height:195.15pt;margin-top:0;margin-left:0;mso-position-horizontal:center;mso-position-horizontal-relative:margin;mso-position-vertical:center;mso-position-vertical-relative:margin;position:absolute;rotation:315;z-index:-251657216" o:allowincell="f" fillcolor="silver" stroked="f">
          <v:fill opacity="0.5"/>
          <v:textpath style="font-family:等线;font-size:1pt" string="样卷"/>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951A6" w14:paraId="5AF71EA4" w14:textId="7C60BEC1">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0" type="#_x0000_t136" style="width:390.35pt;height:195.15pt;margin-top:0;margin-left:0;mso-position-horizontal:center;mso-position-horizontal-relative:margin;mso-position-vertical:center;mso-position-vertical-relative:margin;position:absolute;rotation:315;z-index:-251656192" o:allowincell="f" fillcolor="silver" stroked="f">
          <v:fill opacity="0.5"/>
          <v:textpath style="font-family:等线;font-size:1pt" string="样卷"/>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951A6" w14:paraId="7D44F7F8" w14:textId="6DB455DC">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 o:spid="_x0000_s2051" type="#_x0000_t136" style="width:390.35pt;height:195.15pt;margin-top:0;margin-left:0;mso-position-horizontal:center;mso-position-horizontal-relative:margin;mso-position-vertical:center;mso-position-vertical-relative:margin;position:absolute;rotation:315;z-index:-251658240" o:allowincell="f" fillcolor="silver" stroked="f">
          <v:fill opacity="0.5"/>
          <v:textpath style="font-family:等线;font-size:1pt" string="样卷"/>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951A6" w14:textId="0AE88821">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2" type="#_x0000_t136" style="width:390.35pt;height:195.15pt;margin-top:0;margin-left:0;mso-position-horizontal:center;mso-position-horizontal-relative:margin;mso-position-vertical:center;mso-position-vertical-relative:margin;position:absolute;rotation:315;z-index:-251654144" o:allowincell="f" fillcolor="silver" stroked="f">
          <v:fill opacity="0.5"/>
          <v:textpath style="font-family:等线;font-size:1pt" string="样卷"/>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951A6" w14:textId="7C60BEC1">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3" type="#_x0000_t136" style="width:390.35pt;height:195.15pt;margin-top:0;margin-left:0;mso-position-horizontal:center;mso-position-horizontal-relative:margin;mso-position-vertical:center;mso-position-vertical-relative:margin;position:absolute;rotation:315;z-index:-251653120" o:allowincell="f" fillcolor="silver" stroked="f">
          <v:fill opacity="0.5"/>
          <v:textpath style="font-family:等线;font-size:1pt" string="样卷"/>
          <w10:wrap anchorx="margin" anchory="margin"/>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951A6" w14:textId="6DB455DC">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 o:spid="_x0000_s2054" type="#_x0000_t136" style="width:390.35pt;height:195.15pt;margin-top:0;margin-left:0;mso-position-horizontal:center;mso-position-horizontal-relative:margin;mso-position-vertical:center;mso-position-vertical-relative:margin;position:absolute;rotation:315;z-index:-251655168" o:allowincell="f" fillcolor="silver" stroked="f">
          <v:fill opacity="0.5"/>
          <v:textpath style="font-family:等线;font-size:1pt" string="样卷"/>
          <w10:wrap anchorx="margin" anchory="margin"/>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951A6" w14:textId="0AE88821">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5" type="#_x0000_t136" style="width:390.35pt;height:195.15pt;margin-top:0;margin-left:0;mso-position-horizontal:center;mso-position-horizontal-relative:margin;mso-position-vertical:center;mso-position-vertical-relative:margin;position:absolute;rotation:315;z-index:-251651072" o:allowincell="f" fillcolor="silver" stroked="f">
          <v:fill opacity="0.5"/>
          <v:textpath style="font-family:等线;font-size:1pt" string="样卷"/>
          <w10:wrap anchorx="margin" anchory="margin"/>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951A6" w14:textId="7C60BEC1">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6" type="#_x0000_t136" style="width:390.35pt;height:195.15pt;margin-top:0;margin-left:0;mso-position-horizontal:center;mso-position-horizontal-relative:margin;mso-position-vertical:center;mso-position-vertical-relative:margin;position:absolute;rotation:315;z-index:-251650048" o:allowincell="f" fillcolor="silver" stroked="f">
          <v:fill opacity="0.5"/>
          <v:textpath style="font-family:等线;font-size:1pt" string="样卷"/>
          <w10:wrap anchorx="margin" anchory="margin"/>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951A6" w14:textId="6DB455DC">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 o:spid="_x0000_s2057" type="#_x0000_t136" style="width:390.35pt;height:195.15pt;margin-top:0;margin-left:0;mso-position-horizontal:center;mso-position-horizontal-relative:margin;mso-position-vertical:center;mso-position-vertical-relative:margin;position:absolute;rotation:315;z-index:-251652096" o:allowincell="f" fillcolor="silver" stroked="f">
          <v:fill opacity="0.5"/>
          <v:textpath style="font-family:等线;font-size:1pt" string="样卷"/>
          <w10:wrap anchorx="margin" anchory="margin"/>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951A6" w14:textId="0AE88821">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8" type="#_x0000_t136" style="width:390.35pt;height:195.15pt;margin-top:0;margin-left:0;mso-position-horizontal:center;mso-position-horizontal-relative:margin;mso-position-vertical:center;mso-position-vertical-relative:margin;position:absolute;rotation:315;z-index:-251648000" o:allowincell="f" fillcolor="silver" stroked="f">
          <v:fill opacity="0.5"/>
          <v:textpath style="font-family:等线;font-size:1pt" string="样卷"/>
          <w10:wrap anchorx="margin" anchory="margin"/>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951A6" w14:textId="7C60BEC1">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9" type="#_x0000_t136" style="width:390.35pt;height:195.15pt;margin-top:0;margin-left:0;mso-position-horizontal:center;mso-position-horizontal-relative:margin;mso-position-vertical:center;mso-position-vertical-relative:margin;position:absolute;rotation:315;z-index:-251646976" o:allowincell="f" fillcolor="silver" stroked="f">
          <v:fill opacity="0.5"/>
          <v:textpath style="font-family:等线;font-size:1pt" string="样卷"/>
          <w10:wrap anchorx="margin" anchory="margin"/>
        </v:shap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951A6" w14:textId="6DB455DC">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 o:spid="_x0000_s2060" type="#_x0000_t136" style="width:390.35pt;height:195.15pt;margin-top:0;margin-left:0;mso-position-horizontal:center;mso-position-horizontal-relative:margin;mso-position-vertical:center;mso-position-vertical-relative:margin;position:absolute;rotation:315;z-index:-251649024" o:allowincell="f" fillcolor="silver" stroked="f">
          <v:fill opacity="0.5"/>
          <v:textpath style="font-family:等线;font-size:1pt" string="样卷"/>
          <w10:wrap anchorx="margin" anchory="margin"/>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951A6" w14:textId="0AE88821">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61" type="#_x0000_t136" style="width:390.35pt;height:195.15pt;margin-top:0;margin-left:0;mso-position-horizontal:center;mso-position-horizontal-relative:margin;mso-position-vertical:center;mso-position-vertical-relative:margin;position:absolute;rotation:315;z-index:-251644928" o:allowincell="f" fillcolor="silver" stroked="f">
          <v:fill opacity="0.5"/>
          <v:textpath style="font-family:等线;font-size:1pt" string="样卷"/>
          <w10:wrap anchorx="margin" anchory="margin"/>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951A6" w14:textId="7C60BEC1">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62" type="#_x0000_t136" style="width:390.35pt;height:195.15pt;margin-top:0;margin-left:0;mso-position-horizontal:center;mso-position-horizontal-relative:margin;mso-position-vertical:center;mso-position-vertical-relative:margin;position:absolute;rotation:315;z-index:-251643904" o:allowincell="f" fillcolor="silver" stroked="f">
          <v:fill opacity="0.5"/>
          <v:textpath style="font-family:等线;font-size:1pt" string="样卷"/>
          <w10:wrap anchorx="margin" anchory="margin"/>
        </v:shape>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951A6" w14:textId="6DB455DC">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 o:spid="_x0000_s2063" type="#_x0000_t136" style="width:390.35pt;height:195.15pt;margin-top:0;margin-left:0;mso-position-horizontal:center;mso-position-horizontal-relative:margin;mso-position-vertical:center;mso-position-vertical-relative:margin;position:absolute;rotation:315;z-index:-251645952" o:allowincell="f" fillcolor="silver" stroked="f">
          <v:fill opacity="0.5"/>
          <v:textpath style="font-family:等线;font-size:1pt" string="样卷"/>
          <w10:wrap anchorx="margin" anchory="margin"/>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951A6" w14:textId="0AE88821">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64" type="#_x0000_t136" style="width:390.35pt;height:195.15pt;margin-top:0;margin-left:0;mso-position-horizontal:center;mso-position-horizontal-relative:margin;mso-position-vertical:center;mso-position-vertical-relative:margin;position:absolute;rotation:315;z-index:-251641856" o:allowincell="f" fillcolor="silver" stroked="f">
          <v:fill opacity="0.5"/>
          <v:textpath style="font-family:等线;font-size:1pt" string="样卷"/>
          <w10:wrap anchorx="margin" anchory="margin"/>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951A6" w14:textId="7C60BEC1">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65" type="#_x0000_t136" style="width:390.35pt;height:195.15pt;margin-top:0;margin-left:0;mso-position-horizontal:center;mso-position-horizontal-relative:margin;mso-position-vertical:center;mso-position-vertical-relative:margin;position:absolute;rotation:315;z-index:-251640832" o:allowincell="f" fillcolor="silver" stroked="f">
          <v:fill opacity="0.5"/>
          <v:textpath style="font-family:等线;font-size:1pt" string="样卷"/>
          <w10:wrap anchorx="margin" anchory="margin"/>
        </v:shape>
      </w:pic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951A6" w14:textId="6DB455DC">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 o:spid="_x0000_s2066" type="#_x0000_t136" style="width:390.35pt;height:195.15pt;margin-top:0;margin-left:0;mso-position-horizontal:center;mso-position-horizontal-relative:margin;mso-position-vertical:center;mso-position-vertical-relative:margin;position:absolute;rotation:315;z-index:-251642880" o:allowincell="f" fillcolor="silver" stroked="f">
          <v:fill opacity="0.5"/>
          <v:textpath style="font-family:等线;font-size:1pt" string="样卷"/>
          <w10:wrap anchorx="margin" anchory="margin"/>
        </v:shap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951A6" w14:textId="0AE88821">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67" type="#_x0000_t136" style="width:390.35pt;height:195.15pt;margin-top:0;margin-left:0;mso-position-horizontal:center;mso-position-horizontal-relative:margin;mso-position-vertical:center;mso-position-vertical-relative:margin;position:absolute;rotation:315;z-index:-251638784" o:allowincell="f" fillcolor="silver" stroked="f">
          <v:fill opacity="0.5"/>
          <v:textpath style="font-family:等线;font-size:1pt" string="样卷"/>
          <w10:wrap anchorx="margin" anchory="margin"/>
        </v:shape>
      </w:pic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951A6" w14:textId="7C60BEC1">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68" type="#_x0000_t136" style="width:390.35pt;height:195.15pt;margin-top:0;margin-left:0;mso-position-horizontal:center;mso-position-horizontal-relative:margin;mso-position-vertical:center;mso-position-vertical-relative:margin;position:absolute;rotation:315;z-index:-251637760" o:allowincell="f" fillcolor="silver" stroked="f">
          <v:fill opacity="0.5"/>
          <v:textpath style="font-family:等线;font-size:1pt" string="样卷"/>
          <w10:wrap anchorx="margin" anchory="margin"/>
        </v:shape>
      </w:pic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951A6" w14:textId="6DB455DC">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 o:spid="_x0000_s2069" type="#_x0000_t136" style="width:390.35pt;height:195.15pt;margin-top:0;margin-left:0;mso-position-horizontal:center;mso-position-horizontal-relative:margin;mso-position-vertical:center;mso-position-vertical-relative:margin;position:absolute;rotation:315;z-index:-251639808" o:allowincell="f" fillcolor="silver" stroked="f">
          <v:fill opacity="0.5"/>
          <v:textpath style="font-family:等线;font-size:1pt" string="样卷"/>
          <w10:wrap anchorx="margin" anchory="margin"/>
        </v:shape>
      </w:pic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951A6" w14:textId="0AE88821">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70" type="#_x0000_t136" style="width:390.35pt;height:195.15pt;margin-top:0;margin-left:0;mso-position-horizontal:center;mso-position-horizontal-relative:margin;mso-position-vertical:center;mso-position-vertical-relative:margin;position:absolute;rotation:315;z-index:-251635712" o:allowincell="f" fillcolor="silver" stroked="f">
          <v:fill opacity="0.5"/>
          <v:textpath style="font-family:等线;font-size:1pt" string="样卷"/>
          <w10:wrap anchorx="margin" anchory="margin"/>
        </v:shape>
      </w:pic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951A6" w14:textId="7C60BEC1">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71" type="#_x0000_t136" style="width:390.35pt;height:195.15pt;margin-top:0;margin-left:0;mso-position-horizontal:center;mso-position-horizontal-relative:margin;mso-position-vertical:center;mso-position-vertical-relative:margin;position:absolute;rotation:315;z-index:-251634688" o:allowincell="f" fillcolor="silver" stroked="f">
          <v:fill opacity="0.5"/>
          <v:textpath style="font-family:等线;font-size:1pt" string="样卷"/>
          <w10:wrap anchorx="margin" anchory="margin"/>
        </v:shape>
      </w:pic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951A6" w14:textId="6DB455DC">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 o:spid="_x0000_s2072" type="#_x0000_t136" style="width:390.35pt;height:195.15pt;margin-top:0;margin-left:0;mso-position-horizontal:center;mso-position-horizontal-relative:margin;mso-position-vertical:center;mso-position-vertical-relative:margin;position:absolute;rotation:315;z-index:-251636736" o:allowincell="f" fillcolor="silver" stroked="f">
          <v:fill opacity="0.5"/>
          <v:textpath style="font-family:等线;font-size:1pt" string="样卷"/>
          <w10:wrap anchorx="margin" anchory="margin"/>
        </v:shape>
      </w:pic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951A6" w14:textId="0AE88821">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73" type="#_x0000_t136" style="width:390.35pt;height:195.15pt;margin-top:0;margin-left:0;mso-position-horizontal:center;mso-position-horizontal-relative:margin;mso-position-vertical:center;mso-position-vertical-relative:margin;position:absolute;rotation:315;z-index:-251632640" o:allowincell="f" fillcolor="silver" stroked="f">
          <v:fill opacity="0.5"/>
          <v:textpath style="font-family:等线;font-size:1pt" string="样卷"/>
          <w10:wrap anchorx="margin" anchory="margin"/>
        </v:shape>
      </w:pic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951A6" w14:textId="7C60BEC1">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74" type="#_x0000_t136" style="width:390.35pt;height:195.15pt;margin-top:0;margin-left:0;mso-position-horizontal:center;mso-position-horizontal-relative:margin;mso-position-vertical:center;mso-position-vertical-relative:margin;position:absolute;rotation:315;z-index:-251631616" o:allowincell="f" fillcolor="silver" stroked="f">
          <v:fill opacity="0.5"/>
          <v:textpath style="font-family:等线;font-size:1pt" string="样卷"/>
          <w10:wrap anchorx="margin" anchory="margin"/>
        </v:shape>
      </w:pic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951A6" w14:textId="6DB455DC">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 o:spid="_x0000_s2075" type="#_x0000_t136" style="width:390.35pt;height:195.15pt;margin-top:0;margin-left:0;mso-position-horizontal:center;mso-position-horizontal-relative:margin;mso-position-vertical:center;mso-position-vertical-relative:margin;position:absolute;rotation:315;z-index:-251633664" o:allowincell="f" fillcolor="silver" stroked="f">
          <v:fill opacity="0.5"/>
          <v:textpath style="font-family:等线;font-size:1pt" string="样卷"/>
          <w10:wrap anchorx="margin" anchory="margin"/>
        </v:shape>
      </w:pic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951A6" w14:textId="0AE88821">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76" type="#_x0000_t136" style="width:390.35pt;height:195.15pt;margin-top:0;margin-left:0;mso-position-horizontal:center;mso-position-horizontal-relative:margin;mso-position-vertical:center;mso-position-vertical-relative:margin;position:absolute;rotation:315;z-index:-251629568" o:allowincell="f" fillcolor="silver" stroked="f">
          <v:fill opacity="0.5"/>
          <v:textpath style="font-family:等线;font-size:1pt" string="样卷"/>
          <w10:wrap anchorx="margin" anchory="margin"/>
        </v:shape>
      </w:pic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951A6" w14:textId="7C60BEC1">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77" type="#_x0000_t136" style="width:390.35pt;height:195.15pt;margin-top:0;margin-left:0;mso-position-horizontal:center;mso-position-horizontal-relative:margin;mso-position-vertical:center;mso-position-vertical-relative:margin;position:absolute;rotation:315;z-index:-251628544" o:allowincell="f" fillcolor="silver" stroked="f">
          <v:fill opacity="0.5"/>
          <v:textpath style="font-family:等线;font-size:1pt" string="样卷"/>
          <w10:wrap anchorx="margin" anchory="margin"/>
        </v:shape>
      </w:pic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951A6" w14:textId="6DB455DC">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 o:spid="_x0000_s2078" type="#_x0000_t136" style="width:390.35pt;height:195.15pt;margin-top:0;margin-left:0;mso-position-horizontal:center;mso-position-horizontal-relative:margin;mso-position-vertical:center;mso-position-vertical-relative:margin;position:absolute;rotation:315;z-index:-251630592" o:allowincell="f" fillcolor="silver" stroked="f">
          <v:fill opacity="0.5"/>
          <v:textpath style="font-family:等线;font-size:1pt" string="样卷"/>
          <w10:wrap anchorx="margin" anchory="margin"/>
        </v:shape>
      </w:pic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951A6" w14:textId="0AE88821">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79" type="#_x0000_t136" style="width:390.35pt;height:195.15pt;margin-top:0;margin-left:0;mso-position-horizontal:center;mso-position-horizontal-relative:margin;mso-position-vertical:center;mso-position-vertical-relative:margin;position:absolute;rotation:315;z-index:-251626496" o:allowincell="f" fillcolor="silver" stroked="f">
          <v:fill opacity="0.5"/>
          <v:textpath style="font-family:等线;font-size:1pt" string="样卷"/>
          <w10:wrap anchorx="margin" anchory="margin"/>
        </v:shape>
      </w:pic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951A6" w14:textId="7C60BEC1">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80" type="#_x0000_t136" style="width:390.35pt;height:195.15pt;margin-top:0;margin-left:0;mso-position-horizontal:center;mso-position-horizontal-relative:margin;mso-position-vertical:center;mso-position-vertical-relative:margin;position:absolute;rotation:315;z-index:-251625472" o:allowincell="f" fillcolor="silver" stroked="f">
          <v:fill opacity="0.5"/>
          <v:textpath style="font-family:等线;font-size:1pt" string="样卷"/>
          <w10:wrap anchorx="margin" anchory="margin"/>
        </v:shape>
      </w:pic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951A6" w14:textId="6DB455DC">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 o:spid="_x0000_s2081" type="#_x0000_t136" style="width:390.35pt;height:195.15pt;margin-top:0;margin-left:0;mso-position-horizontal:center;mso-position-horizontal-relative:margin;mso-position-vertical:center;mso-position-vertical-relative:margin;position:absolute;rotation:315;z-index:-251627520" o:allowincell="f" fillcolor="silver" stroked="f">
          <v:fill opacity="0.5"/>
          <v:textpath style="font-family:等线;font-size:1pt" string="样卷"/>
          <w10:wrap anchorx="margin" anchory="margin"/>
        </v:shape>
      </w:pic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951A6" w14:textId="0AE88821">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82" type="#_x0000_t136" style="width:390.35pt;height:195.15pt;margin-top:0;margin-left:0;mso-position-horizontal:center;mso-position-horizontal-relative:margin;mso-position-vertical:center;mso-position-vertical-relative:margin;position:absolute;rotation:315;z-index:-251623424" o:allowincell="f" fillcolor="silver" stroked="f">
          <v:fill opacity="0.5"/>
          <v:textpath style="font-family:等线;font-size:1pt" string="样卷"/>
          <w10:wrap anchorx="margin" anchory="margin"/>
        </v:shape>
      </w:pic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951A6" w14:textId="7C60BEC1">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83" type="#_x0000_t136" style="width:390.35pt;height:195.15pt;margin-top:0;margin-left:0;mso-position-horizontal:center;mso-position-horizontal-relative:margin;mso-position-vertical:center;mso-position-vertical-relative:margin;position:absolute;rotation:315;z-index:-251622400" o:allowincell="f" fillcolor="silver" stroked="f">
          <v:fill opacity="0.5"/>
          <v:textpath style="font-family:等线;font-size:1pt" string="样卷"/>
          <w10:wrap anchorx="margin" anchory="margin"/>
        </v:shape>
      </w:pic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951A6" w14:textId="6DB455DC">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 o:spid="_x0000_s2084" type="#_x0000_t136" style="width:390.35pt;height:195.15pt;margin-top:0;margin-left:0;mso-position-horizontal:center;mso-position-horizontal-relative:margin;mso-position-vertical:center;mso-position-vertical-relative:margin;position:absolute;rotation:315;z-index:-251624448" o:allowincell="f" fillcolor="silver" stroked="f">
          <v:fill opacity="0.5"/>
          <v:textpath style="font-family:等线;font-size:1pt" string="样卷"/>
          <w10:wrap anchorx="margin" anchory="margin"/>
        </v:shape>
      </w:pic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951A6" w14:textId="0AE88821">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85" type="#_x0000_t136" style="width:390.35pt;height:195.15pt;margin-top:0;margin-left:0;mso-position-horizontal:center;mso-position-horizontal-relative:margin;mso-position-vertical:center;mso-position-vertical-relative:margin;position:absolute;rotation:315;z-index:-251620352" o:allowincell="f" fillcolor="silver" stroked="f">
          <v:fill opacity="0.5"/>
          <v:textpath style="font-family:等线;font-size:1pt" string="样卷"/>
          <w10:wrap anchorx="margin" anchory="margin"/>
        </v:shape>
      </w:pic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951A6" w14:textId="7C60BEC1">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86" type="#_x0000_t136" style="width:390.35pt;height:195.15pt;margin-top:0;margin-left:0;mso-position-horizontal:center;mso-position-horizontal-relative:margin;mso-position-vertical:center;mso-position-vertical-relative:margin;position:absolute;rotation:315;z-index:-251619328" o:allowincell="f" fillcolor="silver" stroked="f">
          <v:fill opacity="0.5"/>
          <v:textpath style="font-family:等线;font-size:1pt" string="样卷"/>
          <w10:wrap anchorx="margin" anchory="margin"/>
        </v:shape>
      </w:pic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951A6" w14:textId="6DB455DC">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 o:spid="_x0000_s2087" type="#_x0000_t136" style="width:390.35pt;height:195.15pt;margin-top:0;margin-left:0;mso-position-horizontal:center;mso-position-horizontal-relative:margin;mso-position-vertical:center;mso-position-vertical-relative:margin;position:absolute;rotation:315;z-index:-251621376" o:allowincell="f" fillcolor="silver" stroked="f">
          <v:fill opacity="0.5"/>
          <v:textpath style="font-family:等线;font-size:1pt" string="样卷"/>
          <w10:wrap anchorx="margin" anchory="margin"/>
        </v:shape>
      </w:pic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951A6" w14:textId="0AE88821">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88" type="#_x0000_t136" style="width:390.35pt;height:195.15pt;margin-top:0;margin-left:0;mso-position-horizontal:center;mso-position-horizontal-relative:margin;mso-position-vertical:center;mso-position-vertical-relative:margin;position:absolute;rotation:315;z-index:-251617280" o:allowincell="f" fillcolor="silver" stroked="f">
          <v:fill opacity="0.5"/>
          <v:textpath style="font-family:等线;font-size:1pt" string="样卷"/>
          <w10:wrap anchorx="margin" anchory="margin"/>
        </v:shape>
      </w:pic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951A6" w14:textId="7C60BEC1">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89" type="#_x0000_t136" style="width:390.35pt;height:195.15pt;margin-top:0;margin-left:0;mso-position-horizontal:center;mso-position-horizontal-relative:margin;mso-position-vertical:center;mso-position-vertical-relative:margin;position:absolute;rotation:315;z-index:-251616256" o:allowincell="f" fillcolor="silver" stroked="f">
          <v:fill opacity="0.5"/>
          <v:textpath style="font-family:等线;font-size:1pt" string="样卷"/>
          <w10:wrap anchorx="margin" anchory="margin"/>
        </v:shape>
      </w:pic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951A6" w14:textId="6DB455DC">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 o:spid="_x0000_s2090" type="#_x0000_t136" style="width:390.35pt;height:195.15pt;margin-top:0;margin-left:0;mso-position-horizontal:center;mso-position-horizontal-relative:margin;mso-position-vertical:center;mso-position-vertical-relative:margin;position:absolute;rotation:315;z-index:-251618304" o:allowincell="f" fillcolor="silver" stroked="f">
          <v:fill opacity="0.5"/>
          <v:textpath style="font-family:等线;font-size:1pt" string="样卷"/>
          <w10:wrap anchorx="margin" anchory="margin"/>
        </v:shape>
      </w:pict>
    </w: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951A6" w14:textId="0AE88821">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91" type="#_x0000_t136" style="width:390.35pt;height:195.15pt;margin-top:0;margin-left:0;mso-position-horizontal:center;mso-position-horizontal-relative:margin;mso-position-vertical:center;mso-position-vertical-relative:margin;position:absolute;rotation:315;z-index:-251614208" o:allowincell="f" fillcolor="silver" stroked="f">
          <v:fill opacity="0.5"/>
          <v:textpath style="font-family:等线;font-size:1pt" string="样卷"/>
          <w10:wrap anchorx="margin" anchory="margin"/>
        </v:shape>
      </w:pict>
    </w: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951A6" w14:textId="7C60BEC1">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92" type="#_x0000_t136" style="width:390.35pt;height:195.15pt;margin-top:0;margin-left:0;mso-position-horizontal:center;mso-position-horizontal-relative:margin;mso-position-vertical:center;mso-position-vertical-relative:margin;position:absolute;rotation:315;z-index:-251613184" o:allowincell="f" fillcolor="silver" stroked="f">
          <v:fill opacity="0.5"/>
          <v:textpath style="font-family:等线;font-size:1pt" string="样卷"/>
          <w10:wrap anchorx="margin" anchory="margin"/>
        </v:shape>
      </w:pic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951A6" w14:textId="6DB455DC">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 o:spid="_x0000_s2093" type="#_x0000_t136" style="width:390.35pt;height:195.15pt;margin-top:0;margin-left:0;mso-position-horizontal:center;mso-position-horizontal-relative:margin;mso-position-vertical:center;mso-position-vertical-relative:margin;position:absolute;rotation:315;z-index:-251615232" o:allowincell="f" fillcolor="silver" stroked="f">
          <v:fill opacity="0.5"/>
          <v:textpath style="font-family:等线;font-size:1pt" string="样卷"/>
          <w10:wrap anchorx="margin" anchory="margin"/>
        </v:shape>
      </w:pict>
    </w: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951A6" w14:textId="0AE88821">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94" type="#_x0000_t136" style="width:390.35pt;height:195.15pt;margin-top:0;margin-left:0;mso-position-horizontal:center;mso-position-horizontal-relative:margin;mso-position-vertical:center;mso-position-vertical-relative:margin;position:absolute;rotation:315;z-index:-251611136" o:allowincell="f" fillcolor="silver" stroked="f">
          <v:fill opacity="0.5"/>
          <v:textpath style="font-family:等线;font-size:1pt" string="样卷"/>
          <w10:wrap anchorx="margin" anchory="margin"/>
        </v:shape>
      </w:pict>
    </w: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951A6" w14:textId="7C60BEC1">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95" type="#_x0000_t136" style="width:390.35pt;height:195.15pt;margin-top:0;margin-left:0;mso-position-horizontal:center;mso-position-horizontal-relative:margin;mso-position-vertical:center;mso-position-vertical-relative:margin;position:absolute;rotation:315;z-index:-251610112" o:allowincell="f" fillcolor="silver" stroked="f">
          <v:fill opacity="0.5"/>
          <v:textpath style="font-family:等线;font-size:1pt" string="样卷"/>
          <w10:wrap anchorx="margin" anchory="margin"/>
        </v:shape>
      </w:pic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951A6" w14:textId="6DB455DC">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 o:spid="_x0000_s2096" type="#_x0000_t136" style="width:390.35pt;height:195.15pt;margin-top:0;margin-left:0;mso-position-horizontal:center;mso-position-horizontal-relative:margin;mso-position-vertical:center;mso-position-vertical-relative:margin;position:absolute;rotation:315;z-index:-251612160" o:allowincell="f" fillcolor="silver" stroked="f">
          <v:fill opacity="0.5"/>
          <v:textpath style="font-family:等线;font-size:1pt" string="样卷"/>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240B57"/>
    <w:multiLevelType w:val="hybridMultilevel"/>
    <w:tmpl w:val="56F42D5C"/>
    <w:lvl w:ilvl="0">
      <w:start w:val="1"/>
      <w:numFmt w:val="upperLetter"/>
      <w:lvlText w:val="%1)"/>
      <w:lvlJc w:val="left"/>
      <w:pPr>
        <w:ind w:left="840" w:hanging="420"/>
      </w:pPr>
      <w:rPr>
        <w:rFonts w:hint="default"/>
      </w:rPr>
    </w:lvl>
    <w:lvl w:ilvl="1" w:tentative="1">
      <w:start w:val="1"/>
      <w:numFmt w:val="lowerLetter"/>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abstractNum w:abstractNumId="1">
    <w:nsid w:val="021C2DD8"/>
    <w:multiLevelType w:val="hybridMultilevel"/>
    <w:tmpl w:val="C9647AE4"/>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2">
    <w:nsid w:val="030634CB"/>
    <w:multiLevelType w:val="hybridMultilevel"/>
    <w:tmpl w:val="FBC2E318"/>
    <w:lvl w:ilvl="0">
      <w:start w:val="1"/>
      <w:numFmt w:val="upperLetter"/>
      <w:lvlText w:val="%1)"/>
      <w:lvlJc w:val="left"/>
      <w:pPr>
        <w:ind w:left="840" w:hanging="420"/>
      </w:pPr>
      <w:rPr>
        <w:rFonts w:hint="default"/>
      </w:rPr>
    </w:lvl>
    <w:lvl w:ilvl="1" w:tentative="1">
      <w:start w:val="1"/>
      <w:numFmt w:val="lowerLetter"/>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abstractNum w:abstractNumId="3">
    <w:nsid w:val="050A7F7D"/>
    <w:multiLevelType w:val="hybridMultilevel"/>
    <w:tmpl w:val="6E72A44E"/>
    <w:lvl w:ilvl="0">
      <w:start w:val="1"/>
      <w:numFmt w:val="upperLetter"/>
      <w:lvlText w:val="%1)"/>
      <w:lvlJc w:val="left"/>
      <w:pPr>
        <w:ind w:left="840" w:hanging="420"/>
      </w:pPr>
      <w:rPr>
        <w:rFonts w:hint="default"/>
      </w:rPr>
    </w:lvl>
    <w:lvl w:ilvl="1" w:tentative="1">
      <w:start w:val="1"/>
      <w:numFmt w:val="lowerLetter"/>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abstractNum w:abstractNumId="4">
    <w:nsid w:val="17890991"/>
    <w:multiLevelType w:val="hybridMultilevel"/>
    <w:tmpl w:val="5854254E"/>
    <w:lvl w:ilvl="0">
      <w:start w:val="1"/>
      <w:numFmt w:val="upperLetter"/>
      <w:lvlText w:val="%1)"/>
      <w:lvlJc w:val="left"/>
      <w:pPr>
        <w:ind w:left="840" w:hanging="420"/>
      </w:pPr>
      <w:rPr>
        <w:rFonts w:hint="default"/>
      </w:rPr>
    </w:lvl>
    <w:lvl w:ilvl="1">
      <w:start w:val="1"/>
      <w:numFmt w:val="lowerLetter"/>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abstractNum w:abstractNumId="5">
    <w:nsid w:val="199A6372"/>
    <w:multiLevelType w:val="hybridMultilevel"/>
    <w:tmpl w:val="8BA6FF8C"/>
    <w:lvl w:ilvl="0">
      <w:start w:val="1"/>
      <w:numFmt w:val="upperLetter"/>
      <w:lvlText w:val="%1)"/>
      <w:lvlJc w:val="left"/>
      <w:pPr>
        <w:ind w:left="840" w:hanging="420"/>
      </w:pPr>
      <w:rPr>
        <w:rFonts w:hint="default"/>
      </w:rPr>
    </w:lvl>
    <w:lvl w:ilvl="1">
      <w:start w:val="1"/>
      <w:numFmt w:val="lowerLetter"/>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abstractNum w:abstractNumId="6">
    <w:nsid w:val="1C4E0EB2"/>
    <w:multiLevelType w:val="hybridMultilevel"/>
    <w:tmpl w:val="E17E3DC8"/>
    <w:lvl w:ilvl="0">
      <w:start w:val="1"/>
      <w:numFmt w:val="decimal"/>
      <w:lvlText w:val="%1."/>
      <w:lvlJc w:val="left"/>
      <w:pPr>
        <w:ind w:left="420" w:hanging="42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7">
    <w:nsid w:val="1CAF2778"/>
    <w:multiLevelType w:val="hybridMultilevel"/>
    <w:tmpl w:val="C8C823A2"/>
    <w:lvl w:ilvl="0">
      <w:start w:val="1"/>
      <w:numFmt w:val="upperLetter"/>
      <w:lvlText w:val="%1)"/>
      <w:lvlJc w:val="left"/>
      <w:pPr>
        <w:ind w:left="840" w:hanging="420"/>
      </w:pPr>
      <w:rPr>
        <w:rFonts w:hint="default"/>
      </w:rPr>
    </w:lvl>
    <w:lvl w:ilvl="1" w:tentative="1">
      <w:start w:val="1"/>
      <w:numFmt w:val="lowerLetter"/>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abstractNum w:abstractNumId="8">
    <w:nsid w:val="244F2626"/>
    <w:multiLevelType w:val="hybridMultilevel"/>
    <w:tmpl w:val="E01E5D04"/>
    <w:lvl w:ilvl="0">
      <w:start w:val="1"/>
      <w:numFmt w:val="upperLetter"/>
      <w:lvlText w:val="%1)"/>
      <w:lvlJc w:val="left"/>
      <w:pPr>
        <w:ind w:left="720" w:hanging="360"/>
      </w:pPr>
      <w:rPr>
        <w:rFonts w:hint="default"/>
      </w:rPr>
    </w:lvl>
    <w:lvl w:ilvl="1" w:tentative="1">
      <w:start w:val="1"/>
      <w:numFmt w:val="lowerLetter"/>
      <w:lvlText w:val="%2)"/>
      <w:lvlJc w:val="left"/>
      <w:pPr>
        <w:ind w:left="1200" w:hanging="420"/>
      </w:pPr>
    </w:lvl>
    <w:lvl w:ilvl="2" w:tentative="1">
      <w:start w:val="1"/>
      <w:numFmt w:val="lowerRoman"/>
      <w:lvlText w:val="%3."/>
      <w:lvlJc w:val="right"/>
      <w:pPr>
        <w:ind w:left="1620" w:hanging="420"/>
      </w:pPr>
    </w:lvl>
    <w:lvl w:ilvl="3" w:tentative="1">
      <w:start w:val="1"/>
      <w:numFmt w:val="decimal"/>
      <w:lvlText w:val="%4."/>
      <w:lvlJc w:val="left"/>
      <w:pPr>
        <w:ind w:left="2040" w:hanging="420"/>
      </w:pPr>
    </w:lvl>
    <w:lvl w:ilvl="4" w:tentative="1">
      <w:start w:val="1"/>
      <w:numFmt w:val="lowerLetter"/>
      <w:lvlText w:val="%5)"/>
      <w:lvlJc w:val="left"/>
      <w:pPr>
        <w:ind w:left="2460" w:hanging="420"/>
      </w:pPr>
    </w:lvl>
    <w:lvl w:ilvl="5" w:tentative="1">
      <w:start w:val="1"/>
      <w:numFmt w:val="lowerRoman"/>
      <w:lvlText w:val="%6."/>
      <w:lvlJc w:val="right"/>
      <w:pPr>
        <w:ind w:left="2880" w:hanging="420"/>
      </w:pPr>
    </w:lvl>
    <w:lvl w:ilvl="6" w:tentative="1">
      <w:start w:val="1"/>
      <w:numFmt w:val="decimal"/>
      <w:lvlText w:val="%7."/>
      <w:lvlJc w:val="left"/>
      <w:pPr>
        <w:ind w:left="3300" w:hanging="420"/>
      </w:pPr>
    </w:lvl>
    <w:lvl w:ilvl="7" w:tentative="1">
      <w:start w:val="1"/>
      <w:numFmt w:val="lowerLetter"/>
      <w:lvlText w:val="%8)"/>
      <w:lvlJc w:val="left"/>
      <w:pPr>
        <w:ind w:left="3720" w:hanging="420"/>
      </w:pPr>
    </w:lvl>
    <w:lvl w:ilvl="8" w:tentative="1">
      <w:start w:val="1"/>
      <w:numFmt w:val="lowerRoman"/>
      <w:lvlText w:val="%9."/>
      <w:lvlJc w:val="right"/>
      <w:pPr>
        <w:ind w:left="4140" w:hanging="420"/>
      </w:pPr>
    </w:lvl>
  </w:abstractNum>
  <w:abstractNum w:abstractNumId="9">
    <w:nsid w:val="29F0082D"/>
    <w:multiLevelType w:val="hybridMultilevel"/>
    <w:tmpl w:val="8C74AD46"/>
    <w:lvl w:ilvl="0">
      <w:start w:val="1"/>
      <w:numFmt w:val="upperLetter"/>
      <w:lvlText w:val="%1)"/>
      <w:lvlJc w:val="left"/>
      <w:pPr>
        <w:ind w:left="717" w:hanging="360"/>
      </w:pPr>
      <w:rPr>
        <w:rFonts w:hint="default"/>
      </w:rPr>
    </w:lvl>
    <w:lvl w:ilvl="1" w:tentative="1">
      <w:start w:val="1"/>
      <w:numFmt w:val="lowerLetter"/>
      <w:lvlText w:val="%2."/>
      <w:lvlJc w:val="left"/>
      <w:pPr>
        <w:ind w:left="1437" w:hanging="360"/>
      </w:pPr>
    </w:lvl>
    <w:lvl w:ilvl="2" w:tentative="1">
      <w:start w:val="1"/>
      <w:numFmt w:val="lowerRoman"/>
      <w:lvlText w:val="%3."/>
      <w:lvlJc w:val="right"/>
      <w:pPr>
        <w:ind w:left="2157" w:hanging="180"/>
      </w:pPr>
    </w:lvl>
    <w:lvl w:ilvl="3" w:tentative="1">
      <w:start w:val="1"/>
      <w:numFmt w:val="decimal"/>
      <w:lvlText w:val="%4."/>
      <w:lvlJc w:val="left"/>
      <w:pPr>
        <w:ind w:left="2877" w:hanging="360"/>
      </w:pPr>
    </w:lvl>
    <w:lvl w:ilvl="4" w:tentative="1">
      <w:start w:val="1"/>
      <w:numFmt w:val="lowerLetter"/>
      <w:lvlText w:val="%5."/>
      <w:lvlJc w:val="left"/>
      <w:pPr>
        <w:ind w:left="3597" w:hanging="360"/>
      </w:pPr>
    </w:lvl>
    <w:lvl w:ilvl="5" w:tentative="1">
      <w:start w:val="1"/>
      <w:numFmt w:val="lowerRoman"/>
      <w:lvlText w:val="%6."/>
      <w:lvlJc w:val="right"/>
      <w:pPr>
        <w:ind w:left="4317" w:hanging="180"/>
      </w:pPr>
    </w:lvl>
    <w:lvl w:ilvl="6" w:tentative="1">
      <w:start w:val="1"/>
      <w:numFmt w:val="decimal"/>
      <w:lvlText w:val="%7."/>
      <w:lvlJc w:val="left"/>
      <w:pPr>
        <w:ind w:left="5037" w:hanging="360"/>
      </w:pPr>
    </w:lvl>
    <w:lvl w:ilvl="7" w:tentative="1">
      <w:start w:val="1"/>
      <w:numFmt w:val="lowerLetter"/>
      <w:lvlText w:val="%8."/>
      <w:lvlJc w:val="left"/>
      <w:pPr>
        <w:ind w:left="5757" w:hanging="360"/>
      </w:pPr>
    </w:lvl>
    <w:lvl w:ilvl="8" w:tentative="1">
      <w:start w:val="1"/>
      <w:numFmt w:val="lowerRoman"/>
      <w:lvlText w:val="%9."/>
      <w:lvlJc w:val="right"/>
      <w:pPr>
        <w:ind w:left="6477" w:hanging="180"/>
      </w:pPr>
    </w:lvl>
  </w:abstractNum>
  <w:abstractNum w:abstractNumId="10">
    <w:nsid w:val="29F13B1E"/>
    <w:multiLevelType w:val="hybridMultilevel"/>
    <w:tmpl w:val="470A9780"/>
    <w:lvl w:ilvl="0">
      <w:start w:val="1"/>
      <w:numFmt w:val="upperLetter"/>
      <w:lvlText w:val="%1)"/>
      <w:lvlJc w:val="left"/>
      <w:pPr>
        <w:ind w:left="840" w:hanging="420"/>
      </w:pPr>
      <w:rPr>
        <w:rFonts w:hint="default"/>
      </w:rPr>
    </w:lvl>
    <w:lvl w:ilvl="1">
      <w:start w:val="1"/>
      <w:numFmt w:val="lowerLetter"/>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abstractNum w:abstractNumId="11">
    <w:nsid w:val="3CE71C68"/>
    <w:multiLevelType w:val="hybridMultilevel"/>
    <w:tmpl w:val="1272FD4E"/>
    <w:lvl w:ilvl="0">
      <w:start w:val="1"/>
      <w:numFmt w:val="upperLetter"/>
      <w:lvlText w:val="%1)"/>
      <w:lvlJc w:val="left"/>
      <w:pPr>
        <w:ind w:left="840" w:hanging="420"/>
      </w:pPr>
      <w:rPr>
        <w:rFonts w:hint="default"/>
      </w:rPr>
    </w:lvl>
    <w:lvl w:ilvl="1" w:tentative="1">
      <w:start w:val="1"/>
      <w:numFmt w:val="lowerLetter"/>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abstractNum w:abstractNumId="12">
    <w:nsid w:val="3E404E42"/>
    <w:multiLevelType w:val="hybridMultilevel"/>
    <w:tmpl w:val="21FC1F82"/>
    <w:lvl w:ilvl="0">
      <w:start w:val="1"/>
      <w:numFmt w:val="decimal"/>
      <w:lvlText w:val="%1."/>
      <w:lvlJc w:val="left"/>
      <w:pPr>
        <w:ind w:left="420" w:hanging="420"/>
      </w:pPr>
    </w:lvl>
    <w:lvl w:ilvl="1">
      <w:start w:val="1"/>
      <w:numFmt w:val="upperLetter"/>
      <w:lvlText w:val="%2)"/>
      <w:lvlJc w:val="left"/>
      <w:pPr>
        <w:ind w:left="840" w:hanging="420"/>
      </w:pPr>
      <w:rPr>
        <w:rFonts w:hint="default"/>
      </w:r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3">
    <w:nsid w:val="45620C60"/>
    <w:multiLevelType w:val="hybridMultilevel"/>
    <w:tmpl w:val="CFD6D294"/>
    <w:lvl w:ilvl="0">
      <w:start w:val="1"/>
      <w:numFmt w:val="upperLetter"/>
      <w:lvlText w:val="%1)"/>
      <w:lvlJc w:val="left"/>
      <w:pPr>
        <w:ind w:left="840" w:hanging="420"/>
      </w:pPr>
      <w:rPr>
        <w:rFonts w:hint="default"/>
      </w:rPr>
    </w:lvl>
    <w:lvl w:ilvl="1" w:tentative="1">
      <w:start w:val="1"/>
      <w:numFmt w:val="lowerLetter"/>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abstractNum w:abstractNumId="14">
    <w:nsid w:val="46CB1E3F"/>
    <w:multiLevelType w:val="hybridMultilevel"/>
    <w:tmpl w:val="2B280B1A"/>
    <w:lvl w:ilvl="0">
      <w:start w:val="1"/>
      <w:numFmt w:val="upperLetter"/>
      <w:lvlText w:val="%1)"/>
      <w:lvlJc w:val="left"/>
      <w:pPr>
        <w:ind w:left="840" w:hanging="420"/>
      </w:pPr>
      <w:rPr>
        <w:rFonts w:hint="default"/>
      </w:rPr>
    </w:lvl>
    <w:lvl w:ilvl="1">
      <w:start w:val="1"/>
      <w:numFmt w:val="lowerLetter"/>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abstractNum w:abstractNumId="15">
    <w:nsid w:val="48AE6D74"/>
    <w:multiLevelType w:val="hybridMultilevel"/>
    <w:tmpl w:val="8EE2DD0C"/>
    <w:lvl w:ilvl="0">
      <w:start w:val="1"/>
      <w:numFmt w:val="upperLetter"/>
      <w:lvlText w:val="%1)"/>
      <w:lvlJc w:val="left"/>
      <w:pPr>
        <w:ind w:left="717" w:hanging="360"/>
      </w:pPr>
      <w:rPr>
        <w:rFonts w:hint="default"/>
      </w:rPr>
    </w:lvl>
    <w:lvl w:ilvl="1" w:tentative="1">
      <w:start w:val="1"/>
      <w:numFmt w:val="lowerLetter"/>
      <w:lvlText w:val="%2."/>
      <w:lvlJc w:val="left"/>
      <w:pPr>
        <w:ind w:left="1437" w:hanging="360"/>
      </w:pPr>
    </w:lvl>
    <w:lvl w:ilvl="2" w:tentative="1">
      <w:start w:val="1"/>
      <w:numFmt w:val="lowerRoman"/>
      <w:lvlText w:val="%3."/>
      <w:lvlJc w:val="right"/>
      <w:pPr>
        <w:ind w:left="2157" w:hanging="180"/>
      </w:pPr>
    </w:lvl>
    <w:lvl w:ilvl="3" w:tentative="1">
      <w:start w:val="1"/>
      <w:numFmt w:val="decimal"/>
      <w:lvlText w:val="%4."/>
      <w:lvlJc w:val="left"/>
      <w:pPr>
        <w:ind w:left="2877" w:hanging="360"/>
      </w:pPr>
    </w:lvl>
    <w:lvl w:ilvl="4" w:tentative="1">
      <w:start w:val="1"/>
      <w:numFmt w:val="lowerLetter"/>
      <w:lvlText w:val="%5."/>
      <w:lvlJc w:val="left"/>
      <w:pPr>
        <w:ind w:left="3597" w:hanging="360"/>
      </w:pPr>
    </w:lvl>
    <w:lvl w:ilvl="5" w:tentative="1">
      <w:start w:val="1"/>
      <w:numFmt w:val="lowerRoman"/>
      <w:lvlText w:val="%6."/>
      <w:lvlJc w:val="right"/>
      <w:pPr>
        <w:ind w:left="4317" w:hanging="180"/>
      </w:pPr>
    </w:lvl>
    <w:lvl w:ilvl="6" w:tentative="1">
      <w:start w:val="1"/>
      <w:numFmt w:val="decimal"/>
      <w:lvlText w:val="%7."/>
      <w:lvlJc w:val="left"/>
      <w:pPr>
        <w:ind w:left="5037" w:hanging="360"/>
      </w:pPr>
    </w:lvl>
    <w:lvl w:ilvl="7" w:tentative="1">
      <w:start w:val="1"/>
      <w:numFmt w:val="lowerLetter"/>
      <w:lvlText w:val="%8."/>
      <w:lvlJc w:val="left"/>
      <w:pPr>
        <w:ind w:left="5757" w:hanging="360"/>
      </w:pPr>
    </w:lvl>
    <w:lvl w:ilvl="8" w:tentative="1">
      <w:start w:val="1"/>
      <w:numFmt w:val="lowerRoman"/>
      <w:lvlText w:val="%9."/>
      <w:lvlJc w:val="right"/>
      <w:pPr>
        <w:ind w:left="6477" w:hanging="180"/>
      </w:pPr>
    </w:lvl>
  </w:abstractNum>
  <w:abstractNum w:abstractNumId="16">
    <w:nsid w:val="4B5B300C"/>
    <w:multiLevelType w:val="hybridMultilevel"/>
    <w:tmpl w:val="F62EEE12"/>
    <w:lvl w:ilvl="0">
      <w:start w:val="1"/>
      <w:numFmt w:val="upperLetter"/>
      <w:lvlText w:val="%1)"/>
      <w:lvlJc w:val="left"/>
      <w:pPr>
        <w:ind w:left="840" w:hanging="420"/>
      </w:pPr>
      <w:rPr>
        <w:rFonts w:hint="default"/>
      </w:rPr>
    </w:lvl>
    <w:lvl w:ilvl="1">
      <w:start w:val="1"/>
      <w:numFmt w:val="lowerLetter"/>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abstractNum w:abstractNumId="17">
    <w:nsid w:val="50477467"/>
    <w:multiLevelType w:val="hybridMultilevel"/>
    <w:tmpl w:val="B0FC4348"/>
    <w:lvl w:ilvl="0">
      <w:start w:val="1"/>
      <w:numFmt w:val="japaneseCounting"/>
      <w:lvlText w:val="%1．"/>
      <w:lvlJc w:val="left"/>
      <w:pPr>
        <w:ind w:left="720" w:hanging="72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8">
    <w:nsid w:val="56B773A3"/>
    <w:multiLevelType w:val="hybridMultilevel"/>
    <w:tmpl w:val="7DA6B73E"/>
    <w:lvl w:ilvl="0">
      <w:start w:val="1"/>
      <w:numFmt w:val="upperLetter"/>
      <w:lvlText w:val="%1)"/>
      <w:lvlJc w:val="left"/>
      <w:pPr>
        <w:ind w:left="-225" w:hanging="360"/>
      </w:pPr>
      <w:rPr>
        <w:rFonts w:hint="default"/>
      </w:rPr>
    </w:lvl>
    <w:lvl w:ilvl="1" w:tentative="1">
      <w:start w:val="1"/>
      <w:numFmt w:val="lowerLetter"/>
      <w:lvlText w:val="%2)"/>
      <w:lvlJc w:val="left"/>
      <w:pPr>
        <w:ind w:left="255" w:hanging="420"/>
      </w:pPr>
    </w:lvl>
    <w:lvl w:ilvl="2" w:tentative="1">
      <w:start w:val="1"/>
      <w:numFmt w:val="lowerRoman"/>
      <w:lvlText w:val="%3."/>
      <w:lvlJc w:val="right"/>
      <w:pPr>
        <w:ind w:left="675" w:hanging="420"/>
      </w:pPr>
    </w:lvl>
    <w:lvl w:ilvl="3" w:tentative="1">
      <w:start w:val="1"/>
      <w:numFmt w:val="decimal"/>
      <w:lvlText w:val="%4."/>
      <w:lvlJc w:val="left"/>
      <w:pPr>
        <w:ind w:left="1095" w:hanging="420"/>
      </w:pPr>
    </w:lvl>
    <w:lvl w:ilvl="4" w:tentative="1">
      <w:start w:val="1"/>
      <w:numFmt w:val="lowerLetter"/>
      <w:lvlText w:val="%5)"/>
      <w:lvlJc w:val="left"/>
      <w:pPr>
        <w:ind w:left="1515" w:hanging="420"/>
      </w:pPr>
    </w:lvl>
    <w:lvl w:ilvl="5" w:tentative="1">
      <w:start w:val="1"/>
      <w:numFmt w:val="lowerRoman"/>
      <w:lvlText w:val="%6."/>
      <w:lvlJc w:val="right"/>
      <w:pPr>
        <w:ind w:left="1935" w:hanging="420"/>
      </w:pPr>
    </w:lvl>
    <w:lvl w:ilvl="6" w:tentative="1">
      <w:start w:val="1"/>
      <w:numFmt w:val="decimal"/>
      <w:lvlText w:val="%7."/>
      <w:lvlJc w:val="left"/>
      <w:pPr>
        <w:ind w:left="2355" w:hanging="420"/>
      </w:pPr>
    </w:lvl>
    <w:lvl w:ilvl="7" w:tentative="1">
      <w:start w:val="1"/>
      <w:numFmt w:val="lowerLetter"/>
      <w:lvlText w:val="%8)"/>
      <w:lvlJc w:val="left"/>
      <w:pPr>
        <w:ind w:left="2775" w:hanging="420"/>
      </w:pPr>
    </w:lvl>
    <w:lvl w:ilvl="8" w:tentative="1">
      <w:start w:val="1"/>
      <w:numFmt w:val="lowerRoman"/>
      <w:lvlText w:val="%9."/>
      <w:lvlJc w:val="right"/>
      <w:pPr>
        <w:ind w:left="3195" w:hanging="420"/>
      </w:pPr>
    </w:lvl>
  </w:abstractNum>
  <w:abstractNum w:abstractNumId="19">
    <w:nsid w:val="614B4C5A"/>
    <w:multiLevelType w:val="hybridMultilevel"/>
    <w:tmpl w:val="D3667370"/>
    <w:lvl w:ilvl="0">
      <w:start w:val="1"/>
      <w:numFmt w:val="upperLetter"/>
      <w:lvlText w:val="%1)"/>
      <w:lvlJc w:val="left"/>
      <w:pPr>
        <w:ind w:left="840" w:hanging="420"/>
      </w:pPr>
      <w:rPr>
        <w:rFonts w:hint="default"/>
      </w:rPr>
    </w:lvl>
    <w:lvl w:ilvl="1">
      <w:start w:val="1"/>
      <w:numFmt w:val="lowerLetter"/>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abstractNum w:abstractNumId="20">
    <w:nsid w:val="69506332"/>
    <w:multiLevelType w:val="hybridMultilevel"/>
    <w:tmpl w:val="5EB23778"/>
    <w:lvl w:ilvl="0">
      <w:start w:val="1"/>
      <w:numFmt w:val="upperLetter"/>
      <w:lvlText w:val="%1)"/>
      <w:lvlJc w:val="left"/>
      <w:pPr>
        <w:ind w:left="840" w:hanging="420"/>
      </w:pPr>
      <w:rPr>
        <w:rFonts w:hint="default"/>
      </w:rPr>
    </w:lvl>
    <w:lvl w:ilvl="1">
      <w:start w:val="1"/>
      <w:numFmt w:val="lowerLetter"/>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abstractNum w:abstractNumId="21">
    <w:nsid w:val="6DA46D6B"/>
    <w:multiLevelType w:val="hybridMultilevel"/>
    <w:tmpl w:val="EAE05C8A"/>
    <w:lvl w:ilvl="0">
      <w:start w:val="1"/>
      <w:numFmt w:val="decimal"/>
      <w:lvlText w:val="%1."/>
      <w:lvlJc w:val="left"/>
      <w:pPr>
        <w:ind w:left="420" w:hanging="420"/>
      </w:pPr>
    </w:lvl>
    <w:lvl w:ilvl="1">
      <w:start w:val="1"/>
      <w:numFmt w:val="upperLetter"/>
      <w:lvlText w:val="%2)"/>
      <w:lvlJc w:val="left"/>
      <w:pPr>
        <w:ind w:left="840" w:hanging="420"/>
      </w:pPr>
      <w:rPr>
        <w:rFonts w:hint="default"/>
      </w:r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2">
    <w:nsid w:val="6DBE4F4F"/>
    <w:multiLevelType w:val="hybridMultilevel"/>
    <w:tmpl w:val="C6123874"/>
    <w:lvl w:ilvl="0">
      <w:start w:val="1"/>
      <w:numFmt w:val="decimal"/>
      <w:lvlText w:val="%1."/>
      <w:lvlJc w:val="left"/>
      <w:pPr>
        <w:ind w:left="1080" w:hanging="360"/>
      </w:pPr>
      <w:rPr>
        <w:rFonts w:hint="default"/>
      </w:rPr>
    </w:lvl>
    <w:lvl w:ilvl="1" w:tentative="1">
      <w:start w:val="1"/>
      <w:numFmt w:val="lowerLetter"/>
      <w:lvlText w:val="%2)"/>
      <w:lvlJc w:val="left"/>
      <w:pPr>
        <w:ind w:left="1560" w:hanging="420"/>
      </w:pPr>
    </w:lvl>
    <w:lvl w:ilvl="2" w:tentative="1">
      <w:start w:val="1"/>
      <w:numFmt w:val="lowerRoman"/>
      <w:lvlText w:val="%3."/>
      <w:lvlJc w:val="right"/>
      <w:pPr>
        <w:ind w:left="1980" w:hanging="420"/>
      </w:pPr>
    </w:lvl>
    <w:lvl w:ilvl="3" w:tentative="1">
      <w:start w:val="1"/>
      <w:numFmt w:val="decimal"/>
      <w:lvlText w:val="%4."/>
      <w:lvlJc w:val="left"/>
      <w:pPr>
        <w:ind w:left="2400" w:hanging="420"/>
      </w:pPr>
    </w:lvl>
    <w:lvl w:ilvl="4" w:tentative="1">
      <w:start w:val="1"/>
      <w:numFmt w:val="lowerLetter"/>
      <w:lvlText w:val="%5)"/>
      <w:lvlJc w:val="left"/>
      <w:pPr>
        <w:ind w:left="2820" w:hanging="420"/>
      </w:pPr>
    </w:lvl>
    <w:lvl w:ilvl="5" w:tentative="1">
      <w:start w:val="1"/>
      <w:numFmt w:val="lowerRoman"/>
      <w:lvlText w:val="%6."/>
      <w:lvlJc w:val="right"/>
      <w:pPr>
        <w:ind w:left="3240" w:hanging="420"/>
      </w:pPr>
    </w:lvl>
    <w:lvl w:ilvl="6" w:tentative="1">
      <w:start w:val="1"/>
      <w:numFmt w:val="decimal"/>
      <w:lvlText w:val="%7."/>
      <w:lvlJc w:val="left"/>
      <w:pPr>
        <w:ind w:left="3660" w:hanging="420"/>
      </w:pPr>
    </w:lvl>
    <w:lvl w:ilvl="7" w:tentative="1">
      <w:start w:val="1"/>
      <w:numFmt w:val="lowerLetter"/>
      <w:lvlText w:val="%8)"/>
      <w:lvlJc w:val="left"/>
      <w:pPr>
        <w:ind w:left="4080" w:hanging="420"/>
      </w:pPr>
    </w:lvl>
    <w:lvl w:ilvl="8" w:tentative="1">
      <w:start w:val="1"/>
      <w:numFmt w:val="lowerRoman"/>
      <w:lvlText w:val="%9."/>
      <w:lvlJc w:val="right"/>
      <w:pPr>
        <w:ind w:left="4500" w:hanging="420"/>
      </w:pPr>
    </w:lvl>
  </w:abstractNum>
  <w:abstractNum w:abstractNumId="23">
    <w:nsid w:val="6EAF0DB0"/>
    <w:multiLevelType w:val="hybridMultilevel"/>
    <w:tmpl w:val="A3F800C0"/>
    <w:lvl w:ilvl="0">
      <w:start w:val="1"/>
      <w:numFmt w:val="decimal"/>
      <w:lvlText w:val="%1."/>
      <w:lvlJc w:val="left"/>
      <w:pPr>
        <w:ind w:left="420" w:hanging="420"/>
      </w:p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4">
    <w:nsid w:val="72C41317"/>
    <w:multiLevelType w:val="hybridMultilevel"/>
    <w:tmpl w:val="FE0E17B6"/>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25">
    <w:nsid w:val="736833D6"/>
    <w:multiLevelType w:val="hybridMultilevel"/>
    <w:tmpl w:val="D2C8CA40"/>
    <w:lvl w:ilvl="0">
      <w:start w:val="1"/>
      <w:numFmt w:val="upperLetter"/>
      <w:lvlText w:val="%1)"/>
      <w:lvlJc w:val="left"/>
      <w:pPr>
        <w:ind w:left="840" w:hanging="420"/>
      </w:pPr>
      <w:rPr>
        <w:rFonts w:hint="default"/>
      </w:rPr>
    </w:lvl>
    <w:lvl w:ilvl="1">
      <w:start w:val="1"/>
      <w:numFmt w:val="lowerLetter"/>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abstractNum w:abstractNumId="26">
    <w:nsid w:val="75B45112"/>
    <w:multiLevelType w:val="hybridMultilevel"/>
    <w:tmpl w:val="B11E5434"/>
    <w:lvl w:ilvl="0">
      <w:start w:val="1"/>
      <w:numFmt w:val="decimal"/>
      <w:lvlText w:val="%1."/>
      <w:lvlJc w:val="left"/>
      <w:pPr>
        <w:ind w:left="420" w:hanging="420"/>
      </w:pPr>
    </w:lvl>
    <w:lvl w:ilvl="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7">
    <w:nsid w:val="7875681E"/>
    <w:multiLevelType w:val="hybridMultilevel"/>
    <w:tmpl w:val="22CC3B0C"/>
    <w:lvl w:ilvl="0">
      <w:start w:val="1"/>
      <w:numFmt w:val="upperLetter"/>
      <w:lvlText w:val="%1)"/>
      <w:lvlJc w:val="left"/>
      <w:pPr>
        <w:ind w:left="840" w:hanging="420"/>
      </w:pPr>
      <w:rPr>
        <w:rFonts w:hint="default"/>
      </w:rPr>
    </w:lvl>
    <w:lvl w:ilvl="1" w:tentative="1">
      <w:start w:val="1"/>
      <w:numFmt w:val="lowerLetter"/>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abstractNum w:abstractNumId="28">
    <w:nsid w:val="7C9A6EF3"/>
    <w:multiLevelType w:val="hybridMultilevel"/>
    <w:tmpl w:val="7904F024"/>
    <w:lvl w:ilvl="0">
      <w:start w:val="1"/>
      <w:numFmt w:val="upperLetter"/>
      <w:lvlText w:val="%1)"/>
      <w:lvlJc w:val="left"/>
      <w:pPr>
        <w:ind w:left="840" w:hanging="420"/>
      </w:pPr>
      <w:rPr>
        <w:rFonts w:hint="default"/>
      </w:rPr>
    </w:lvl>
    <w:lvl w:ilvl="1" w:tentative="1">
      <w:start w:val="1"/>
      <w:numFmt w:val="lowerLetter"/>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num w:numId="1" w16cid:durableId="1237017193">
    <w:abstractNumId w:val="1"/>
  </w:num>
  <w:num w:numId="2" w16cid:durableId="1990674642">
    <w:abstractNumId w:val="17"/>
  </w:num>
  <w:num w:numId="3" w16cid:durableId="398552210">
    <w:abstractNumId w:val="18"/>
  </w:num>
  <w:num w:numId="4" w16cid:durableId="1633290822">
    <w:abstractNumId w:val="26"/>
  </w:num>
  <w:num w:numId="5" w16cid:durableId="464809240">
    <w:abstractNumId w:val="8"/>
  </w:num>
  <w:num w:numId="6" w16cid:durableId="48386365">
    <w:abstractNumId w:val="0"/>
  </w:num>
  <w:num w:numId="7" w16cid:durableId="1956789373">
    <w:abstractNumId w:val="22"/>
  </w:num>
  <w:num w:numId="8" w16cid:durableId="1678193480">
    <w:abstractNumId w:val="6"/>
  </w:num>
  <w:num w:numId="9" w16cid:durableId="23555093">
    <w:abstractNumId w:val="23"/>
  </w:num>
  <w:num w:numId="10" w16cid:durableId="775633407">
    <w:abstractNumId w:val="9"/>
  </w:num>
  <w:num w:numId="11" w16cid:durableId="316342430">
    <w:abstractNumId w:val="7"/>
  </w:num>
  <w:num w:numId="12" w16cid:durableId="505828143">
    <w:abstractNumId w:val="11"/>
  </w:num>
  <w:num w:numId="13" w16cid:durableId="978615114">
    <w:abstractNumId w:val="27"/>
  </w:num>
  <w:num w:numId="14" w16cid:durableId="1703552593">
    <w:abstractNumId w:val="12"/>
  </w:num>
  <w:num w:numId="15" w16cid:durableId="2005467824">
    <w:abstractNumId w:val="16"/>
  </w:num>
  <w:num w:numId="16" w16cid:durableId="521211827">
    <w:abstractNumId w:val="20"/>
  </w:num>
  <w:num w:numId="17" w16cid:durableId="440682958">
    <w:abstractNumId w:val="4"/>
  </w:num>
  <w:num w:numId="18" w16cid:durableId="1216700490">
    <w:abstractNumId w:val="14"/>
  </w:num>
  <w:num w:numId="19" w16cid:durableId="1347900645">
    <w:abstractNumId w:val="15"/>
  </w:num>
  <w:num w:numId="20" w16cid:durableId="1342470147">
    <w:abstractNumId w:val="3"/>
  </w:num>
  <w:num w:numId="21" w16cid:durableId="1635599725">
    <w:abstractNumId w:val="2"/>
  </w:num>
  <w:num w:numId="22" w16cid:durableId="1495797416">
    <w:abstractNumId w:val="28"/>
  </w:num>
  <w:num w:numId="23" w16cid:durableId="925069389">
    <w:abstractNumId w:val="13"/>
  </w:num>
  <w:num w:numId="24" w16cid:durableId="10957594">
    <w:abstractNumId w:val="21"/>
  </w:num>
  <w:num w:numId="25" w16cid:durableId="1139030762">
    <w:abstractNumId w:val="25"/>
  </w:num>
  <w:num w:numId="26" w16cid:durableId="261230349">
    <w:abstractNumId w:val="10"/>
  </w:num>
  <w:num w:numId="27" w16cid:durableId="1980649658">
    <w:abstractNumId w:val="19"/>
  </w:num>
  <w:num w:numId="28" w16cid:durableId="2053528581">
    <w:abstractNumId w:val="5"/>
  </w:num>
  <w:num w:numId="29" w16cid:durableId="1272780156">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0DB8"/>
    <w:rsid w:val="00007296"/>
    <w:rsid w:val="00022984"/>
    <w:rsid w:val="000352AA"/>
    <w:rsid w:val="0004095D"/>
    <w:rsid w:val="00044F9C"/>
    <w:rsid w:val="00046117"/>
    <w:rsid w:val="000553BA"/>
    <w:rsid w:val="00055762"/>
    <w:rsid w:val="0009343E"/>
    <w:rsid w:val="000B5421"/>
    <w:rsid w:val="000D3613"/>
    <w:rsid w:val="000F504C"/>
    <w:rsid w:val="0010736A"/>
    <w:rsid w:val="0011261D"/>
    <w:rsid w:val="00122761"/>
    <w:rsid w:val="00125553"/>
    <w:rsid w:val="00143C51"/>
    <w:rsid w:val="00145D7C"/>
    <w:rsid w:val="00147778"/>
    <w:rsid w:val="00157D87"/>
    <w:rsid w:val="00157F4C"/>
    <w:rsid w:val="00167DA2"/>
    <w:rsid w:val="00184BE5"/>
    <w:rsid w:val="00193E76"/>
    <w:rsid w:val="001A19AB"/>
    <w:rsid w:val="001B0CEC"/>
    <w:rsid w:val="001B150B"/>
    <w:rsid w:val="001C4FD4"/>
    <w:rsid w:val="001C5B85"/>
    <w:rsid w:val="001D5875"/>
    <w:rsid w:val="0021111D"/>
    <w:rsid w:val="00216F1F"/>
    <w:rsid w:val="002236F9"/>
    <w:rsid w:val="00227E37"/>
    <w:rsid w:val="00232CDB"/>
    <w:rsid w:val="00234902"/>
    <w:rsid w:val="00234AAF"/>
    <w:rsid w:val="00237B02"/>
    <w:rsid w:val="00250606"/>
    <w:rsid w:val="00260D6E"/>
    <w:rsid w:val="00267B5D"/>
    <w:rsid w:val="002A6CED"/>
    <w:rsid w:val="002B0666"/>
    <w:rsid w:val="002B100D"/>
    <w:rsid w:val="002F1864"/>
    <w:rsid w:val="003064C9"/>
    <w:rsid w:val="00312E8D"/>
    <w:rsid w:val="00314A71"/>
    <w:rsid w:val="00316A17"/>
    <w:rsid w:val="00325E7B"/>
    <w:rsid w:val="00326919"/>
    <w:rsid w:val="003303AF"/>
    <w:rsid w:val="00354481"/>
    <w:rsid w:val="003640F1"/>
    <w:rsid w:val="003704AD"/>
    <w:rsid w:val="00373E79"/>
    <w:rsid w:val="00375E57"/>
    <w:rsid w:val="00384ABB"/>
    <w:rsid w:val="00385950"/>
    <w:rsid w:val="00390954"/>
    <w:rsid w:val="003C6C85"/>
    <w:rsid w:val="003C7C42"/>
    <w:rsid w:val="003D6BB3"/>
    <w:rsid w:val="003E3D4C"/>
    <w:rsid w:val="003F000F"/>
    <w:rsid w:val="003F2834"/>
    <w:rsid w:val="003F7C1D"/>
    <w:rsid w:val="004410A7"/>
    <w:rsid w:val="0044229E"/>
    <w:rsid w:val="00453DE0"/>
    <w:rsid w:val="00454405"/>
    <w:rsid w:val="00462A95"/>
    <w:rsid w:val="00464014"/>
    <w:rsid w:val="00472DF8"/>
    <w:rsid w:val="00473891"/>
    <w:rsid w:val="004845B8"/>
    <w:rsid w:val="00490230"/>
    <w:rsid w:val="004A0E8D"/>
    <w:rsid w:val="004B0EF8"/>
    <w:rsid w:val="004C270A"/>
    <w:rsid w:val="004C3D1C"/>
    <w:rsid w:val="004C7D87"/>
    <w:rsid w:val="004D6506"/>
    <w:rsid w:val="004F69AC"/>
    <w:rsid w:val="00501115"/>
    <w:rsid w:val="00505907"/>
    <w:rsid w:val="005123C7"/>
    <w:rsid w:val="00513A70"/>
    <w:rsid w:val="0051522B"/>
    <w:rsid w:val="00520D5C"/>
    <w:rsid w:val="00544A7F"/>
    <w:rsid w:val="00560AD8"/>
    <w:rsid w:val="00571177"/>
    <w:rsid w:val="005A7BA3"/>
    <w:rsid w:val="005C0E01"/>
    <w:rsid w:val="005D003E"/>
    <w:rsid w:val="005D0B95"/>
    <w:rsid w:val="005D54AB"/>
    <w:rsid w:val="005D6335"/>
    <w:rsid w:val="005D643F"/>
    <w:rsid w:val="005D6700"/>
    <w:rsid w:val="005E497E"/>
    <w:rsid w:val="006309C2"/>
    <w:rsid w:val="00660722"/>
    <w:rsid w:val="00662A50"/>
    <w:rsid w:val="006711F4"/>
    <w:rsid w:val="00684D34"/>
    <w:rsid w:val="006A3950"/>
    <w:rsid w:val="006C632C"/>
    <w:rsid w:val="006D176B"/>
    <w:rsid w:val="00720C6A"/>
    <w:rsid w:val="00721340"/>
    <w:rsid w:val="00722E3E"/>
    <w:rsid w:val="00752901"/>
    <w:rsid w:val="0076249E"/>
    <w:rsid w:val="0077637A"/>
    <w:rsid w:val="00787565"/>
    <w:rsid w:val="007951A6"/>
    <w:rsid w:val="00796241"/>
    <w:rsid w:val="007B1F7D"/>
    <w:rsid w:val="007B4444"/>
    <w:rsid w:val="00815785"/>
    <w:rsid w:val="00825F29"/>
    <w:rsid w:val="008279EE"/>
    <w:rsid w:val="00835844"/>
    <w:rsid w:val="00850C00"/>
    <w:rsid w:val="008544B3"/>
    <w:rsid w:val="008759C4"/>
    <w:rsid w:val="008A6CEB"/>
    <w:rsid w:val="008B7176"/>
    <w:rsid w:val="008C2F17"/>
    <w:rsid w:val="008C4268"/>
    <w:rsid w:val="008E4B3F"/>
    <w:rsid w:val="00907042"/>
    <w:rsid w:val="0093489E"/>
    <w:rsid w:val="00951B38"/>
    <w:rsid w:val="0095276C"/>
    <w:rsid w:val="00955958"/>
    <w:rsid w:val="009748F9"/>
    <w:rsid w:val="00986465"/>
    <w:rsid w:val="009A78AA"/>
    <w:rsid w:val="009C436C"/>
    <w:rsid w:val="009C5862"/>
    <w:rsid w:val="009C7FDD"/>
    <w:rsid w:val="009E699C"/>
    <w:rsid w:val="00A0324B"/>
    <w:rsid w:val="00A05F1B"/>
    <w:rsid w:val="00A16AAA"/>
    <w:rsid w:val="00A22DC9"/>
    <w:rsid w:val="00A26DBE"/>
    <w:rsid w:val="00A349D3"/>
    <w:rsid w:val="00A40599"/>
    <w:rsid w:val="00A54C88"/>
    <w:rsid w:val="00A57FAC"/>
    <w:rsid w:val="00A71DF8"/>
    <w:rsid w:val="00A8677D"/>
    <w:rsid w:val="00A900F2"/>
    <w:rsid w:val="00AD2E26"/>
    <w:rsid w:val="00AD4302"/>
    <w:rsid w:val="00AE43B2"/>
    <w:rsid w:val="00AF66A2"/>
    <w:rsid w:val="00B05324"/>
    <w:rsid w:val="00B07887"/>
    <w:rsid w:val="00B14ADE"/>
    <w:rsid w:val="00B32B63"/>
    <w:rsid w:val="00B33799"/>
    <w:rsid w:val="00B367C9"/>
    <w:rsid w:val="00B418A4"/>
    <w:rsid w:val="00B60604"/>
    <w:rsid w:val="00B60719"/>
    <w:rsid w:val="00B6073E"/>
    <w:rsid w:val="00B6668C"/>
    <w:rsid w:val="00B7707C"/>
    <w:rsid w:val="00B80DEA"/>
    <w:rsid w:val="00B873FE"/>
    <w:rsid w:val="00B95272"/>
    <w:rsid w:val="00B976CC"/>
    <w:rsid w:val="00BA7BDF"/>
    <w:rsid w:val="00BB12B4"/>
    <w:rsid w:val="00BC26C6"/>
    <w:rsid w:val="00BD2569"/>
    <w:rsid w:val="00BD59F0"/>
    <w:rsid w:val="00BD6A29"/>
    <w:rsid w:val="00BE064D"/>
    <w:rsid w:val="00BE767E"/>
    <w:rsid w:val="00BF3F78"/>
    <w:rsid w:val="00C14F51"/>
    <w:rsid w:val="00C153BE"/>
    <w:rsid w:val="00C34403"/>
    <w:rsid w:val="00C34D7B"/>
    <w:rsid w:val="00C4301B"/>
    <w:rsid w:val="00C457B3"/>
    <w:rsid w:val="00C51FCB"/>
    <w:rsid w:val="00C56C52"/>
    <w:rsid w:val="00C67D58"/>
    <w:rsid w:val="00C81D9F"/>
    <w:rsid w:val="00C87894"/>
    <w:rsid w:val="00C92839"/>
    <w:rsid w:val="00C93FEB"/>
    <w:rsid w:val="00C943F4"/>
    <w:rsid w:val="00CA061C"/>
    <w:rsid w:val="00CA0C7F"/>
    <w:rsid w:val="00CA2ED2"/>
    <w:rsid w:val="00CD0BD1"/>
    <w:rsid w:val="00D11ABE"/>
    <w:rsid w:val="00D42043"/>
    <w:rsid w:val="00D45622"/>
    <w:rsid w:val="00D70CE9"/>
    <w:rsid w:val="00D74E7F"/>
    <w:rsid w:val="00DB73A8"/>
    <w:rsid w:val="00DF7F63"/>
    <w:rsid w:val="00E00DB8"/>
    <w:rsid w:val="00E12508"/>
    <w:rsid w:val="00E25C7C"/>
    <w:rsid w:val="00E318C8"/>
    <w:rsid w:val="00E33B41"/>
    <w:rsid w:val="00E457C7"/>
    <w:rsid w:val="00E5645D"/>
    <w:rsid w:val="00E6381E"/>
    <w:rsid w:val="00E76D88"/>
    <w:rsid w:val="00E85CA0"/>
    <w:rsid w:val="00E924D9"/>
    <w:rsid w:val="00E93F4E"/>
    <w:rsid w:val="00EA5B94"/>
    <w:rsid w:val="00EB14D1"/>
    <w:rsid w:val="00EC0A6F"/>
    <w:rsid w:val="00EC5F4B"/>
    <w:rsid w:val="00EE4700"/>
    <w:rsid w:val="00F04210"/>
    <w:rsid w:val="00F30C90"/>
    <w:rsid w:val="00F32540"/>
    <w:rsid w:val="00F365EB"/>
    <w:rsid w:val="00F40752"/>
    <w:rsid w:val="00F500CE"/>
    <w:rsid w:val="00F64908"/>
    <w:rsid w:val="00F6531F"/>
    <w:rsid w:val="00F7033B"/>
    <w:rsid w:val="00F74547"/>
    <w:rsid w:val="00F825CF"/>
    <w:rsid w:val="00F927C1"/>
    <w:rsid w:val="00F93560"/>
    <w:rsid w:val="00FA0256"/>
    <w:rsid w:val="00FA2859"/>
    <w:rsid w:val="00FB38A3"/>
    <w:rsid w:val="00FD09EB"/>
    <w:rsid w:val="00FD7583"/>
    <w:rsid w:val="00FE3DF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766DA72"/>
  <w15:chartTrackingRefBased/>
  <w15:docId w15:val="{28740C0A-1AC4-4B4B-A010-739BD4C49B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F66A2"/>
    <w:pPr>
      <w:widowControl w:val="0"/>
      <w:jc w:val="both"/>
    </w:pPr>
  </w:style>
  <w:style w:type="paragraph" w:styleId="Heading1">
    <w:name w:val="heading 1"/>
    <w:basedOn w:val="Normal"/>
    <w:next w:val="Normal"/>
    <w:link w:val="1"/>
    <w:uiPriority w:val="9"/>
    <w:qFormat/>
    <w:rsid w:val="00AF66A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373E79"/>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373E79"/>
    <w:pPr>
      <w:keepNext/>
      <w:keepLines/>
      <w:spacing w:before="260" w:after="260" w:line="416" w:lineRule="auto"/>
      <w:outlineLvl w:val="2"/>
    </w:pPr>
    <w:rPr>
      <w:b/>
      <w:bCs/>
      <w:sz w:val="32"/>
      <w:szCs w:val="32"/>
    </w:rPr>
  </w:style>
  <w:style w:type="paragraph" w:styleId="Heading4">
    <w:name w:val="heading 4"/>
    <w:basedOn w:val="Normal"/>
    <w:next w:val="Normal"/>
    <w:link w:val="4"/>
    <w:uiPriority w:val="9"/>
    <w:unhideWhenUsed/>
    <w:qFormat/>
    <w:rsid w:val="00A22DC9"/>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AF66A2"/>
    <w:rPr>
      <w:color w:val="808080"/>
    </w:rPr>
  </w:style>
  <w:style w:type="character" w:customStyle="1" w:styleId="1">
    <w:name w:val="标题 1 字符"/>
    <w:basedOn w:val="DefaultParagraphFont"/>
    <w:link w:val="Heading1"/>
    <w:uiPriority w:val="9"/>
    <w:rsid w:val="00AF66A2"/>
    <w:rPr>
      <w:b/>
      <w:bCs/>
      <w:kern w:val="44"/>
      <w:sz w:val="44"/>
      <w:szCs w:val="44"/>
    </w:rPr>
  </w:style>
  <w:style w:type="paragraph" w:styleId="TOCHeading">
    <w:name w:val="TOC Heading"/>
    <w:basedOn w:val="Heading1"/>
    <w:next w:val="Normal"/>
    <w:uiPriority w:val="39"/>
    <w:unhideWhenUsed/>
    <w:qFormat/>
    <w:rsid w:val="00AF66A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table" w:styleId="TableGrid">
    <w:name w:val="Table Grid"/>
    <w:basedOn w:val="TableNormal"/>
    <w:uiPriority w:val="39"/>
    <w:rsid w:val="00AD2E2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C2F17"/>
    <w:pPr>
      <w:ind w:firstLine="420" w:firstLineChars="200"/>
    </w:pPr>
  </w:style>
  <w:style w:type="paragraph" w:styleId="Header">
    <w:name w:val="header"/>
    <w:basedOn w:val="Normal"/>
    <w:link w:val="a"/>
    <w:uiPriority w:val="99"/>
    <w:unhideWhenUsed/>
    <w:rsid w:val="00B05324"/>
    <w:pPr>
      <w:tabs>
        <w:tab w:val="center" w:pos="4680"/>
        <w:tab w:val="right" w:pos="9360"/>
      </w:tabs>
    </w:pPr>
  </w:style>
  <w:style w:type="character" w:customStyle="1" w:styleId="a">
    <w:name w:val="页眉 字符"/>
    <w:basedOn w:val="DefaultParagraphFont"/>
    <w:link w:val="Header"/>
    <w:uiPriority w:val="99"/>
    <w:rsid w:val="00B05324"/>
  </w:style>
  <w:style w:type="paragraph" w:styleId="Footer">
    <w:name w:val="footer"/>
    <w:basedOn w:val="Normal"/>
    <w:link w:val="a0"/>
    <w:uiPriority w:val="99"/>
    <w:unhideWhenUsed/>
    <w:rsid w:val="00B05324"/>
    <w:pPr>
      <w:tabs>
        <w:tab w:val="center" w:pos="4680"/>
        <w:tab w:val="right" w:pos="9360"/>
      </w:tabs>
    </w:pPr>
  </w:style>
  <w:style w:type="character" w:customStyle="1" w:styleId="a0">
    <w:name w:val="页脚 字符"/>
    <w:basedOn w:val="DefaultParagraphFont"/>
    <w:link w:val="Footer"/>
    <w:uiPriority w:val="99"/>
    <w:rsid w:val="00B05324"/>
  </w:style>
  <w:style w:type="paragraph" w:styleId="Subtitle">
    <w:name w:val="Subtitle"/>
    <w:basedOn w:val="Normal"/>
    <w:next w:val="Normal"/>
    <w:link w:val="a1"/>
    <w:uiPriority w:val="11"/>
    <w:qFormat/>
    <w:rsid w:val="00373E79"/>
    <w:pPr>
      <w:spacing w:before="240" w:after="60" w:line="312" w:lineRule="auto"/>
      <w:jc w:val="center"/>
      <w:outlineLvl w:val="1"/>
    </w:pPr>
    <w:rPr>
      <w:b/>
      <w:bCs/>
      <w:kern w:val="28"/>
      <w:sz w:val="32"/>
      <w:szCs w:val="32"/>
    </w:rPr>
  </w:style>
  <w:style w:type="character" w:customStyle="1" w:styleId="a1">
    <w:name w:val="副标题 字符"/>
    <w:basedOn w:val="DefaultParagraphFont"/>
    <w:link w:val="Subtitle"/>
    <w:uiPriority w:val="11"/>
    <w:rsid w:val="00373E79"/>
    <w:rPr>
      <w:b/>
      <w:bCs/>
      <w:kern w:val="28"/>
      <w:sz w:val="32"/>
      <w:szCs w:val="32"/>
    </w:rPr>
  </w:style>
  <w:style w:type="character" w:customStyle="1" w:styleId="2">
    <w:name w:val="标题 2 字符"/>
    <w:basedOn w:val="DefaultParagraphFont"/>
    <w:link w:val="Heading2"/>
    <w:uiPriority w:val="9"/>
    <w:rsid w:val="00373E79"/>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373E79"/>
    <w:rPr>
      <w:b/>
      <w:bCs/>
      <w:sz w:val="32"/>
      <w:szCs w:val="32"/>
    </w:rPr>
  </w:style>
  <w:style w:type="character" w:customStyle="1" w:styleId="4">
    <w:name w:val="标题 4 字符"/>
    <w:basedOn w:val="DefaultParagraphFont"/>
    <w:link w:val="Heading4"/>
    <w:uiPriority w:val="9"/>
    <w:rsid w:val="00A22DC9"/>
    <w:rPr>
      <w:rFonts w:asciiTheme="majorHAnsi" w:eastAsiaTheme="majorEastAsia" w:hAnsiTheme="majorHAnsi" w:cstheme="majorBidi"/>
      <w:b/>
      <w:bCs/>
      <w:sz w:val="28"/>
      <w:szCs w:val="28"/>
    </w:rPr>
  </w:style>
  <w:style w:type="paragraph" w:styleId="NoSpacing">
    <w:name w:val="No Spacing"/>
    <w:link w:val="a2"/>
    <w:uiPriority w:val="1"/>
    <w:qFormat/>
    <w:rsid w:val="007951A6"/>
    <w:rPr>
      <w:kern w:val="0"/>
      <w:sz w:val="22"/>
    </w:rPr>
  </w:style>
  <w:style w:type="character" w:customStyle="1" w:styleId="a2">
    <w:name w:val="无间隔 字符"/>
    <w:basedOn w:val="DefaultParagraphFont"/>
    <w:link w:val="NoSpacing"/>
    <w:uiPriority w:val="1"/>
    <w:rsid w:val="007951A6"/>
    <w:rPr>
      <w:kern w:val="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5.xml" /><Relationship Id="rId11" Type="http://schemas.openxmlformats.org/officeDocument/2006/relationships/footer" Target="footer2.xml" /><Relationship Id="rId12" Type="http://schemas.openxmlformats.org/officeDocument/2006/relationships/header" Target="header6.xml" /><Relationship Id="rId13" Type="http://schemas.openxmlformats.org/officeDocument/2006/relationships/header" Target="header7.xml" /><Relationship Id="rId14" Type="http://schemas.openxmlformats.org/officeDocument/2006/relationships/header" Target="header8.xml" /><Relationship Id="rId15" Type="http://schemas.openxmlformats.org/officeDocument/2006/relationships/footer" Target="footer3.xml" /><Relationship Id="rId16" Type="http://schemas.openxmlformats.org/officeDocument/2006/relationships/header" Target="header9.xml" /><Relationship Id="rId17" Type="http://schemas.openxmlformats.org/officeDocument/2006/relationships/header" Target="header10.xml" /><Relationship Id="rId18" Type="http://schemas.openxmlformats.org/officeDocument/2006/relationships/header" Target="header11.xml" /><Relationship Id="rId19" Type="http://schemas.openxmlformats.org/officeDocument/2006/relationships/footer" Target="footer4.xml" /><Relationship Id="rId2" Type="http://schemas.openxmlformats.org/officeDocument/2006/relationships/webSettings" Target="webSettings.xml" /><Relationship Id="rId20" Type="http://schemas.openxmlformats.org/officeDocument/2006/relationships/header" Target="header12.xml" /><Relationship Id="rId21" Type="http://schemas.openxmlformats.org/officeDocument/2006/relationships/header" Target="header13.xml" /><Relationship Id="rId22" Type="http://schemas.openxmlformats.org/officeDocument/2006/relationships/header" Target="header14.xml" /><Relationship Id="rId23" Type="http://schemas.openxmlformats.org/officeDocument/2006/relationships/footer" Target="footer5.xml" /><Relationship Id="rId24" Type="http://schemas.openxmlformats.org/officeDocument/2006/relationships/header" Target="header15.xml" /><Relationship Id="rId25" Type="http://schemas.openxmlformats.org/officeDocument/2006/relationships/header" Target="header16.xml" /><Relationship Id="rId26" Type="http://schemas.openxmlformats.org/officeDocument/2006/relationships/header" Target="header17.xml" /><Relationship Id="rId27" Type="http://schemas.openxmlformats.org/officeDocument/2006/relationships/footer" Target="footer6.xml" /><Relationship Id="rId28" Type="http://schemas.openxmlformats.org/officeDocument/2006/relationships/header" Target="header18.xml" /><Relationship Id="rId29" Type="http://schemas.openxmlformats.org/officeDocument/2006/relationships/header" Target="header19.xml" /><Relationship Id="rId3" Type="http://schemas.openxmlformats.org/officeDocument/2006/relationships/fontTable" Target="fontTable.xml" /><Relationship Id="rId30" Type="http://schemas.openxmlformats.org/officeDocument/2006/relationships/header" Target="header20.xml" /><Relationship Id="rId31" Type="http://schemas.openxmlformats.org/officeDocument/2006/relationships/footer" Target="footer7.xml" /><Relationship Id="rId32" Type="http://schemas.openxmlformats.org/officeDocument/2006/relationships/header" Target="header21.xml" /><Relationship Id="rId33" Type="http://schemas.openxmlformats.org/officeDocument/2006/relationships/header" Target="header22.xml" /><Relationship Id="rId34" Type="http://schemas.openxmlformats.org/officeDocument/2006/relationships/header" Target="header23.xml" /><Relationship Id="rId35" Type="http://schemas.openxmlformats.org/officeDocument/2006/relationships/footer" Target="footer8.xml" /><Relationship Id="rId36" Type="http://schemas.openxmlformats.org/officeDocument/2006/relationships/header" Target="header24.xml" /><Relationship Id="rId37" Type="http://schemas.openxmlformats.org/officeDocument/2006/relationships/header" Target="header25.xml" /><Relationship Id="rId38" Type="http://schemas.openxmlformats.org/officeDocument/2006/relationships/header" Target="header26.xml" /><Relationship Id="rId39" Type="http://schemas.openxmlformats.org/officeDocument/2006/relationships/footer" Target="footer9.xml" /><Relationship Id="rId4" Type="http://schemas.openxmlformats.org/officeDocument/2006/relationships/image" Target="media/image1.png" /><Relationship Id="rId40" Type="http://schemas.openxmlformats.org/officeDocument/2006/relationships/header" Target="header27.xml" /><Relationship Id="rId41" Type="http://schemas.openxmlformats.org/officeDocument/2006/relationships/header" Target="header28.xml" /><Relationship Id="rId42" Type="http://schemas.openxmlformats.org/officeDocument/2006/relationships/header" Target="header29.xml" /><Relationship Id="rId43" Type="http://schemas.openxmlformats.org/officeDocument/2006/relationships/footer" Target="footer10.xml" /><Relationship Id="rId44" Type="http://schemas.openxmlformats.org/officeDocument/2006/relationships/header" Target="header30.xml" /><Relationship Id="rId45" Type="http://schemas.openxmlformats.org/officeDocument/2006/relationships/header" Target="header31.xml" /><Relationship Id="rId46" Type="http://schemas.openxmlformats.org/officeDocument/2006/relationships/header" Target="header32.xml" /><Relationship Id="rId47" Type="http://schemas.openxmlformats.org/officeDocument/2006/relationships/footer" Target="footer11.xml" /><Relationship Id="rId48" Type="http://schemas.openxmlformats.org/officeDocument/2006/relationships/header" Target="header33.xml" /><Relationship Id="rId49" Type="http://schemas.openxmlformats.org/officeDocument/2006/relationships/header" Target="header34.xml" /><Relationship Id="rId5" Type="http://schemas.openxmlformats.org/officeDocument/2006/relationships/header" Target="header1.xml" /><Relationship Id="rId50" Type="http://schemas.openxmlformats.org/officeDocument/2006/relationships/header" Target="header35.xml" /><Relationship Id="rId51" Type="http://schemas.openxmlformats.org/officeDocument/2006/relationships/footer" Target="footer12.xml" /><Relationship Id="rId52" Type="http://schemas.openxmlformats.org/officeDocument/2006/relationships/header" Target="header36.xml" /><Relationship Id="rId53" Type="http://schemas.openxmlformats.org/officeDocument/2006/relationships/header" Target="header37.xml" /><Relationship Id="rId54" Type="http://schemas.openxmlformats.org/officeDocument/2006/relationships/header" Target="header38.xml" /><Relationship Id="rId55" Type="http://schemas.openxmlformats.org/officeDocument/2006/relationships/footer" Target="footer13.xml" /><Relationship Id="rId56" Type="http://schemas.openxmlformats.org/officeDocument/2006/relationships/header" Target="header39.xml" /><Relationship Id="rId57" Type="http://schemas.openxmlformats.org/officeDocument/2006/relationships/header" Target="header40.xml" /><Relationship Id="rId58" Type="http://schemas.openxmlformats.org/officeDocument/2006/relationships/header" Target="header41.xml" /><Relationship Id="rId59" Type="http://schemas.openxmlformats.org/officeDocument/2006/relationships/footer" Target="footer14.xml" /><Relationship Id="rId6" Type="http://schemas.openxmlformats.org/officeDocument/2006/relationships/header" Target="header2.xml" /><Relationship Id="rId60" Type="http://schemas.openxmlformats.org/officeDocument/2006/relationships/header" Target="header42.xml" /><Relationship Id="rId61" Type="http://schemas.openxmlformats.org/officeDocument/2006/relationships/header" Target="header43.xml" /><Relationship Id="rId62" Type="http://schemas.openxmlformats.org/officeDocument/2006/relationships/header" Target="header44.xml" /><Relationship Id="rId63" Type="http://schemas.openxmlformats.org/officeDocument/2006/relationships/footer" Target="footer15.xml" /><Relationship Id="rId64" Type="http://schemas.openxmlformats.org/officeDocument/2006/relationships/header" Target="header45.xml" /><Relationship Id="rId65" Type="http://schemas.openxmlformats.org/officeDocument/2006/relationships/hyperlink" Target="https://d.book118.com/666105122233010030" TargetMode="External" /><Relationship Id="rId66" Type="http://schemas.openxmlformats.org/officeDocument/2006/relationships/header" Target="header46.xml" /><Relationship Id="rId67" Type="http://schemas.openxmlformats.org/officeDocument/2006/relationships/header" Target="header47.xml" /><Relationship Id="rId68" Type="http://schemas.openxmlformats.org/officeDocument/2006/relationships/footer" Target="footer16.xml" /><Relationship Id="rId69" Type="http://schemas.openxmlformats.org/officeDocument/2006/relationships/header" Target="header48.xml" /><Relationship Id="rId7" Type="http://schemas.openxmlformats.org/officeDocument/2006/relationships/footer" Target="footer1.xml" /><Relationship Id="rId70" Type="http://schemas.openxmlformats.org/officeDocument/2006/relationships/theme" Target="theme/theme1.xml" /><Relationship Id="rId71" Type="http://schemas.openxmlformats.org/officeDocument/2006/relationships/numbering" Target="numbering.xml" /><Relationship Id="rId72" Type="http://schemas.openxmlformats.org/officeDocument/2006/relationships/styles" Target="styles.xml" /><Relationship Id="rId8" Type="http://schemas.openxmlformats.org/officeDocument/2006/relationships/header" Target="header3.xml" /><Relationship Id="rId9" Type="http://schemas.openxmlformats.org/officeDocument/2006/relationships/header" Target="head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452</TotalTime>
  <Pages>16</Pages>
  <Words>292</Words>
  <Characters>1665</Characters>
  <Application>Microsoft Office Word</Application>
  <DocSecurity>0</DocSecurity>
  <Lines>13</Lines>
  <Paragraphs>3</Paragraphs>
  <ScaleCrop>false</ScaleCrop>
  <Company/>
  <LinksUpToDate>false</LinksUpToDate>
  <CharactersWithSpaces>1954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高 峰</cp:lastModifiedBy>
  <cp:revision>161</cp:revision>
  <dcterms:created xsi:type="dcterms:W3CDTF">2021-03-09T15:13:00Z</dcterms:created>
  <dcterms:modified xsi:type="dcterms:W3CDTF">2022-11-08T13:46:00Z</dcterms:modified>
</cp:coreProperties>
</file>