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Title"/>
      </w:pPr>
      <w:r>
        <w:rPr>
          <w:color w:val="70AD47"/>
          <w:spacing w:val="-1"/>
        </w:rPr>
        <w:t>立体微阵列酶标仪设计与应用</w:t>
      </w: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spacing w:before="11"/>
        <w:rPr>
          <w:rFonts w:ascii="Microsoft JhengHei"/>
          <w:b/>
          <w:sz w:val="11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3313176</wp:posOffset>
            </wp:positionH>
            <wp:positionV relativeFrom="paragraph">
              <wp:posOffset>151156</wp:posOffset>
            </wp:positionV>
            <wp:extent cx="935516" cy="398145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5516" cy="398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7"/>
        <w:rPr>
          <w:rFonts w:ascii="Microsoft JhengHei"/>
          <w:b/>
          <w:sz w:val="14"/>
        </w:rPr>
      </w:pPr>
    </w:p>
    <w:sdt>
      <w:sdtPr>
        <w:id w:val="40350990"/>
        <w:docPartObj>
          <w:docPartGallery w:val="Table of Contents"/>
          <w:docPartUnique/>
        </w:docPartObj>
      </w:sdtPr>
      <w:sdtContent>
        <w:p>
          <w:pPr>
            <w:pStyle w:val="TOC1"/>
            <w:tabs>
              <w:tab w:val="left" w:pos="1589"/>
              <w:tab w:val="right" w:leader="dot" w:pos="8415"/>
            </w:tabs>
            <w:spacing w:before="71"/>
            <w:rPr>
              <w:rFonts w:ascii="Calibri" w:eastAsia="Calibri"/>
              <w:i w:val="0"/>
            </w:rPr>
          </w:pPr>
          <w:hyperlink w:anchor="_bookmark0" w:history="1">
            <w:r>
              <w:t>第一部</w:t>
            </w:r>
            <w:r>
              <w:rPr>
                <w:spacing w:val="-10"/>
              </w:rPr>
              <w:t>分</w:t>
            </w:r>
            <w:r>
              <w:tab/>
              <w:t>立体微阵列酶标仪概念与原</w:t>
            </w:r>
            <w:r>
              <w:rPr>
                <w:spacing w:val="-10"/>
              </w:rPr>
              <w:t>理</w:t>
            </w:r>
            <w:r>
              <w:rPr>
                <w:rFonts w:ascii="Times New Roman" w:eastAsia="Times New Roman"/>
                <w:i w:val="0"/>
              </w:rPr>
              <w:tab/>
            </w:r>
            <w:r>
              <w:rPr>
                <w:rFonts w:ascii="Calibri" w:eastAsia="Calibri"/>
                <w:i w:val="0"/>
                <w:spacing w:val="-10"/>
              </w:rPr>
              <w:t>2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  <w:i w:val="0"/>
            </w:rPr>
          </w:pPr>
          <w:hyperlink w:anchor="_TOC_250008" w:history="1">
            <w:r>
              <w:t>第二部</w:t>
            </w:r>
            <w:r>
              <w:rPr>
                <w:spacing w:val="-10"/>
              </w:rPr>
              <w:t>分</w:t>
            </w:r>
            <w:r>
              <w:tab/>
              <w:t>设计要素分</w:t>
            </w:r>
            <w:r>
              <w:rPr>
                <w:spacing w:val="-10"/>
              </w:rPr>
              <w:t>析</w:t>
            </w:r>
            <w:r>
              <w:rPr>
                <w:rFonts w:ascii="Times New Roman" w:eastAsia="Times New Roman"/>
                <w:i w:val="0"/>
              </w:rPr>
              <w:tab/>
            </w:r>
            <w:r>
              <w:rPr>
                <w:rFonts w:ascii="Calibri" w:eastAsia="Calibri"/>
                <w:i w:val="0"/>
                <w:spacing w:val="-10"/>
              </w:rPr>
              <w:t>4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  <w:i w:val="0"/>
            </w:rPr>
          </w:pPr>
          <w:hyperlink w:anchor="_TOC_250007" w:history="1">
            <w:r>
              <w:t>第三部</w:t>
            </w:r>
            <w:r>
              <w:rPr>
                <w:spacing w:val="-10"/>
              </w:rPr>
              <w:t>分</w:t>
            </w:r>
            <w:r>
              <w:tab/>
              <w:t>技术特点综</w:t>
            </w:r>
            <w:r>
              <w:rPr>
                <w:spacing w:val="-10"/>
              </w:rPr>
              <w:t>述</w:t>
            </w:r>
            <w:r>
              <w:rPr>
                <w:rFonts w:ascii="Times New Roman" w:eastAsia="Times New Roman"/>
                <w:i w:val="0"/>
              </w:rPr>
              <w:tab/>
            </w:r>
            <w:r>
              <w:rPr>
                <w:rFonts w:ascii="Calibri" w:eastAsia="Calibri"/>
                <w:i w:val="0"/>
                <w:spacing w:val="-10"/>
              </w:rPr>
              <w:t>6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  <w:i w:val="0"/>
            </w:rPr>
          </w:pPr>
          <w:hyperlink w:anchor="_TOC_250006" w:history="1">
            <w:r>
              <w:t>第四部</w:t>
            </w:r>
            <w:r>
              <w:rPr>
                <w:spacing w:val="-10"/>
              </w:rPr>
              <w:t>分</w:t>
            </w:r>
            <w:r>
              <w:tab/>
              <w:t>应用场景解</w:t>
            </w:r>
            <w:r>
              <w:rPr>
                <w:spacing w:val="-10"/>
              </w:rPr>
              <w:t>析</w:t>
            </w:r>
            <w:r>
              <w:rPr>
                <w:rFonts w:ascii="Times New Roman" w:eastAsia="Times New Roman"/>
                <w:i w:val="0"/>
              </w:rPr>
              <w:tab/>
            </w:r>
            <w:r>
              <w:rPr>
                <w:rFonts w:ascii="Calibri" w:eastAsia="Calibri"/>
                <w:i w:val="0"/>
                <w:spacing w:val="-10"/>
              </w:rPr>
              <w:t>8</w:t>
            </w:r>
          </w:hyperlink>
        </w:p>
        <w:p>
          <w:pPr>
            <w:pStyle w:val="TOC2"/>
            <w:tabs>
              <w:tab w:val="left" w:pos="1589"/>
              <w:tab w:val="right" w:leader="dot" w:pos="8415"/>
            </w:tabs>
            <w:rPr>
              <w:rFonts w:ascii="Calibri" w:eastAsia="Calibri"/>
              <w:b w:val="0"/>
              <w:i w:val="0"/>
              <w:sz w:val="21"/>
            </w:rPr>
          </w:pPr>
          <w:hyperlink w:anchor="_TOC_250005" w:history="1">
            <w:r>
              <w:rPr>
                <w:b w:val="0"/>
                <w:sz w:val="21"/>
              </w:rPr>
              <w:t>第五部</w:t>
            </w:r>
            <w:r>
              <w:rPr>
                <w:b w:val="0"/>
                <w:spacing w:val="-10"/>
                <w:sz w:val="21"/>
              </w:rPr>
              <w:t>分</w:t>
            </w:r>
            <w:r>
              <w:rPr>
                <w:b w:val="0"/>
                <w:sz w:val="21"/>
              </w:rPr>
              <w:tab/>
              <w:t>仪器结构设</w:t>
            </w:r>
            <w:r>
              <w:rPr>
                <w:b w:val="0"/>
                <w:spacing w:val="-10"/>
                <w:sz w:val="21"/>
              </w:rPr>
              <w:t>计</w:t>
            </w:r>
            <w:r>
              <w:rPr>
                <w:rFonts w:ascii="Times New Roman" w:eastAsia="Times New Roman"/>
                <w:b w:val="0"/>
                <w:i w:val="0"/>
                <w:sz w:val="21"/>
              </w:rPr>
              <w:tab/>
            </w:r>
            <w:r>
              <w:rPr>
                <w:rFonts w:ascii="Calibri" w:eastAsia="Calibri"/>
                <w:b w:val="0"/>
                <w:i w:val="0"/>
                <w:spacing w:val="-5"/>
                <w:sz w:val="21"/>
              </w:rPr>
              <w:t>10</w:t>
            </w:r>
          </w:hyperlink>
        </w:p>
        <w:p>
          <w:pPr>
            <w:pStyle w:val="TOC2"/>
            <w:tabs>
              <w:tab w:val="left" w:pos="1589"/>
              <w:tab w:val="right" w:leader="dot" w:pos="8415"/>
            </w:tabs>
            <w:rPr>
              <w:rFonts w:ascii="Calibri" w:eastAsia="Calibri"/>
              <w:b w:val="0"/>
              <w:i w:val="0"/>
              <w:sz w:val="21"/>
            </w:rPr>
          </w:pPr>
          <w:hyperlink w:anchor="_TOC_250004" w:history="1">
            <w:r>
              <w:rPr>
                <w:b w:val="0"/>
                <w:sz w:val="21"/>
              </w:rPr>
              <w:t>第六部</w:t>
            </w:r>
            <w:r>
              <w:rPr>
                <w:b w:val="0"/>
                <w:spacing w:val="-10"/>
                <w:sz w:val="21"/>
              </w:rPr>
              <w:t>分</w:t>
            </w:r>
            <w:r>
              <w:rPr>
                <w:b w:val="0"/>
                <w:sz w:val="21"/>
              </w:rPr>
              <w:tab/>
              <w:t>分析性能评</w:t>
            </w:r>
            <w:r>
              <w:rPr>
                <w:b w:val="0"/>
                <w:spacing w:val="-10"/>
                <w:sz w:val="21"/>
              </w:rPr>
              <w:t>估</w:t>
            </w:r>
            <w:r>
              <w:rPr>
                <w:rFonts w:ascii="Times New Roman" w:eastAsia="Times New Roman"/>
                <w:b w:val="0"/>
                <w:i w:val="0"/>
                <w:sz w:val="21"/>
              </w:rPr>
              <w:tab/>
            </w:r>
            <w:r>
              <w:rPr>
                <w:rFonts w:ascii="Calibri" w:eastAsia="Calibri"/>
                <w:b w:val="0"/>
                <w:i w:val="0"/>
                <w:spacing w:val="-5"/>
                <w:sz w:val="21"/>
              </w:rPr>
              <w:t>12</w:t>
            </w:r>
          </w:hyperlink>
        </w:p>
        <w:p>
          <w:pPr>
            <w:pStyle w:val="TOC2"/>
            <w:tabs>
              <w:tab w:val="left" w:pos="1589"/>
              <w:tab w:val="right" w:leader="dot" w:pos="8415"/>
            </w:tabs>
            <w:spacing w:before="354"/>
            <w:rPr>
              <w:rFonts w:ascii="Calibri" w:eastAsia="Calibri"/>
              <w:b w:val="0"/>
              <w:i w:val="0"/>
              <w:sz w:val="21"/>
            </w:rPr>
          </w:pPr>
          <w:hyperlink w:anchor="_TOC_250003" w:history="1">
            <w:r>
              <w:rPr>
                <w:b w:val="0"/>
                <w:sz w:val="21"/>
              </w:rPr>
              <w:t>第七部</w:t>
            </w:r>
            <w:r>
              <w:rPr>
                <w:b w:val="0"/>
                <w:spacing w:val="-10"/>
                <w:sz w:val="21"/>
              </w:rPr>
              <w:t>分</w:t>
            </w:r>
            <w:r>
              <w:rPr>
                <w:b w:val="0"/>
                <w:sz w:val="21"/>
              </w:rPr>
              <w:tab/>
              <w:t>软件系统开</w:t>
            </w:r>
            <w:r>
              <w:rPr>
                <w:b w:val="0"/>
                <w:spacing w:val="-10"/>
                <w:sz w:val="21"/>
              </w:rPr>
              <w:t>发</w:t>
            </w:r>
            <w:r>
              <w:rPr>
                <w:rFonts w:ascii="Times New Roman" w:eastAsia="Times New Roman"/>
                <w:b w:val="0"/>
                <w:i w:val="0"/>
                <w:sz w:val="21"/>
              </w:rPr>
              <w:tab/>
            </w:r>
            <w:r>
              <w:rPr>
                <w:rFonts w:ascii="Calibri" w:eastAsia="Calibri"/>
                <w:b w:val="0"/>
                <w:i w:val="0"/>
                <w:spacing w:val="-5"/>
                <w:sz w:val="21"/>
              </w:rPr>
              <w:t>14</w:t>
            </w:r>
          </w:hyperlink>
        </w:p>
        <w:p>
          <w:pPr>
            <w:pStyle w:val="TOC2"/>
            <w:tabs>
              <w:tab w:val="left" w:pos="1589"/>
              <w:tab w:val="right" w:leader="dot" w:pos="8415"/>
            </w:tabs>
            <w:rPr>
              <w:rFonts w:ascii="Calibri" w:eastAsia="Calibri"/>
              <w:b w:val="0"/>
              <w:i w:val="0"/>
              <w:sz w:val="21"/>
            </w:rPr>
          </w:pPr>
          <w:hyperlink w:anchor="_TOC_250002" w:history="1">
            <w:r>
              <w:rPr>
                <w:b w:val="0"/>
                <w:sz w:val="21"/>
              </w:rPr>
              <w:t>第八部</w:t>
            </w:r>
            <w:r>
              <w:rPr>
                <w:b w:val="0"/>
                <w:spacing w:val="-10"/>
                <w:sz w:val="21"/>
              </w:rPr>
              <w:t>分</w:t>
            </w:r>
            <w:r>
              <w:rPr>
                <w:b w:val="0"/>
                <w:sz w:val="21"/>
              </w:rPr>
              <w:tab/>
              <w:t>实验操作流</w:t>
            </w:r>
            <w:r>
              <w:rPr>
                <w:b w:val="0"/>
                <w:spacing w:val="-10"/>
                <w:sz w:val="21"/>
              </w:rPr>
              <w:t>程</w:t>
            </w:r>
            <w:r>
              <w:rPr>
                <w:rFonts w:ascii="Times New Roman" w:eastAsia="Times New Roman"/>
                <w:b w:val="0"/>
                <w:i w:val="0"/>
                <w:sz w:val="21"/>
              </w:rPr>
              <w:tab/>
            </w:r>
            <w:r>
              <w:rPr>
                <w:rFonts w:ascii="Calibri" w:eastAsia="Calibri"/>
                <w:b w:val="0"/>
                <w:i w:val="0"/>
                <w:spacing w:val="-5"/>
                <w:sz w:val="21"/>
              </w:rPr>
              <w:t>17</w:t>
            </w:r>
          </w:hyperlink>
        </w:p>
        <w:p>
          <w:pPr>
            <w:pStyle w:val="TOC2"/>
            <w:tabs>
              <w:tab w:val="left" w:pos="1589"/>
              <w:tab w:val="right" w:leader="dot" w:pos="8415"/>
            </w:tabs>
            <w:rPr>
              <w:rFonts w:ascii="Calibri" w:eastAsia="Calibri"/>
              <w:b w:val="0"/>
              <w:i w:val="0"/>
              <w:sz w:val="21"/>
            </w:rPr>
          </w:pPr>
          <w:hyperlink w:anchor="_TOC_250001" w:history="1">
            <w:r>
              <w:rPr>
                <w:b w:val="0"/>
                <w:sz w:val="21"/>
              </w:rPr>
              <w:t>第九部</w:t>
            </w:r>
            <w:r>
              <w:rPr>
                <w:b w:val="0"/>
                <w:spacing w:val="-10"/>
                <w:sz w:val="21"/>
              </w:rPr>
              <w:t>分</w:t>
            </w:r>
            <w:r>
              <w:rPr>
                <w:b w:val="0"/>
                <w:sz w:val="21"/>
              </w:rPr>
              <w:tab/>
              <w:t>应用实例研</w:t>
            </w:r>
            <w:r>
              <w:rPr>
                <w:b w:val="0"/>
                <w:spacing w:val="-10"/>
                <w:sz w:val="21"/>
              </w:rPr>
              <w:t>究</w:t>
            </w:r>
            <w:r>
              <w:rPr>
                <w:rFonts w:ascii="Times New Roman" w:eastAsia="Times New Roman"/>
                <w:b w:val="0"/>
                <w:i w:val="0"/>
                <w:sz w:val="21"/>
              </w:rPr>
              <w:tab/>
            </w:r>
            <w:r>
              <w:rPr>
                <w:rFonts w:ascii="Calibri" w:eastAsia="Calibri"/>
                <w:b w:val="0"/>
                <w:i w:val="0"/>
                <w:spacing w:val="-5"/>
                <w:sz w:val="21"/>
              </w:rPr>
              <w:t>18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Calibri" w:eastAsia="Calibri"/>
              <w:i w:val="0"/>
            </w:rPr>
          </w:pPr>
          <w:hyperlink w:anchor="_TOC_250000" w:history="1">
            <w:r>
              <w:t>第十部</w:t>
            </w:r>
            <w:r>
              <w:rPr>
                <w:spacing w:val="-10"/>
              </w:rPr>
              <w:t>分</w:t>
            </w:r>
            <w:r>
              <w:tab/>
              <w:t>发展趋势与展</w:t>
            </w:r>
            <w:r>
              <w:rPr>
                <w:spacing w:val="-10"/>
              </w:rPr>
              <w:t>望</w:t>
            </w:r>
            <w:r>
              <w:rPr>
                <w:rFonts w:ascii="Times New Roman" w:eastAsia="Times New Roman"/>
                <w:i w:val="0"/>
              </w:rPr>
              <w:tab/>
            </w:r>
            <w:r>
              <w:rPr>
                <w:rFonts w:ascii="Calibri" w:eastAsia="Calibri"/>
                <w:i w:val="0"/>
                <w:spacing w:val="-5"/>
              </w:rPr>
              <w:t>20</w:t>
            </w:r>
          </w:hyperlink>
        </w:p>
      </w:sdtContent>
    </w:sdt>
    <w:p>
      <w:pPr>
        <w:spacing w:after="0"/>
        <w:rPr>
          <w:rFonts w:ascii="Calibri" w:eastAsia="Calibri"/>
        </w:rPr>
        <w:sectPr>
          <w:footerReference w:type="default" r:id="rId5"/>
          <w:type w:val="continuous"/>
          <w:pgSz w:w="11910" w:h="16840"/>
          <w:pgMar w:top="1480" w:right="1280" w:bottom="1380" w:left="1680" w:header="0" w:footer="1195"/>
          <w:pgNumType w:start="1"/>
          <w:cols w:space="708"/>
        </w:sectPr>
      </w:pPr>
    </w:p>
    <w:p>
      <w:pPr>
        <w:pStyle w:val="Heading1"/>
        <w:tabs>
          <w:tab w:val="left" w:pos="1725"/>
        </w:tabs>
        <w:spacing w:before="0" w:line="514" w:lineRule="exact"/>
      </w:pPr>
      <w:bookmarkStart w:id="0" w:name="_bookmark0"/>
      <w:bookmarkEnd w:id="0"/>
      <w:r>
        <w:t>第</w:t>
      </w:r>
      <w:r>
        <w:t>一</w:t>
      </w:r>
      <w:r>
        <w:t>部</w:t>
      </w:r>
      <w:r>
        <w:rPr>
          <w:spacing w:val="-10"/>
        </w:rPr>
        <w:t>分</w:t>
      </w:r>
      <w:r>
        <w:tab/>
        <w:t>立</w:t>
      </w:r>
      <w:r>
        <w:t>体</w:t>
      </w:r>
      <w:r>
        <w:t>微</w:t>
      </w:r>
      <w:r>
        <w:t>阵</w:t>
      </w:r>
      <w:r>
        <w:t>列</w:t>
      </w:r>
      <w:r>
        <w:t>酶</w:t>
      </w:r>
      <w:r>
        <w:t>标</w:t>
      </w:r>
      <w:r>
        <w:t>仪</w:t>
      </w:r>
      <w:r>
        <w:t>概</w:t>
      </w:r>
      <w:r>
        <w:t>念</w:t>
      </w:r>
      <w:r>
        <w:t>与</w:t>
      </w:r>
      <w:r>
        <w:t>原</w:t>
      </w:r>
      <w:r>
        <w:rPr>
          <w:spacing w:val="-10"/>
        </w:rPr>
        <w:t>理</w:t>
      </w:r>
    </w:p>
    <w:p>
      <w:pPr>
        <w:pStyle w:val="BodyText"/>
        <w:spacing w:before="3"/>
        <w:rPr>
          <w:rFonts w:ascii="Microsoft JhengHei"/>
          <w:b/>
          <w:sz w:val="23"/>
        </w:rPr>
      </w:pPr>
    </w:p>
    <w:p>
      <w:pPr>
        <w:spacing w:before="0" w:line="417" w:lineRule="auto"/>
        <w:ind w:left="120" w:right="378" w:firstLine="560"/>
        <w:jc w:val="left"/>
        <w:rPr>
          <w:i/>
          <w:sz w:val="28"/>
        </w:rPr>
      </w:pPr>
      <w:r>
        <w:rPr>
          <w:i/>
          <w:spacing w:val="-6"/>
          <w:sz w:val="28"/>
        </w:rPr>
        <w:t>立体微阵列酶标仪是一种基于高通量生物分析技术的仪器，通过</w:t>
      </w:r>
      <w:r>
        <w:rPr>
          <w:i/>
          <w:spacing w:val="-7"/>
          <w:sz w:val="28"/>
        </w:rPr>
        <w:t>将多个样品和多种探针同时在微阵列上进行反应，实现对样本中特定</w:t>
      </w:r>
      <w:r>
        <w:rPr>
          <w:i/>
          <w:spacing w:val="-15"/>
          <w:sz w:val="28"/>
        </w:rPr>
        <w:t>分子标志物的同时检测。其设计与应用涉及到生物学、化学、物理学、</w:t>
      </w:r>
      <w:r>
        <w:rPr>
          <w:i/>
          <w:spacing w:val="-2"/>
          <w:sz w:val="28"/>
        </w:rPr>
        <w:t>计算机科学等多个学科领域的交叉与融合。</w:t>
      </w:r>
    </w:p>
    <w:p>
      <w:pPr>
        <w:pStyle w:val="BodyText"/>
        <w:rPr>
          <w:i/>
        </w:rPr>
      </w:pPr>
    </w:p>
    <w:p>
      <w:pPr>
        <w:pStyle w:val="BodyText"/>
        <w:spacing w:before="8"/>
        <w:rPr>
          <w:i/>
          <w:sz w:val="20"/>
        </w:rPr>
      </w:pPr>
    </w:p>
    <w:p>
      <w:pPr>
        <w:spacing w:before="0" w:line="417" w:lineRule="auto"/>
        <w:ind w:left="120" w:right="378" w:firstLine="0"/>
        <w:jc w:val="left"/>
        <w:rPr>
          <w:i/>
          <w:sz w:val="28"/>
        </w:rPr>
      </w:pPr>
      <w:r>
        <w:rPr>
          <w:i/>
          <w:spacing w:val="5"/>
          <w:sz w:val="28"/>
        </w:rPr>
        <w:t>立体微阵列酶标仪的核心原理是利用微阵列技术来实现多目标的同</w:t>
      </w:r>
      <w:r>
        <w:rPr>
          <w:i/>
          <w:spacing w:val="-9"/>
          <w:sz w:val="28"/>
        </w:rPr>
        <w:t>时检测。微阵列是指在一个二维平面上按照一定的排列方式分布着大</w:t>
      </w:r>
      <w:r>
        <w:rPr>
          <w:i/>
          <w:spacing w:val="-18"/>
          <w:sz w:val="28"/>
        </w:rPr>
        <w:t>量的小孔，每个小孔内可以固定一种或多种特异性探针分子，如抗体、</w:t>
      </w:r>
      <w:r>
        <w:rPr>
          <w:i/>
          <w:spacing w:val="-11"/>
          <w:sz w:val="28"/>
        </w:rPr>
        <w:t>寡核苷酸等。在反应过程中，这些探针分子能够与待测样本中的相应靶标结合，从而实现对特定分子标志物的定性或定量检测。</w:t>
      </w:r>
    </w:p>
    <w:p>
      <w:pPr>
        <w:pStyle w:val="BodyText"/>
        <w:rPr>
          <w:i/>
        </w:rPr>
      </w:pPr>
    </w:p>
    <w:p>
      <w:pPr>
        <w:pStyle w:val="BodyText"/>
        <w:spacing w:before="8"/>
        <w:rPr>
          <w:i/>
          <w:sz w:val="20"/>
        </w:rPr>
      </w:pPr>
    </w:p>
    <w:p>
      <w:pPr>
        <w:spacing w:before="0"/>
        <w:ind w:left="120" w:right="0" w:firstLine="0"/>
        <w:jc w:val="left"/>
        <w:rPr>
          <w:i/>
          <w:sz w:val="28"/>
        </w:rPr>
      </w:pPr>
      <w:r>
        <w:rPr>
          <w:i/>
          <w:spacing w:val="-1"/>
          <w:sz w:val="28"/>
        </w:rPr>
        <w:t>立体微阵列酶标仪的设计通常包括以下几个方面：</w:t>
      </w:r>
    </w:p>
    <w:p>
      <w:pPr>
        <w:pStyle w:val="BodyText"/>
        <w:rPr>
          <w:i/>
        </w:rPr>
      </w:pPr>
    </w:p>
    <w:p>
      <w:pPr>
        <w:pStyle w:val="BodyText"/>
        <w:spacing w:before="5"/>
        <w:rPr>
          <w:i/>
          <w:sz w:val="41"/>
        </w:rPr>
      </w:pPr>
    </w:p>
    <w:p>
      <w:pPr>
        <w:pStyle w:val="ListParagraph"/>
        <w:numPr>
          <w:ilvl w:val="0"/>
          <w:numId w:val="8"/>
        </w:numPr>
        <w:tabs>
          <w:tab w:val="left" w:pos="542"/>
        </w:tabs>
        <w:spacing w:before="0" w:after="0" w:line="417" w:lineRule="auto"/>
        <w:ind w:left="120" w:right="238" w:firstLine="0"/>
        <w:jc w:val="left"/>
        <w:rPr>
          <w:i/>
          <w:sz w:val="28"/>
        </w:rPr>
      </w:pPr>
      <w:r>
        <w:rPr>
          <w:i/>
          <w:spacing w:val="-2"/>
          <w:sz w:val="28"/>
        </w:rPr>
        <w:t>微阵列芯片：作为反应的主要场所，微阵列芯片的设计至关重要。目前常用的微阵列芯片主要包括硅基芯片、玻璃芯片和塑料芯片等。</w:t>
      </w:r>
      <w:r>
        <w:rPr>
          <w:i/>
          <w:spacing w:val="-2"/>
          <w:sz w:val="28"/>
        </w:rPr>
        <w:t>其中，硅基芯片由于具有较高的热稳定性、良好的表面处理能力和较</w:t>
      </w:r>
      <w:r>
        <w:rPr>
          <w:i/>
          <w:spacing w:val="-2"/>
          <w:sz w:val="28"/>
        </w:rPr>
        <w:t xml:space="preserve"> </w:t>
      </w:r>
      <w:r>
        <w:rPr>
          <w:i/>
          <w:spacing w:val="-2"/>
          <w:sz w:val="28"/>
        </w:rPr>
        <w:t>低的背景信号等特点，被广泛应用于生物分析领域。</w:t>
      </w:r>
    </w:p>
    <w:p>
      <w:pPr>
        <w:pStyle w:val="BodyText"/>
        <w:spacing w:before="3"/>
        <w:rPr>
          <w:i/>
        </w:rPr>
      </w:pPr>
    </w:p>
    <w:p>
      <w:pPr>
        <w:pStyle w:val="ListParagraph"/>
        <w:numPr>
          <w:ilvl w:val="0"/>
          <w:numId w:val="8"/>
        </w:numPr>
        <w:tabs>
          <w:tab w:val="left" w:pos="542"/>
        </w:tabs>
        <w:spacing w:before="1" w:after="0" w:line="620" w:lineRule="atLeast"/>
        <w:ind w:left="120" w:right="378" w:firstLine="0"/>
        <w:jc w:val="left"/>
        <w:rPr>
          <w:i/>
          <w:sz w:val="28"/>
        </w:rPr>
      </w:pPr>
      <w:r>
        <w:rPr>
          <w:i/>
          <w:spacing w:val="-2"/>
          <w:sz w:val="28"/>
        </w:rPr>
        <w:t>探针分子：探针分子的选择和制备也是影响立体微阵列酶标仪性</w:t>
      </w:r>
      <w:r>
        <w:rPr>
          <w:i/>
          <w:spacing w:val="-18"/>
          <w:sz w:val="28"/>
        </w:rPr>
        <w:t>能的关键因素。通常情况下，探针分子需要具有高度特异性和灵敏度，</w:t>
      </w:r>
      <w:r>
        <w:rPr>
          <w:i/>
          <w:spacing w:val="-2"/>
          <w:sz w:val="28"/>
        </w:rPr>
        <w:t>并且能够稳定地固定在微阵列芯片上。</w:t>
      </w:r>
    </w:p>
    <w:p>
      <w:pPr>
        <w:spacing w:after="0" w:line="620" w:lineRule="atLeast"/>
        <w:jc w:val="left"/>
        <w:rPr>
          <w:sz w:val="28"/>
        </w:rPr>
        <w:sectPr>
          <w:footerReference w:type="default" r:id="rId6"/>
          <w:pgSz w:w="11910" w:h="16840"/>
          <w:pgMar w:top="1500" w:right="1280" w:bottom="1380" w:left="1680" w:header="0" w:footer="1195"/>
          <w:pgNumType w:start="2"/>
          <w:cols w:space="708"/>
        </w:sectPr>
      </w:pPr>
    </w:p>
    <w:p>
      <w:pPr>
        <w:pStyle w:val="BodyText"/>
        <w:spacing w:before="8"/>
        <w:rPr>
          <w:i/>
          <w:sz w:val="15"/>
        </w:rPr>
      </w:pPr>
    </w:p>
    <w:p>
      <w:pPr>
        <w:pStyle w:val="ListParagraph"/>
        <w:numPr>
          <w:ilvl w:val="0"/>
          <w:numId w:val="8"/>
        </w:numPr>
        <w:tabs>
          <w:tab w:val="left" w:pos="542"/>
        </w:tabs>
        <w:spacing w:before="60" w:after="0" w:line="417" w:lineRule="auto"/>
        <w:ind w:left="120" w:right="244" w:firstLine="0"/>
        <w:jc w:val="left"/>
        <w:rPr>
          <w:i/>
          <w:sz w:val="28"/>
        </w:rPr>
      </w:pPr>
      <w:r>
        <w:rPr>
          <w:i/>
          <w:spacing w:val="-2"/>
          <w:sz w:val="28"/>
        </w:rPr>
        <w:t>检测系统：检测系统主要包括光学系统、信号采集系统和数据分</w:t>
      </w:r>
      <w:r>
        <w:rPr>
          <w:i/>
          <w:spacing w:val="40"/>
          <w:sz w:val="28"/>
        </w:rPr>
        <w:t xml:space="preserve"> </w:t>
      </w:r>
      <w:r>
        <w:rPr>
          <w:i/>
          <w:spacing w:val="-2"/>
          <w:sz w:val="28"/>
        </w:rPr>
        <w:t>析系统等部分。其中，光学系统用于获取微阵列上的荧光或其他类型</w:t>
      </w:r>
      <w:r>
        <w:rPr>
          <w:i/>
          <w:spacing w:val="-2"/>
          <w:sz w:val="28"/>
        </w:rPr>
        <w:t xml:space="preserve"> </w:t>
      </w:r>
      <w:r>
        <w:rPr>
          <w:i/>
          <w:spacing w:val="-2"/>
          <w:sz w:val="28"/>
        </w:rPr>
        <w:t>的信号；信号采集系统则负责将这些信号转化为电信号；最后，数据</w:t>
      </w:r>
      <w:r>
        <w:rPr>
          <w:i/>
          <w:spacing w:val="-2"/>
          <w:sz w:val="28"/>
        </w:rPr>
        <w:t xml:space="preserve"> 分析系统通过对这些电信号进行处理和分析，得出相应的检测结果。</w:t>
      </w:r>
    </w:p>
    <w:p>
      <w:pPr>
        <w:pStyle w:val="BodyText"/>
        <w:rPr>
          <w:i/>
        </w:rPr>
      </w:pPr>
    </w:p>
    <w:p>
      <w:pPr>
        <w:pStyle w:val="BodyText"/>
        <w:spacing w:before="8"/>
        <w:rPr>
          <w:i/>
          <w:sz w:val="20"/>
        </w:rPr>
      </w:pPr>
    </w:p>
    <w:p>
      <w:pPr>
        <w:spacing w:before="0"/>
        <w:ind w:left="120" w:right="0" w:firstLine="0"/>
        <w:jc w:val="left"/>
        <w:rPr>
          <w:i/>
          <w:sz w:val="28"/>
        </w:rPr>
      </w:pPr>
      <w:r>
        <w:rPr>
          <w:i/>
          <w:spacing w:val="-1"/>
          <w:sz w:val="28"/>
        </w:rPr>
        <w:t>立体微阵列酶标仪的应用非常广泛，主要集中在以下几个方面：</w:t>
      </w:r>
    </w:p>
    <w:p>
      <w:pPr>
        <w:pStyle w:val="BodyText"/>
        <w:rPr>
          <w:i/>
        </w:rPr>
      </w:pPr>
    </w:p>
    <w:p>
      <w:pPr>
        <w:pStyle w:val="BodyText"/>
        <w:spacing w:before="5"/>
        <w:rPr>
          <w:i/>
          <w:sz w:val="41"/>
        </w:rPr>
      </w:pPr>
    </w:p>
    <w:p>
      <w:pPr>
        <w:pStyle w:val="ListParagraph"/>
        <w:numPr>
          <w:ilvl w:val="0"/>
          <w:numId w:val="7"/>
        </w:numPr>
        <w:tabs>
          <w:tab w:val="left" w:pos="542"/>
        </w:tabs>
        <w:spacing w:before="1" w:after="0" w:line="417" w:lineRule="auto"/>
        <w:ind w:left="120" w:right="518" w:firstLine="0"/>
        <w:jc w:val="both"/>
        <w:rPr>
          <w:i/>
          <w:sz w:val="28"/>
        </w:rPr>
      </w:pPr>
      <w:r>
        <w:rPr>
          <w:i/>
          <w:spacing w:val="-2"/>
          <w:sz w:val="28"/>
        </w:rPr>
        <w:t>基因表达谱分析：通过比较不同条件下基因表达的变化情况，可</w:t>
      </w:r>
      <w:r>
        <w:rPr>
          <w:i/>
          <w:spacing w:val="-9"/>
          <w:sz w:val="28"/>
        </w:rPr>
        <w:t>以了解基因的功能和调控机制，对于疾病诊断和治疗等方面有着重要</w:t>
      </w:r>
      <w:r>
        <w:rPr>
          <w:i/>
          <w:spacing w:val="-4"/>
          <w:sz w:val="28"/>
        </w:rPr>
        <w:t>的意义。</w:t>
      </w:r>
    </w:p>
    <w:p>
      <w:pPr>
        <w:pStyle w:val="BodyText"/>
        <w:rPr>
          <w:i/>
        </w:rPr>
      </w:pPr>
    </w:p>
    <w:p>
      <w:pPr>
        <w:pStyle w:val="BodyText"/>
        <w:spacing w:before="8"/>
        <w:rPr>
          <w:i/>
          <w:sz w:val="20"/>
        </w:rPr>
      </w:pPr>
    </w:p>
    <w:p>
      <w:pPr>
        <w:pStyle w:val="ListParagraph"/>
        <w:numPr>
          <w:ilvl w:val="0"/>
          <w:numId w:val="7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i/>
          <w:sz w:val="28"/>
        </w:rPr>
      </w:pPr>
      <w:r>
        <w:rPr>
          <w:i/>
          <w:spacing w:val="-2"/>
          <w:sz w:val="28"/>
        </w:rPr>
        <w:t>蛋白质相互作用研究：通过检测蛋白质之间的相互作用，可以揭</w:t>
      </w:r>
      <w:r>
        <w:rPr>
          <w:i/>
          <w:spacing w:val="-2"/>
          <w:sz w:val="28"/>
        </w:rPr>
        <w:t>示蛋白质功能网络，为药物研发提供有价值的信息。</w:t>
      </w:r>
    </w:p>
    <w:p>
      <w:pPr>
        <w:pStyle w:val="BodyText"/>
        <w:rPr>
          <w:i/>
        </w:rPr>
      </w:pPr>
    </w:p>
    <w:p>
      <w:pPr>
        <w:pStyle w:val="BodyText"/>
        <w:spacing w:before="8"/>
        <w:rPr>
          <w:i/>
          <w:sz w:val="20"/>
        </w:rPr>
      </w:pPr>
    </w:p>
    <w:p>
      <w:pPr>
        <w:pStyle w:val="ListParagraph"/>
        <w:numPr>
          <w:ilvl w:val="0"/>
          <w:numId w:val="7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i/>
          <w:sz w:val="28"/>
        </w:rPr>
      </w:pPr>
      <w:r>
        <w:rPr>
          <w:i/>
          <w:spacing w:val="-2"/>
          <w:sz w:val="28"/>
        </w:rPr>
        <w:t>病原体检测：可以通过检测病原体的核酸或蛋白质标志物，实现</w:t>
      </w:r>
      <w:r>
        <w:rPr>
          <w:i/>
          <w:spacing w:val="-2"/>
          <w:sz w:val="28"/>
        </w:rPr>
        <w:t>对疾病的早期预警和快速诊断。</w:t>
      </w:r>
    </w:p>
    <w:p>
      <w:pPr>
        <w:pStyle w:val="BodyText"/>
        <w:rPr>
          <w:i/>
        </w:rPr>
      </w:pPr>
    </w:p>
    <w:p>
      <w:pPr>
        <w:pStyle w:val="BodyText"/>
        <w:spacing w:before="9"/>
        <w:rPr>
          <w:i/>
          <w:sz w:val="20"/>
        </w:rPr>
      </w:pPr>
    </w:p>
    <w:p>
      <w:pPr>
        <w:pStyle w:val="ListParagraph"/>
        <w:numPr>
          <w:ilvl w:val="0"/>
          <w:numId w:val="7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i/>
          <w:sz w:val="28"/>
        </w:rPr>
      </w:pPr>
      <w:r>
        <w:rPr>
          <w:i/>
          <w:spacing w:val="-2"/>
          <w:sz w:val="28"/>
        </w:rPr>
        <w:t>遗传学研究：通过检测单个基因或多基因的变异情况，可以研究</w:t>
      </w:r>
      <w:r>
        <w:rPr>
          <w:i/>
          <w:spacing w:val="-2"/>
          <w:sz w:val="28"/>
        </w:rPr>
        <w:t>遗传性疾病的发生机理和风险评估。</w:t>
      </w:r>
    </w:p>
    <w:p>
      <w:pPr>
        <w:pStyle w:val="BodyText"/>
        <w:rPr>
          <w:i/>
        </w:rPr>
      </w:pPr>
    </w:p>
    <w:p>
      <w:pPr>
        <w:pStyle w:val="BodyText"/>
        <w:spacing w:before="8"/>
        <w:rPr>
          <w:i/>
          <w:sz w:val="20"/>
        </w:rPr>
      </w:pPr>
    </w:p>
    <w:p>
      <w:pPr>
        <w:spacing w:before="1"/>
        <w:ind w:left="120" w:right="0" w:firstLine="0"/>
        <w:jc w:val="left"/>
        <w:rPr>
          <w:i/>
          <w:sz w:val="28"/>
        </w:rPr>
      </w:pPr>
      <w:r>
        <w:rPr>
          <w:i/>
          <w:spacing w:val="-5"/>
          <w:sz w:val="28"/>
        </w:rPr>
        <w:t>立体微阵列酶标仪的设计与应用是一个复杂而细致的过程，涉及到许</w:t>
      </w:r>
    </w:p>
    <w:p>
      <w:pPr>
        <w:spacing w:after="0"/>
        <w:jc w:val="left"/>
        <w:rPr>
          <w:sz w:val="28"/>
        </w:rPr>
        <w:sectPr>
          <w:footerReference w:type="default" r:id="rId7"/>
          <w:pgSz w:w="11910" w:h="16840"/>
          <w:pgMar w:top="1920" w:right="1280" w:bottom="1380" w:left="1680" w:header="0" w:footer="1195"/>
          <w:pgNumType w:start="3"/>
          <w:cols w:space="708"/>
        </w:sectPr>
      </w:pPr>
    </w:p>
    <w:p>
      <w:pPr>
        <w:spacing w:before="37" w:line="417" w:lineRule="auto"/>
        <w:ind w:left="120" w:right="518" w:firstLine="0"/>
        <w:jc w:val="both"/>
        <w:rPr>
          <w:i/>
          <w:sz w:val="28"/>
        </w:rPr>
      </w:pPr>
      <w:r>
        <w:rPr>
          <w:i/>
          <w:spacing w:val="-4"/>
          <w:sz w:val="28"/>
        </w:rPr>
        <w:t>多细节问题，如探针分子的选择和优化、微阵列芯片的制作工艺、检</w:t>
      </w:r>
      <w:r>
        <w:rPr>
          <w:i/>
          <w:spacing w:val="-4"/>
          <w:sz w:val="28"/>
        </w:rPr>
        <w:t>测系统的参数设置等。因此，在实际操作中，需要注意不断改进和完</w:t>
      </w:r>
      <w:r>
        <w:rPr>
          <w:i/>
          <w:spacing w:val="-2"/>
          <w:sz w:val="28"/>
        </w:rPr>
        <w:t>善，以提高其检测精度和可靠性。</w:t>
      </w:r>
    </w:p>
    <w:p>
      <w:pPr>
        <w:pStyle w:val="BodyText"/>
        <w:rPr>
          <w:i/>
        </w:rPr>
      </w:pPr>
    </w:p>
    <w:p>
      <w:pPr>
        <w:pStyle w:val="Heading1"/>
        <w:jc w:val="both"/>
      </w:pPr>
      <w:bookmarkStart w:id="1" w:name="_TOC_250008"/>
      <w:r>
        <w:t>第二部分</w:t>
      </w:r>
      <w:r>
        <w:rPr>
          <w:spacing w:val="209"/>
          <w:w w:val="150"/>
        </w:rPr>
        <w:t xml:space="preserve"> </w:t>
      </w:r>
      <w:bookmarkEnd w:id="1"/>
      <w:r>
        <w:rPr>
          <w:spacing w:val="-2"/>
        </w:rPr>
        <w:t>设计要素分析</w:t>
      </w:r>
    </w:p>
    <w:p>
      <w:pPr>
        <w:pStyle w:val="BodyText"/>
        <w:spacing w:before="4"/>
        <w:rPr>
          <w:rFonts w:ascii="Microsoft JhengHei"/>
          <w:b/>
          <w:sz w:val="23"/>
        </w:rPr>
      </w:pPr>
    </w:p>
    <w:p>
      <w:pPr>
        <w:spacing w:before="0" w:line="417" w:lineRule="auto"/>
        <w:ind w:left="120" w:right="518" w:firstLine="560"/>
        <w:jc w:val="both"/>
        <w:rPr>
          <w:i/>
          <w:sz w:val="28"/>
        </w:rPr>
      </w:pPr>
      <w:r>
        <w:rPr>
          <w:i/>
          <w:spacing w:val="-7"/>
          <w:sz w:val="28"/>
        </w:rPr>
        <w:t>立体微阵列酶标仪是一种先进的生物检测设备，广泛应用于生物</w:t>
      </w:r>
      <w:r>
        <w:rPr>
          <w:i/>
          <w:spacing w:val="-4"/>
          <w:sz w:val="28"/>
        </w:rPr>
        <w:t>学、医学和化学等领域。本文将从设计要素的角度分析立体微阵列酶</w:t>
      </w:r>
      <w:r>
        <w:rPr>
          <w:i/>
          <w:spacing w:val="-2"/>
          <w:sz w:val="28"/>
        </w:rPr>
        <w:t>标仪的设计与应用。</w:t>
      </w:r>
    </w:p>
    <w:p>
      <w:pPr>
        <w:pStyle w:val="BodyText"/>
        <w:rPr>
          <w:i/>
        </w:rPr>
      </w:pPr>
    </w:p>
    <w:p>
      <w:pPr>
        <w:pStyle w:val="BodyText"/>
        <w:spacing w:before="8"/>
        <w:rPr>
          <w:i/>
          <w:sz w:val="20"/>
        </w:rPr>
      </w:pPr>
    </w:p>
    <w:p>
      <w:pPr>
        <w:spacing w:before="0"/>
        <w:ind w:left="120" w:right="0" w:firstLine="0"/>
        <w:jc w:val="left"/>
        <w:rPr>
          <w:i/>
          <w:sz w:val="28"/>
        </w:rPr>
      </w:pPr>
      <w:r>
        <w:rPr>
          <w:i/>
          <w:spacing w:val="-2"/>
          <w:sz w:val="28"/>
        </w:rPr>
        <w:t>一、光学系统</w:t>
      </w:r>
    </w:p>
    <w:p>
      <w:pPr>
        <w:pStyle w:val="BodyText"/>
        <w:spacing w:before="9"/>
        <w:rPr>
          <w:i/>
          <w:sz w:val="20"/>
        </w:rPr>
      </w:pPr>
    </w:p>
    <w:p>
      <w:pPr>
        <w:spacing w:before="0" w:line="417" w:lineRule="auto"/>
        <w:ind w:left="120" w:right="285" w:firstLine="0"/>
        <w:jc w:val="left"/>
        <w:rPr>
          <w:i/>
          <w:sz w:val="28"/>
        </w:rPr>
      </w:pPr>
      <w:r>
        <w:rPr>
          <w:i/>
          <w:spacing w:val="-8"/>
          <w:sz w:val="28"/>
        </w:rPr>
        <w:t>立体微阵列酶标仪的光学系统是其核心组成部分之一，主要包括光源、</w:t>
      </w:r>
      <w:r>
        <w:rPr>
          <w:i/>
          <w:spacing w:val="-2"/>
          <w:sz w:val="28"/>
        </w:rPr>
        <w:t>滤光片、反射镜、物镜等部件。其中，光源的选择直接影响到检测结</w:t>
      </w:r>
      <w:r>
        <w:rPr>
          <w:i/>
          <w:spacing w:val="-2"/>
          <w:sz w:val="28"/>
        </w:rPr>
        <w:t>果的准确性，通常采用稳定的白光或单色光源；滤光片则用于选择特</w:t>
      </w:r>
      <w:r>
        <w:rPr>
          <w:i/>
          <w:spacing w:val="-2"/>
          <w:sz w:val="28"/>
        </w:rPr>
        <w:t>定波长的光线，以满足不同实验的需求；反射镜的作用是将光线导向</w:t>
      </w:r>
      <w:r>
        <w:rPr>
          <w:i/>
          <w:spacing w:val="-2"/>
          <w:sz w:val="28"/>
        </w:rPr>
        <w:t>样品区域；而物镜则是将光线聚焦到样品上，并将样品发出的荧光或</w:t>
      </w:r>
      <w:r>
        <w:rPr>
          <w:i/>
          <w:spacing w:val="-2"/>
          <w:sz w:val="28"/>
        </w:rPr>
        <w:t>其他信号转换为电信号。</w:t>
      </w:r>
    </w:p>
    <w:p>
      <w:pPr>
        <w:pStyle w:val="BodyText"/>
        <w:rPr>
          <w:i/>
        </w:rPr>
      </w:pPr>
    </w:p>
    <w:p>
      <w:pPr>
        <w:pStyle w:val="BodyText"/>
        <w:spacing w:before="8"/>
        <w:rPr>
          <w:i/>
          <w:sz w:val="20"/>
        </w:rPr>
      </w:pPr>
    </w:p>
    <w:p>
      <w:pPr>
        <w:spacing w:before="0"/>
        <w:ind w:left="120" w:right="0" w:firstLine="0"/>
        <w:jc w:val="left"/>
        <w:rPr>
          <w:i/>
          <w:sz w:val="28"/>
        </w:rPr>
      </w:pPr>
      <w:r>
        <w:rPr>
          <w:i/>
          <w:spacing w:val="-2"/>
          <w:sz w:val="28"/>
        </w:rPr>
        <w:t>二、机械结构</w:t>
      </w:r>
    </w:p>
    <w:p>
      <w:pPr>
        <w:pStyle w:val="BodyText"/>
        <w:spacing w:before="9"/>
        <w:rPr>
          <w:i/>
          <w:sz w:val="20"/>
        </w:rPr>
      </w:pPr>
    </w:p>
    <w:p>
      <w:pPr>
        <w:spacing w:before="0" w:line="417" w:lineRule="auto"/>
        <w:ind w:left="120" w:right="518" w:firstLine="0"/>
        <w:jc w:val="both"/>
        <w:rPr>
          <w:i/>
          <w:sz w:val="28"/>
        </w:rPr>
      </w:pPr>
      <w:r>
        <w:rPr>
          <w:i/>
          <w:spacing w:val="-7"/>
          <w:sz w:val="28"/>
        </w:rPr>
        <w:t>立体微阵列酶标仪的机械结构主要包括样品台、传动机构和控制单元</w:t>
      </w:r>
      <w:r>
        <w:rPr>
          <w:i/>
          <w:spacing w:val="-4"/>
          <w:sz w:val="28"/>
        </w:rPr>
        <w:t>等部分。样品台上放置被测样品，其精度直接影响到检测结果的准确</w:t>
      </w:r>
      <w:r>
        <w:rPr>
          <w:i/>
          <w:spacing w:val="-5"/>
          <w:sz w:val="28"/>
        </w:rPr>
        <w:t>性；传动机构则负责调节样品台的位置和角度，以实现对样品的不同</w:t>
      </w:r>
    </w:p>
    <w:p>
      <w:pPr>
        <w:spacing w:after="0" w:line="417" w:lineRule="auto"/>
        <w:jc w:val="both"/>
        <w:rPr>
          <w:sz w:val="28"/>
        </w:rPr>
        <w:sectPr>
          <w:footerReference w:type="default" r:id="rId8"/>
          <w:pgSz w:w="11910" w:h="16840"/>
          <w:pgMar w:top="1520" w:right="1280" w:bottom="1380" w:left="1680" w:header="0" w:footer="1195"/>
          <w:pgNumType w:start="4"/>
          <w:cols w:space="708"/>
        </w:sectPr>
      </w:pPr>
    </w:p>
    <w:p>
      <w:pPr>
        <w:spacing w:before="37" w:line="417" w:lineRule="auto"/>
        <w:ind w:left="120" w:right="518" w:firstLine="0"/>
        <w:jc w:val="left"/>
        <w:rPr>
          <w:i/>
          <w:sz w:val="28"/>
        </w:rPr>
      </w:pPr>
      <w:r>
        <w:rPr>
          <w:i/>
          <w:spacing w:val="-4"/>
          <w:sz w:val="28"/>
        </w:rPr>
        <w:t>部位进行检测；控制单元则是整个系统的指挥中心，负责协调各个部</w:t>
      </w:r>
      <w:r>
        <w:rPr>
          <w:i/>
          <w:spacing w:val="-2"/>
          <w:sz w:val="28"/>
        </w:rPr>
        <w:t>件的工作。</w:t>
      </w:r>
    </w:p>
    <w:p>
      <w:pPr>
        <w:pStyle w:val="BodyText"/>
        <w:rPr>
          <w:i/>
        </w:rPr>
      </w:pPr>
    </w:p>
    <w:p>
      <w:pPr>
        <w:pStyle w:val="BodyText"/>
        <w:spacing w:before="8"/>
        <w:rPr>
          <w:i/>
          <w:sz w:val="20"/>
        </w:rPr>
      </w:pPr>
    </w:p>
    <w:p>
      <w:pPr>
        <w:spacing w:before="0"/>
        <w:ind w:left="120" w:right="0" w:firstLine="0"/>
        <w:jc w:val="left"/>
        <w:rPr>
          <w:i/>
          <w:sz w:val="28"/>
        </w:rPr>
      </w:pPr>
      <w:r>
        <w:rPr>
          <w:i/>
          <w:spacing w:val="-2"/>
          <w:sz w:val="28"/>
        </w:rPr>
        <w:t>三、电子系统</w:t>
      </w:r>
    </w:p>
    <w:p>
      <w:pPr>
        <w:pStyle w:val="BodyText"/>
        <w:spacing w:before="9"/>
        <w:rPr>
          <w:i/>
          <w:sz w:val="20"/>
        </w:rPr>
      </w:pPr>
    </w:p>
    <w:p>
      <w:pPr>
        <w:spacing w:before="0" w:line="417" w:lineRule="auto"/>
        <w:ind w:left="120" w:right="238" w:firstLine="0"/>
        <w:jc w:val="left"/>
        <w:rPr>
          <w:i/>
          <w:sz w:val="28"/>
        </w:rPr>
      </w:pPr>
      <w:r>
        <w:rPr>
          <w:i/>
          <w:spacing w:val="-6"/>
          <w:sz w:val="28"/>
        </w:rPr>
        <w:t>立体微阵列酶标仪的电子系统主要包括数据采集模块、处理模块和显</w:t>
      </w:r>
      <w:r>
        <w:rPr>
          <w:i/>
          <w:spacing w:val="-2"/>
          <w:sz w:val="28"/>
        </w:rPr>
        <w:t xml:space="preserve"> </w:t>
      </w:r>
      <w:r>
        <w:rPr>
          <w:i/>
          <w:spacing w:val="-12"/>
          <w:sz w:val="28"/>
        </w:rPr>
        <w:t>示模块等部分。数据采集模块主要用于接收由光学系统传输过来的电</w:t>
      </w:r>
      <w:r>
        <w:rPr>
          <w:i/>
          <w:spacing w:val="-2"/>
          <w:sz w:val="28"/>
        </w:rPr>
        <w:t xml:space="preserve"> </w:t>
      </w:r>
      <w:r>
        <w:rPr>
          <w:i/>
          <w:spacing w:val="-2"/>
          <w:sz w:val="28"/>
        </w:rPr>
        <w:t>信号，并将其转化为数字信号；处理模块则负责对这些数字信号进行</w:t>
      </w:r>
      <w:r>
        <w:rPr>
          <w:i/>
          <w:spacing w:val="-2"/>
          <w:sz w:val="28"/>
        </w:rPr>
        <w:t xml:space="preserve"> </w:t>
      </w:r>
      <w:r>
        <w:rPr>
          <w:i/>
          <w:spacing w:val="-2"/>
          <w:sz w:val="28"/>
        </w:rPr>
        <w:t>运算和分析，从而得出检测结果；最后，显示模块将结果显示出来，</w:t>
      </w:r>
      <w:r>
        <w:rPr>
          <w:i/>
          <w:spacing w:val="-2"/>
          <w:sz w:val="28"/>
        </w:rPr>
        <w:t>供用户查看。</w:t>
      </w:r>
    </w:p>
    <w:p>
      <w:pPr>
        <w:pStyle w:val="BodyText"/>
        <w:rPr>
          <w:i/>
        </w:rPr>
      </w:pPr>
    </w:p>
    <w:p>
      <w:pPr>
        <w:pStyle w:val="BodyText"/>
        <w:spacing w:before="8"/>
        <w:rPr>
          <w:i/>
          <w:sz w:val="20"/>
        </w:rPr>
      </w:pPr>
    </w:p>
    <w:p>
      <w:pPr>
        <w:spacing w:before="0"/>
        <w:ind w:left="120" w:right="0" w:firstLine="0"/>
        <w:jc w:val="left"/>
        <w:rPr>
          <w:i/>
          <w:sz w:val="28"/>
        </w:rPr>
      </w:pPr>
      <w:r>
        <w:rPr>
          <w:i/>
          <w:spacing w:val="-2"/>
          <w:sz w:val="28"/>
        </w:rPr>
        <w:t>四、软件系统</w:t>
      </w:r>
    </w:p>
    <w:p>
      <w:pPr>
        <w:pStyle w:val="BodyText"/>
        <w:spacing w:before="9"/>
        <w:rPr>
          <w:i/>
          <w:sz w:val="20"/>
        </w:rPr>
      </w:pPr>
    </w:p>
    <w:p>
      <w:pPr>
        <w:spacing w:before="0" w:line="417" w:lineRule="auto"/>
        <w:ind w:left="120" w:right="518" w:firstLine="0"/>
        <w:jc w:val="both"/>
        <w:rPr>
          <w:i/>
          <w:sz w:val="28"/>
        </w:rPr>
      </w:pPr>
      <w:r>
        <w:rPr>
          <w:i/>
          <w:spacing w:val="-6"/>
          <w:sz w:val="28"/>
        </w:rPr>
        <w:t>立体微阵列酶标仪的软件系统是其智能化程度的重要体现。该软件系</w:t>
      </w:r>
      <w:r>
        <w:rPr>
          <w:i/>
          <w:spacing w:val="-4"/>
          <w:sz w:val="28"/>
        </w:rPr>
        <w:t>统主要包括操作界面、数据分析算法和数据库管理等功能。操作界面</w:t>
      </w:r>
      <w:r>
        <w:rPr>
          <w:i/>
          <w:spacing w:val="-10"/>
          <w:sz w:val="28"/>
        </w:rPr>
        <w:t>上提供友好的人机交互界面，使得用户可以轻松地设置参数和查看结</w:t>
      </w:r>
      <w:r>
        <w:rPr>
          <w:i/>
          <w:spacing w:val="-4"/>
          <w:sz w:val="28"/>
        </w:rPr>
        <w:t>果；数据分析算法则是对采集到的数据进行处理的关键，不同的算法</w:t>
      </w:r>
      <w:r>
        <w:rPr>
          <w:i/>
          <w:spacing w:val="-4"/>
          <w:sz w:val="28"/>
        </w:rPr>
        <w:t>会得到不同的结果；而数据库管理则是为了方便用户管理和检索历史</w:t>
      </w:r>
      <w:r>
        <w:rPr>
          <w:i/>
          <w:spacing w:val="-4"/>
          <w:sz w:val="28"/>
        </w:rPr>
        <w:t>数据。</w:t>
      </w:r>
    </w:p>
    <w:p>
      <w:pPr>
        <w:pStyle w:val="BodyText"/>
        <w:rPr>
          <w:i/>
        </w:rPr>
      </w:pPr>
    </w:p>
    <w:p>
      <w:pPr>
        <w:pStyle w:val="BodyText"/>
        <w:spacing w:before="7"/>
        <w:rPr>
          <w:i/>
          <w:sz w:val="20"/>
        </w:rPr>
      </w:pPr>
    </w:p>
    <w:p>
      <w:pPr>
        <w:spacing w:before="1"/>
        <w:ind w:left="120" w:right="0" w:firstLine="0"/>
        <w:jc w:val="left"/>
        <w:rPr>
          <w:i/>
          <w:sz w:val="28"/>
        </w:rPr>
      </w:pPr>
      <w:r>
        <w:rPr>
          <w:i/>
          <w:spacing w:val="-2"/>
          <w:sz w:val="28"/>
        </w:rPr>
        <w:t>五、应用领域</w:t>
      </w:r>
    </w:p>
    <w:p>
      <w:pPr>
        <w:pStyle w:val="BodyText"/>
        <w:spacing w:before="8"/>
        <w:rPr>
          <w:i/>
          <w:sz w:val="20"/>
        </w:rPr>
      </w:pPr>
    </w:p>
    <w:p>
      <w:pPr>
        <w:spacing w:before="1" w:line="417" w:lineRule="auto"/>
        <w:ind w:left="120" w:right="518" w:firstLine="0"/>
        <w:jc w:val="both"/>
        <w:rPr>
          <w:i/>
          <w:sz w:val="28"/>
        </w:rPr>
      </w:pPr>
      <w:r>
        <w:rPr>
          <w:i/>
          <w:spacing w:val="-4"/>
          <w:sz w:val="28"/>
        </w:rPr>
        <w:t>立体微阵列酶标仪的应用领域非常广泛，包括基因表达分析、疾病诊断、药物筛选、食品安全检测等。例如，在基因表达分析中，可以通</w:t>
      </w:r>
      <w:r>
        <w:rPr>
          <w:i/>
          <w:spacing w:val="-5"/>
          <w:sz w:val="28"/>
        </w:rPr>
        <w:t>过比较正常细胞和病变细胞中的基因表达水平来找出疾病的根源；在</w:t>
      </w:r>
    </w:p>
    <w:p>
      <w:pPr>
        <w:spacing w:after="0" w:line="417" w:lineRule="auto"/>
        <w:jc w:val="both"/>
        <w:rPr>
          <w:sz w:val="28"/>
        </w:rPr>
        <w:sectPr>
          <w:footerReference w:type="default" r:id="rId9"/>
          <w:pgSz w:w="11910" w:h="16840"/>
          <w:pgMar w:top="1520" w:right="1280" w:bottom="1380" w:left="1680" w:header="0" w:footer="1195"/>
          <w:pgNumType w:start="5"/>
          <w:cols w:space="708"/>
        </w:sectPr>
      </w:pPr>
    </w:p>
    <w:p>
      <w:pPr>
        <w:spacing w:before="37" w:line="417" w:lineRule="auto"/>
        <w:ind w:left="120" w:right="518" w:firstLine="0"/>
        <w:jc w:val="left"/>
        <w:rPr>
          <w:i/>
          <w:sz w:val="28"/>
        </w:rPr>
      </w:pPr>
      <w:r>
        <w:rPr>
          <w:i/>
          <w:spacing w:val="-12"/>
          <w:sz w:val="28"/>
        </w:rPr>
        <w:t>药物筛选中，可以通过测试大量化合物对特定目标的影响来找到最佳</w:t>
      </w:r>
      <w:r>
        <w:rPr>
          <w:i/>
          <w:spacing w:val="-2"/>
          <w:sz w:val="28"/>
        </w:rPr>
        <w:t>的治疗方案。</w:t>
      </w:r>
    </w:p>
    <w:p>
      <w:pPr>
        <w:pStyle w:val="BodyText"/>
        <w:rPr>
          <w:i/>
        </w:rPr>
      </w:pPr>
    </w:p>
    <w:p>
      <w:pPr>
        <w:pStyle w:val="BodyText"/>
        <w:spacing w:before="8"/>
        <w:rPr>
          <w:i/>
          <w:sz w:val="20"/>
        </w:rPr>
      </w:pPr>
    </w:p>
    <w:p>
      <w:pPr>
        <w:spacing w:before="0" w:line="417" w:lineRule="auto"/>
        <w:ind w:left="120" w:right="518" w:firstLine="0"/>
        <w:jc w:val="both"/>
        <w:rPr>
          <w:i/>
          <w:sz w:val="28"/>
        </w:rPr>
      </w:pPr>
      <w:r>
        <w:rPr>
          <w:i/>
          <w:spacing w:val="-4"/>
          <w:sz w:val="28"/>
        </w:rPr>
        <w:t>综上所述，立体微阵列酶标仪的设计涉及到光学、机械、电子和软件</w:t>
      </w:r>
      <w:r>
        <w:rPr>
          <w:i/>
          <w:spacing w:val="-4"/>
          <w:sz w:val="28"/>
        </w:rPr>
        <w:t>等多个学科的知识，需要各方面的技术支持和协同合作才能完成。而</w:t>
      </w:r>
      <w:r>
        <w:rPr>
          <w:i/>
          <w:spacing w:val="-4"/>
          <w:sz w:val="28"/>
        </w:rPr>
        <w:t>在实际应用中，立体微阵列酶标仪也需要不断地优化和完善，以适应</w:t>
      </w:r>
      <w:r>
        <w:rPr>
          <w:i/>
          <w:spacing w:val="-2"/>
          <w:sz w:val="28"/>
        </w:rPr>
        <w:t>不断变化的市场需求和技术发展趋势。</w:t>
      </w:r>
    </w:p>
    <w:p>
      <w:pPr>
        <w:pStyle w:val="BodyText"/>
        <w:rPr>
          <w:i/>
        </w:rPr>
      </w:pPr>
    </w:p>
    <w:p>
      <w:pPr>
        <w:pStyle w:val="Heading1"/>
        <w:jc w:val="both"/>
      </w:pPr>
      <w:bookmarkStart w:id="2" w:name="_TOC_250007"/>
      <w:r>
        <w:t>第三部分</w:t>
      </w:r>
      <w:r>
        <w:rPr>
          <w:spacing w:val="209"/>
          <w:w w:val="150"/>
        </w:rPr>
        <w:t xml:space="preserve"> </w:t>
      </w:r>
      <w:bookmarkEnd w:id="2"/>
      <w:r>
        <w:rPr>
          <w:spacing w:val="-2"/>
        </w:rPr>
        <w:t>技术特点综述</w:t>
      </w:r>
    </w:p>
    <w:p>
      <w:pPr>
        <w:pStyle w:val="BodyText"/>
        <w:spacing w:before="4"/>
        <w:rPr>
          <w:rFonts w:ascii="Microsoft JhengHei"/>
          <w:b/>
          <w:sz w:val="23"/>
        </w:rPr>
      </w:pPr>
    </w:p>
    <w:p>
      <w:pPr>
        <w:spacing w:before="0" w:line="417" w:lineRule="auto"/>
        <w:ind w:left="120" w:right="285" w:firstLine="560"/>
        <w:jc w:val="left"/>
        <w:rPr>
          <w:i/>
          <w:sz w:val="28"/>
        </w:rPr>
      </w:pPr>
      <w:r>
        <w:rPr>
          <w:i/>
          <w:spacing w:val="-9"/>
          <w:sz w:val="28"/>
        </w:rPr>
        <w:t>立体微阵列酶标仪是一种新型的生物分析仪器，主要用于蛋白质、</w:t>
      </w:r>
      <w:r>
        <w:rPr>
          <w:i/>
          <w:spacing w:val="-15"/>
          <w:sz w:val="28"/>
        </w:rPr>
        <w:t>核酸等生物分子的定量检测。该技术的特点主要体现在以下几个方面：</w:t>
      </w:r>
    </w:p>
    <w:p>
      <w:pPr>
        <w:pStyle w:val="BodyText"/>
        <w:rPr>
          <w:i/>
        </w:rPr>
      </w:pPr>
    </w:p>
    <w:p>
      <w:pPr>
        <w:pStyle w:val="BodyText"/>
        <w:spacing w:before="8"/>
        <w:rPr>
          <w:i/>
          <w:sz w:val="20"/>
        </w:rPr>
      </w:pPr>
    </w:p>
    <w:p>
      <w:pPr>
        <w:spacing w:before="1"/>
        <w:ind w:left="120" w:right="0" w:firstLine="0"/>
        <w:jc w:val="left"/>
        <w:rPr>
          <w:i/>
          <w:sz w:val="28"/>
        </w:rPr>
      </w:pPr>
      <w:r>
        <w:rPr>
          <w:i/>
          <w:spacing w:val="-2"/>
          <w:sz w:val="28"/>
        </w:rPr>
        <w:t>一、高通量</w:t>
      </w:r>
    </w:p>
    <w:p>
      <w:pPr>
        <w:pStyle w:val="BodyText"/>
        <w:rPr>
          <w:i/>
        </w:rPr>
      </w:pPr>
    </w:p>
    <w:p>
      <w:pPr>
        <w:pStyle w:val="BodyText"/>
        <w:spacing w:before="5"/>
        <w:rPr>
          <w:i/>
          <w:sz w:val="41"/>
        </w:rPr>
      </w:pPr>
    </w:p>
    <w:p>
      <w:pPr>
        <w:spacing w:before="0" w:line="417" w:lineRule="auto"/>
        <w:ind w:left="120" w:right="518" w:firstLine="0"/>
        <w:jc w:val="left"/>
        <w:rPr>
          <w:i/>
          <w:sz w:val="28"/>
        </w:rPr>
      </w:pPr>
      <w:r>
        <w:rPr>
          <w:i/>
          <w:spacing w:val="-8"/>
          <w:sz w:val="28"/>
        </w:rPr>
        <w:t>立体微阵列酶标仪具有高通量的优点，可以在一次实验中同时检测数</w:t>
      </w:r>
      <w:r>
        <w:rPr>
          <w:i/>
          <w:spacing w:val="-2"/>
          <w:sz w:val="28"/>
        </w:rPr>
        <w:t>百至数千个样品，大大提高了实验效率和数据可靠性。</w:t>
      </w:r>
    </w:p>
    <w:p>
      <w:pPr>
        <w:pStyle w:val="BodyText"/>
        <w:rPr>
          <w:i/>
        </w:rPr>
      </w:pPr>
    </w:p>
    <w:p>
      <w:pPr>
        <w:pStyle w:val="BodyText"/>
        <w:spacing w:before="8"/>
        <w:rPr>
          <w:i/>
          <w:sz w:val="20"/>
        </w:rPr>
      </w:pPr>
    </w:p>
    <w:p>
      <w:pPr>
        <w:spacing w:before="0"/>
        <w:ind w:left="120" w:right="0" w:firstLine="0"/>
        <w:jc w:val="left"/>
        <w:rPr>
          <w:i/>
          <w:sz w:val="28"/>
        </w:rPr>
      </w:pPr>
      <w:r>
        <w:rPr>
          <w:i/>
          <w:spacing w:val="-1"/>
          <w:sz w:val="28"/>
        </w:rPr>
        <w:t>二、高灵敏度和准确度</w:t>
      </w:r>
    </w:p>
    <w:p>
      <w:pPr>
        <w:pStyle w:val="BodyText"/>
        <w:rPr>
          <w:i/>
        </w:rPr>
      </w:pPr>
    </w:p>
    <w:p>
      <w:pPr>
        <w:pStyle w:val="BodyText"/>
        <w:spacing w:before="5"/>
        <w:rPr>
          <w:i/>
          <w:sz w:val="41"/>
        </w:rPr>
      </w:pPr>
    </w:p>
    <w:p>
      <w:pPr>
        <w:spacing w:before="1" w:line="417" w:lineRule="auto"/>
        <w:ind w:left="120" w:right="518" w:firstLine="0"/>
        <w:jc w:val="left"/>
        <w:rPr>
          <w:i/>
          <w:sz w:val="28"/>
        </w:rPr>
      </w:pPr>
      <w:r>
        <w:rPr>
          <w:i/>
          <w:spacing w:val="-8"/>
          <w:sz w:val="28"/>
        </w:rPr>
        <w:t>立体微阵列酶标仪采用微阵列芯片技术，可以将大量的生物探针有序</w:t>
      </w:r>
      <w:r>
        <w:rPr>
          <w:i/>
          <w:spacing w:val="-5"/>
          <w:sz w:val="28"/>
        </w:rPr>
        <w:t>地固定在芯片上，从而实现对目标分子的高效检测。此外，通过使用</w:t>
      </w:r>
    </w:p>
    <w:p>
      <w:pPr>
        <w:spacing w:after="0" w:line="417" w:lineRule="auto"/>
        <w:jc w:val="left"/>
        <w:rPr>
          <w:sz w:val="28"/>
        </w:rPr>
        <w:sectPr>
          <w:footerReference w:type="default" r:id="rId10"/>
          <w:pgSz w:w="11910" w:h="16840"/>
          <w:pgMar w:top="1520" w:right="1280" w:bottom="1380" w:left="1680" w:header="0" w:footer="1195"/>
          <w:pgNumType w:start="6"/>
          <w:cols w:space="708"/>
        </w:sectPr>
      </w:pPr>
    </w:p>
    <w:p>
      <w:pPr>
        <w:pStyle w:val="BodyText"/>
        <w:spacing w:before="37"/>
        <w:ind w:left="120"/>
      </w:pPr>
      <w:r>
        <w:rPr>
          <w:spacing w:val="-1"/>
        </w:rPr>
        <w:t>荧光标记物或其他标记方法，可以提高检测的灵敏度和准确性。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ind w:left="120"/>
      </w:pPr>
      <w:r>
        <w:rPr>
          <w:spacing w:val="-2"/>
        </w:rPr>
        <w:t>三、多功能性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518"/>
      </w:pPr>
      <w:r>
        <w:rPr>
          <w:spacing w:val="-6"/>
        </w:rPr>
        <w:t>立体微阵列酶标仪不仅可以用于蛋白质和核酸的定量检测，还可以进</w:t>
      </w:r>
      <w:r>
        <w:rPr>
          <w:spacing w:val="-2"/>
        </w:rPr>
        <w:t>行基因表达谱分析、蛋白质相互作用研究等多种生物学应用。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2"/>
        </w:rPr>
        <w:t>四、操作简便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before="1" w:line="417" w:lineRule="auto"/>
        <w:ind w:left="120" w:right="518"/>
        <w:jc w:val="both"/>
      </w:pPr>
      <w:r>
        <w:rPr>
          <w:spacing w:val="-8"/>
        </w:rPr>
        <w:t>立体微阵列酶标仪的操作过程相对简单，只需将待测样本和标记物加</w:t>
      </w:r>
      <w:r>
        <w:rPr>
          <w:spacing w:val="-4"/>
        </w:rPr>
        <w:t>入到特定的反应体系中，并通过计算机软件进行数据分析，即可得到</w:t>
      </w:r>
      <w:r>
        <w:rPr>
          <w:spacing w:val="-2"/>
        </w:rPr>
        <w:t>可靠的实验结果。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2"/>
        </w:rPr>
        <w:t>五、可定制化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518"/>
      </w:pPr>
      <w:r>
        <w:rPr>
          <w:spacing w:val="-7"/>
        </w:rPr>
        <w:t>立体微阵列酶标仪可以根据用户的需求进行定制，如芯片上的探针种</w:t>
      </w:r>
      <w:r>
        <w:rPr>
          <w:spacing w:val="-2"/>
        </w:rPr>
        <w:t>类和数量、检测通道的数量等，以满足不同领域的科研需求。</w:t>
      </w:r>
    </w:p>
    <w:p>
      <w:pPr>
        <w:pStyle w:val="BodyText"/>
      </w:pPr>
    </w:p>
    <w:p>
      <w:pPr>
        <w:pStyle w:val="BodyText"/>
        <w:spacing w:before="9"/>
        <w:rPr>
          <w:sz w:val="20"/>
        </w:rPr>
      </w:pPr>
    </w:p>
    <w:p>
      <w:pPr>
        <w:pStyle w:val="BodyText"/>
        <w:ind w:left="120"/>
      </w:pPr>
      <w:r>
        <w:rPr>
          <w:spacing w:val="-2"/>
        </w:rPr>
        <w:t>六、易于集成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238"/>
      </w:pPr>
      <w:r>
        <w:t>立体微阵列酶标仪可以与其他生物分析仪器（如质谱仪、</w:t>
      </w:r>
      <w:r>
        <w:rPr>
          <w:rFonts w:ascii="仿宋" w:eastAsia="仿宋"/>
        </w:rPr>
        <w:t>PCR</w:t>
      </w:r>
      <w:r>
        <w:rPr>
          <w:rFonts w:ascii="仿宋" w:eastAsia="仿宋"/>
          <w:spacing w:val="-29"/>
        </w:rPr>
        <w:t xml:space="preserve"> </w:t>
      </w:r>
      <w:r>
        <w:t>仪等）</w:t>
      </w:r>
      <w:r>
        <w:rPr>
          <w:spacing w:val="-2"/>
        </w:rPr>
        <w:t>集成在一起，构建完整的生物分析系统，为科学研究和临床诊断提供</w:t>
      </w:r>
    </w:p>
    <w:p>
      <w:pPr>
        <w:spacing w:after="0" w:line="417" w:lineRule="auto"/>
        <w:sectPr>
          <w:footerReference w:type="default" r:id="rId11"/>
          <w:pgSz w:w="11910" w:h="16840"/>
          <w:pgMar w:top="1520" w:right="1280" w:bottom="1380" w:left="1680" w:header="0" w:footer="1195"/>
          <w:pgNumType w:start="7"/>
          <w:cols w:space="708"/>
        </w:sectPr>
      </w:pPr>
    </w:p>
    <w:p>
      <w:pPr>
        <w:pStyle w:val="BodyText"/>
        <w:spacing w:before="37"/>
        <w:ind w:left="120"/>
      </w:pPr>
      <w:r>
        <w:rPr>
          <w:spacing w:val="-2"/>
        </w:rPr>
        <w:t>更强大的技术支持。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ind w:left="120"/>
      </w:pPr>
      <w:r>
        <w:rPr>
          <w:spacing w:val="-2"/>
        </w:rPr>
        <w:t>七、经济实惠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238"/>
      </w:pPr>
      <w:r>
        <w:rPr>
          <w:spacing w:val="-2"/>
        </w:rPr>
        <w:t>与传统的生物分析方法相比，立体微阵列酶标仪具有更高的性价比，</w:t>
      </w:r>
      <w:r>
        <w:rPr>
          <w:spacing w:val="-2"/>
        </w:rPr>
        <w:t>能够在较短的时间内获取更多的数据，减少了人力、物力和财力的消</w:t>
      </w:r>
      <w:r>
        <w:rPr>
          <w:spacing w:val="-2"/>
        </w:rPr>
        <w:t xml:space="preserve"> </w:t>
      </w:r>
      <w:r>
        <w:rPr>
          <w:spacing w:val="-6"/>
        </w:rPr>
        <w:t>耗。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spacing w:val="-4"/>
        </w:rPr>
        <w:t>综上所述，立体微阵列酶标仪以其高通量、高灵敏度和准确度、多功</w:t>
      </w:r>
      <w:r>
        <w:rPr>
          <w:spacing w:val="-4"/>
        </w:rPr>
        <w:t>能性、操作简便、可定制化、易于集成和经济实惠等特点，在生物学</w:t>
      </w:r>
      <w:r>
        <w:rPr>
          <w:spacing w:val="-8"/>
        </w:rPr>
        <w:t>研究和临床诊断领域得到了广泛应用，并有望在未来继续推动相关领</w:t>
      </w:r>
      <w:r>
        <w:rPr>
          <w:spacing w:val="-2"/>
        </w:rPr>
        <w:t>域的进展。</w:t>
      </w:r>
    </w:p>
    <w:p>
      <w:pPr>
        <w:pStyle w:val="BodyText"/>
      </w:pPr>
    </w:p>
    <w:p>
      <w:pPr>
        <w:pStyle w:val="Heading1"/>
        <w:spacing w:before="238"/>
        <w:jc w:val="both"/>
      </w:pPr>
      <w:bookmarkStart w:id="3" w:name="_TOC_250006"/>
      <w:r>
        <w:t>第四部分</w:t>
      </w:r>
      <w:r>
        <w:rPr>
          <w:spacing w:val="209"/>
          <w:w w:val="150"/>
        </w:rPr>
        <w:t xml:space="preserve"> </w:t>
      </w:r>
      <w:bookmarkEnd w:id="3"/>
      <w:r>
        <w:rPr>
          <w:spacing w:val="-2"/>
        </w:rPr>
        <w:t>应用场景解析</w:t>
      </w:r>
    </w:p>
    <w:p>
      <w:pPr>
        <w:pStyle w:val="BodyText"/>
        <w:spacing w:before="3"/>
        <w:rPr>
          <w:rFonts w:ascii="Microsoft JhengHei"/>
          <w:b/>
          <w:sz w:val="23"/>
        </w:rPr>
      </w:pPr>
    </w:p>
    <w:p>
      <w:pPr>
        <w:pStyle w:val="BodyText"/>
        <w:spacing w:line="417" w:lineRule="auto"/>
        <w:ind w:left="120" w:right="518" w:firstLine="560"/>
        <w:jc w:val="both"/>
      </w:pPr>
      <w:r>
        <w:rPr>
          <w:spacing w:val="-7"/>
        </w:rPr>
        <w:t>立体微阵列酶标仪是一种现代生物分析仪器，广泛应用于生命科</w:t>
      </w:r>
      <w:r>
        <w:rPr>
          <w:spacing w:val="-4"/>
        </w:rPr>
        <w:t>学、医学研究和药物开发等多个领域。本文主要介绍立体微阵列酶标</w:t>
      </w:r>
      <w:r>
        <w:rPr>
          <w:spacing w:val="-2"/>
        </w:rPr>
        <w:t>仪在这些应用场景中的具体解析。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/>
        <w:ind w:left="120"/>
      </w:pPr>
      <w:r>
        <w:rPr>
          <w:spacing w:val="-2"/>
        </w:rPr>
        <w:t>一、生命科学研究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0"/>
          <w:numId w:val="6"/>
        </w:numPr>
        <w:tabs>
          <w:tab w:val="left" w:pos="542"/>
        </w:tabs>
        <w:spacing w:before="0" w:after="0" w:line="240" w:lineRule="auto"/>
        <w:ind w:left="541" w:right="0" w:hanging="422"/>
        <w:jc w:val="left"/>
        <w:rPr>
          <w:sz w:val="28"/>
        </w:rPr>
      </w:pPr>
      <w:r>
        <w:rPr>
          <w:spacing w:val="-1"/>
          <w:sz w:val="28"/>
        </w:rPr>
        <w:t>蛋白质相互作用：立体微阵列酶标仪能够检测蛋白质与蛋白质、</w:t>
      </w:r>
    </w:p>
    <w:p>
      <w:pPr>
        <w:spacing w:after="0" w:line="240" w:lineRule="auto"/>
        <w:jc w:val="left"/>
        <w:rPr>
          <w:sz w:val="28"/>
        </w:rPr>
        <w:sectPr>
          <w:footerReference w:type="default" r:id="rId12"/>
          <w:pgSz w:w="11910" w:h="16840"/>
          <w:pgMar w:top="1520" w:right="1280" w:bottom="1380" w:left="1680" w:header="0" w:footer="1195"/>
          <w:pgNumType w:start="8"/>
          <w:cols w:space="708"/>
        </w:sectPr>
      </w:pPr>
    </w:p>
    <w:p>
      <w:pPr>
        <w:pStyle w:val="BodyText"/>
        <w:spacing w:before="37" w:line="417" w:lineRule="auto"/>
        <w:ind w:left="120" w:right="518"/>
      </w:pPr>
      <w:r>
        <w:rPr>
          <w:spacing w:val="-9"/>
        </w:rPr>
        <w:t>蛋白质与小分子之间的相互作用，从而揭示细胞信号传导通路等生物</w:t>
      </w:r>
      <w:r>
        <w:rPr>
          <w:spacing w:val="-4"/>
        </w:rPr>
        <w:t>学过程。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6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遗传学研究：通过将基因探针固定在固相载体上形成基因芯片，</w:t>
      </w:r>
      <w:r>
        <w:rPr>
          <w:spacing w:val="-8"/>
          <w:sz w:val="28"/>
        </w:rPr>
        <w:t xml:space="preserve">立体微阵列酶标仪可以实现对 </w:t>
      </w:r>
      <w:r>
        <w:rPr>
          <w:rFonts w:ascii="仿宋" w:eastAsia="仿宋"/>
          <w:spacing w:val="-6"/>
          <w:sz w:val="28"/>
        </w:rPr>
        <w:t>DNA</w:t>
      </w:r>
      <w:r>
        <w:rPr>
          <w:rFonts w:ascii="仿宋" w:eastAsia="仿宋"/>
          <w:spacing w:val="-29"/>
          <w:sz w:val="28"/>
        </w:rPr>
        <w:t xml:space="preserve"> </w:t>
      </w:r>
      <w:r>
        <w:rPr>
          <w:spacing w:val="-18"/>
          <w:sz w:val="28"/>
        </w:rPr>
        <w:t xml:space="preserve">或 </w:t>
      </w:r>
      <w:r>
        <w:rPr>
          <w:rFonts w:ascii="仿宋" w:eastAsia="仿宋"/>
          <w:spacing w:val="-6"/>
          <w:sz w:val="28"/>
        </w:rPr>
        <w:t>RNA</w:t>
      </w:r>
      <w:r>
        <w:rPr>
          <w:rFonts w:ascii="仿宋" w:eastAsia="仿宋"/>
          <w:spacing w:val="-29"/>
          <w:sz w:val="28"/>
        </w:rPr>
        <w:t xml:space="preserve"> </w:t>
      </w:r>
      <w:r>
        <w:rPr>
          <w:spacing w:val="-15"/>
          <w:sz w:val="28"/>
        </w:rPr>
        <w:t>样品的高通量检测，用于基</w:t>
      </w:r>
      <w:r>
        <w:rPr>
          <w:sz w:val="28"/>
        </w:rPr>
        <w:t>因表达谱分析、</w:t>
      </w:r>
      <w:r>
        <w:rPr>
          <w:rFonts w:ascii="仿宋" w:eastAsia="仿宋"/>
          <w:sz w:val="28"/>
        </w:rPr>
        <w:t>SNP</w:t>
      </w:r>
      <w:r>
        <w:rPr>
          <w:rFonts w:ascii="仿宋" w:eastAsia="仿宋"/>
          <w:spacing w:val="-41"/>
          <w:sz w:val="28"/>
        </w:rPr>
        <w:t xml:space="preserve"> </w:t>
      </w:r>
      <w:r>
        <w:rPr>
          <w:sz w:val="28"/>
        </w:rPr>
        <w:t>检测和遗传病筛查等方面。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6"/>
        </w:numPr>
        <w:tabs>
          <w:tab w:val="left" w:pos="542"/>
        </w:tabs>
        <w:spacing w:before="0" w:after="0" w:line="417" w:lineRule="auto"/>
        <w:ind w:left="120" w:right="238" w:firstLine="0"/>
        <w:jc w:val="left"/>
        <w:rPr>
          <w:sz w:val="28"/>
        </w:rPr>
      </w:pPr>
      <w:r>
        <w:rPr>
          <w:spacing w:val="-2"/>
          <w:sz w:val="28"/>
        </w:rPr>
        <w:t>细胞功能分析：通过标记不同功能的抗体，立体微阵列酶标仪可</w:t>
      </w:r>
      <w:r>
        <w:rPr>
          <w:spacing w:val="40"/>
          <w:sz w:val="28"/>
        </w:rPr>
        <w:t xml:space="preserve"> </w:t>
      </w:r>
      <w:r>
        <w:rPr>
          <w:spacing w:val="-2"/>
          <w:sz w:val="28"/>
        </w:rPr>
        <w:t>以同时检测多种细胞表面标志物和细胞因子水平，以研究细胞分化、</w:t>
      </w:r>
      <w:r>
        <w:rPr>
          <w:spacing w:val="-2"/>
          <w:sz w:val="28"/>
        </w:rPr>
        <w:t>迁移、凋亡等功能。</w:t>
      </w:r>
    </w:p>
    <w:p>
      <w:pPr>
        <w:pStyle w:val="BodyText"/>
      </w:pPr>
    </w:p>
    <w:p>
      <w:pPr>
        <w:pStyle w:val="BodyText"/>
        <w:spacing w:before="9"/>
        <w:rPr>
          <w:sz w:val="20"/>
        </w:rPr>
      </w:pPr>
    </w:p>
    <w:p>
      <w:pPr>
        <w:pStyle w:val="BodyText"/>
        <w:ind w:left="120"/>
      </w:pPr>
      <w:r>
        <w:rPr>
          <w:spacing w:val="-2"/>
        </w:rPr>
        <w:t>二、医学研究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0"/>
          <w:numId w:val="5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疾病诊断：立体微阵列酶标仪可以快速检测人体体液中各种生物标志物（如抗体、抗原、酶、代谢产物等</w:t>
      </w:r>
      <w:r>
        <w:rPr>
          <w:spacing w:val="-139"/>
          <w:sz w:val="28"/>
        </w:rPr>
        <w:t>）</w:t>
      </w:r>
      <w:r>
        <w:rPr>
          <w:spacing w:val="-2"/>
          <w:sz w:val="28"/>
        </w:rPr>
        <w:t>，有助于早期发现和诊断</w:t>
      </w:r>
      <w:r>
        <w:rPr>
          <w:spacing w:val="-2"/>
          <w:sz w:val="28"/>
        </w:rPr>
        <w:t>疾病，如感染性疾病、自身免疫病、癌症等。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5"/>
        </w:numPr>
        <w:tabs>
          <w:tab w:val="left" w:pos="542"/>
        </w:tabs>
        <w:spacing w:before="0" w:after="0" w:line="417" w:lineRule="auto"/>
        <w:ind w:left="120" w:right="285" w:firstLine="0"/>
        <w:jc w:val="left"/>
        <w:rPr>
          <w:sz w:val="28"/>
        </w:rPr>
      </w:pPr>
      <w:r>
        <w:rPr>
          <w:sz w:val="28"/>
        </w:rPr>
        <w:t>个性化治疗：通过对患者个体的基因型、蛋白表达谱和代谢谱进</w:t>
      </w:r>
      <w:r>
        <w:rPr>
          <w:spacing w:val="-14"/>
          <w:sz w:val="28"/>
        </w:rPr>
        <w:t>行检测，立体微阵列酶标仪可以帮助医生选择最适合患者的治疗方案，</w:t>
      </w:r>
      <w:r>
        <w:rPr>
          <w:sz w:val="28"/>
        </w:rPr>
        <w:t>并监测治疗效果。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/>
        <w:ind w:left="120"/>
      </w:pPr>
      <w:r>
        <w:rPr>
          <w:spacing w:val="-2"/>
        </w:rPr>
        <w:t>三、药物研发</w:t>
      </w:r>
    </w:p>
    <w:p>
      <w:pPr>
        <w:spacing w:after="0"/>
      </w:pPr>
      <w:r>
        <w:br/>
      </w:r>
      <w: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3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https://d.book118.com/666211112125010055</w:t>
        </w:r>
      </w:hyperlink>
    </w:p>
    <w:p>
      <w:pPr>
        <w:spacing w:after="0"/>
      </w:pPr>
    </w:p>
    <w:sectPr>
      <w:footerReference w:type="default" r:id="rId14"/>
      <w:pgSz w:w="11910" w:h="16840"/>
      <w:pgMar w:top="1520" w:right="1280" w:bottom="1380" w:left="1680" w:header="0" w:footer="1195"/>
      <w:pgNumType w:start="9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Calibri">
    <w:altName w:val="Calibri"/>
    <w:charset w:val="00"/>
    <w:family w:val="swiss"/>
    <w:pitch w:val="variable"/>
    <w:sig w:usb0="00000000" w:usb1="00000000" w:usb2="00000000" w:usb3="00000000" w:csb0="00000001" w:csb1="00000000"/>
  </w:font>
  <w:font w:name="Microsoft JhengHei">
    <w:altName w:val="Microsoft JhengHei"/>
    <w:charset w:val="00"/>
    <w:family w:val="swiss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仿宋">
    <w:altName w:val="仿宋"/>
    <w:charset w:val="86"/>
    <w:family w:val="modern"/>
    <w:pitch w:val="fixed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29.8pt;height:11pt;margin-top:771.15pt;margin-left:284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1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9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29.8pt;height:11pt;margin-top:771.15pt;margin-left:284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2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9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29.8pt;height:11pt;margin-top:771.15pt;margin-left:284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3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9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29.8pt;height:11pt;margin-top:771.15pt;margin-left:284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4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9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29.8pt;height:11pt;margin-top:771.15pt;margin-left:284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5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9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29.8pt;height:11pt;margin-top:771.15pt;margin-left:284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6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9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29.8pt;height:11pt;margin-top:771.15pt;margin-left:284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7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9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29.8pt;height:11pt;margin-top:771.15pt;margin-left:284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8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9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29.8pt;height:11pt;margin-top:771.15pt;margin-left:284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0" w:line="203" w:lineRule="exact"/>
                  <w:ind w:left="60" w:right="0" w:firstLine="0"/>
                  <w:jc w:val="left"/>
                  <w:rPr>
                    <w:rFonts w:ascii="Calibri"/>
                    <w:b/>
                    <w:sz w:val="18"/>
                  </w:rPr>
                </w:pPr>
                <w:r>
                  <w:rPr>
                    <w:rFonts w:ascii="Calibri"/>
                    <w:b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Calibri"/>
                    <w:b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z w:val="18"/>
                  </w:rPr>
                  <w:t>9</w:t>
                </w:r>
                <w:r>
                  <w:rPr>
                    <w:rFonts w:ascii="Calibri"/>
                    <w:b/>
                    <w:sz w:val="18"/>
                  </w:rPr>
                  <w:fldChar w:fldCharType="end"/>
                </w:r>
                <w:r>
                  <w:rPr>
                    <w:rFonts w:ascii="Calibri"/>
                    <w:b/>
                    <w:sz w:val="18"/>
                  </w:rPr>
                  <w:t xml:space="preserve"> </w:t>
                </w:r>
                <w:r>
                  <w:rPr>
                    <w:rFonts w:ascii="Calibri"/>
                    <w:sz w:val="18"/>
                  </w:rPr>
                  <w:t>/</w:t>
                </w:r>
                <w:r>
                  <w:rPr>
                    <w:rFonts w:ascii="Calibri"/>
                    <w:spacing w:val="-1"/>
                    <w:sz w:val="18"/>
                  </w:rPr>
                  <w:t xml:space="preserve"> 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t>9</w:t>
                </w:r>
                <w:r>
                  <w:rPr>
                    <w:rFonts w:ascii="Calibri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08F8869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1">
    <w:nsid w:val="2182C9EA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2">
    <w:nsid w:val="2331D7C2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3">
    <w:nsid w:val="24FEB527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en-US" w:eastAsia="zh-CN" w:bidi="ar-SA"/>
      </w:rPr>
    </w:lvl>
  </w:abstractNum>
  <w:abstractNum w:abstractNumId="4">
    <w:nsid w:val="379A4694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en-US" w:eastAsia="zh-CN" w:bidi="ar-SA"/>
      </w:rPr>
    </w:lvl>
  </w:abstractNum>
  <w:abstractNum w:abstractNumId="5">
    <w:nsid w:val="4C85B5F7"/>
    <w:multiLevelType w:val="hybridMultilevel"/>
    <w:tmpl w:val="00000000"/>
    <w:lvl w:ilvl="0">
      <w:start w:val="1"/>
      <w:numFmt w:val="decimal"/>
      <w:lvlText w:val="%1."/>
      <w:lvlJc w:val="left"/>
      <w:pPr>
        <w:ind w:left="541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2"/>
      </w:pPr>
      <w:rPr>
        <w:rFonts w:hint="default"/>
        <w:lang w:val="en-US" w:eastAsia="zh-CN" w:bidi="ar-SA"/>
      </w:rPr>
    </w:lvl>
  </w:abstractNum>
  <w:abstractNum w:abstractNumId="6">
    <w:nsid w:val="55C4A27B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7">
    <w:nsid w:val="7469FA3C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6"/>
  </w:num>
  <w:num w:numId="5">
    <w:abstractNumId w:val="2"/>
  </w:num>
  <w:num w:numId="6">
    <w:abstractNumId w:val="5"/>
  </w:num>
  <w:num w:numId="7">
    <w:abstractNumId w:val="1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  <w:lang w:val="en-US" w:eastAsia="zh-CN" w:bidi="ar-SA"/>
    </w:rPr>
  </w:style>
  <w:style w:type="paragraph" w:styleId="Heading1">
    <w:name w:val="heading 1"/>
    <w:basedOn w:val="Normal"/>
    <w:uiPriority w:val="1"/>
    <w:qFormat/>
    <w:pPr>
      <w:spacing w:before="237"/>
      <w:ind w:left="120"/>
      <w:outlineLvl w:val="0"/>
    </w:pPr>
    <w:rPr>
      <w:rFonts w:ascii="Microsoft JhengHei" w:eastAsia="Microsoft JhengHei" w:hAnsi="Microsoft JhengHei" w:cs="Microsoft JhengHei"/>
      <w:b/>
      <w:bCs/>
      <w:sz w:val="32"/>
      <w:szCs w:val="3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uiPriority w:val="1"/>
    <w:qFormat/>
    <w:pPr>
      <w:spacing w:before="355"/>
      <w:ind w:left="540"/>
    </w:pPr>
    <w:rPr>
      <w:rFonts w:ascii="宋体" w:eastAsia="宋体" w:hAnsi="宋体" w:cs="宋体"/>
      <w:i/>
      <w:iCs/>
      <w:sz w:val="21"/>
      <w:szCs w:val="21"/>
      <w:lang w:val="en-US" w:eastAsia="zh-CN" w:bidi="ar-SA"/>
    </w:rPr>
  </w:style>
  <w:style w:type="paragraph" w:styleId="TOC2">
    <w:name w:val="toc 2"/>
    <w:basedOn w:val="Normal"/>
    <w:uiPriority w:val="1"/>
    <w:qFormat/>
    <w:pPr>
      <w:spacing w:before="355"/>
      <w:ind w:left="540"/>
    </w:pPr>
    <w:rPr>
      <w:rFonts w:ascii="宋体" w:eastAsia="宋体" w:hAnsi="宋体" w:cs="宋体"/>
      <w:b/>
      <w:bCs/>
      <w:i/>
      <w:iCs/>
      <w:lang w:val="en-US" w:eastAsia="zh-CN" w:bidi="ar-SA"/>
    </w:rPr>
  </w:style>
  <w:style w:type="paragraph" w:styleId="BodyText">
    <w:name w:val="Body Text"/>
    <w:basedOn w:val="Normal"/>
    <w:uiPriority w:val="1"/>
    <w:qFormat/>
    <w:rPr>
      <w:rFonts w:ascii="宋体" w:eastAsia="宋体" w:hAnsi="宋体" w:cs="宋体"/>
      <w:sz w:val="28"/>
      <w:szCs w:val="28"/>
      <w:lang w:val="en-US" w:eastAsia="zh-CN" w:bidi="ar-SA"/>
    </w:rPr>
  </w:style>
  <w:style w:type="paragraph" w:styleId="Title">
    <w:name w:val="Title"/>
    <w:basedOn w:val="Normal"/>
    <w:uiPriority w:val="1"/>
    <w:qFormat/>
    <w:pPr>
      <w:spacing w:line="569" w:lineRule="exact"/>
      <w:ind w:left="2012" w:right="2231"/>
      <w:jc w:val="center"/>
    </w:pPr>
    <w:rPr>
      <w:rFonts w:ascii="Microsoft JhengHei" w:eastAsia="Microsoft JhengHei" w:hAnsi="Microsoft JhengHei" w:cs="Microsoft JhengHei"/>
      <w:b/>
      <w:bCs/>
      <w:sz w:val="36"/>
      <w:szCs w:val="36"/>
      <w:lang w:val="en-US" w:eastAsia="zh-CN" w:bidi="ar-SA"/>
    </w:rPr>
  </w:style>
  <w:style w:type="paragraph" w:styleId="ListParagraph">
    <w:name w:val="List Paragraph"/>
    <w:basedOn w:val="Normal"/>
    <w:uiPriority w:val="1"/>
    <w:qFormat/>
    <w:pPr>
      <w:ind w:left="120"/>
    </w:pPr>
    <w:rPr>
      <w:rFonts w:ascii="宋体" w:eastAsia="宋体" w:hAnsi="宋体" w:cs="宋体"/>
      <w:lang w:val="en-US" w:eastAsia="zh-CN" w:bidi="ar-SA"/>
    </w:rPr>
  </w:style>
  <w:style w:type="paragraph" w:customStyle="1" w:styleId="TableParagraph">
    <w:name w:val="Table Paragraph"/>
    <w:basedOn w:val="Normal"/>
    <w:uiPriority w:val="1"/>
    <w:qFormat/>
    <w:rPr>
      <w:lang w:val="en-US"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6.xml" /><Relationship Id="rId11" Type="http://schemas.openxmlformats.org/officeDocument/2006/relationships/footer" Target="footer7.xml" /><Relationship Id="rId12" Type="http://schemas.openxmlformats.org/officeDocument/2006/relationships/footer" Target="footer8.xml" /><Relationship Id="rId13" Type="http://schemas.openxmlformats.org/officeDocument/2006/relationships/hyperlink" Target="https://d.book118.com/666211112125010055" TargetMode="External" /><Relationship Id="rId14" Type="http://schemas.openxmlformats.org/officeDocument/2006/relationships/footer" Target="footer9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footer" Target="footer4.xml" /><Relationship Id="rId9" Type="http://schemas.openxmlformats.org/officeDocument/2006/relationships/footer" Target="footer5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2024-03-05T04:16:52Z</dcterms:created>
  <dcterms:modified xsi:type="dcterms:W3CDTF">2024-03-05T04:16:52Z</dcterms:modified>
</cp:coreProperties>
</file>