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6"/>
        <w:rPr>
          <w:rFonts w:ascii="Times New Roman"/>
          <w:sz w:val="26"/>
        </w:rPr>
      </w:pPr>
    </w:p>
    <w:p>
      <w:pPr>
        <w:spacing w:before="59"/>
        <w:ind w:left="5130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炒菜机器人工程</w:t>
      </w: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spacing w:before="11"/>
        <w:rPr>
          <w:rFonts w:ascii="黑体"/>
          <w:b/>
          <w:sz w:val="36"/>
        </w:rPr>
      </w:pPr>
    </w:p>
    <w:p>
      <w:pPr>
        <w:spacing w:before="0"/>
        <w:ind w:left="4918" w:right="0" w:firstLine="0"/>
        <w:jc w:val="left"/>
        <w:rPr>
          <w:rFonts w:ascii="黑体" w:eastAsia="黑体" w:hint="eastAsia"/>
          <w:b/>
          <w:sz w:val="29"/>
        </w:rPr>
      </w:pPr>
      <w:r>
        <w:rPr>
          <w:rFonts w:ascii="黑体" w:eastAsia="黑体" w:hint="eastAsia"/>
          <w:b/>
          <w:w w:val="95"/>
          <w:sz w:val="29"/>
        </w:rPr>
        <w:t>可行性争论报告</w:t>
      </w: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rPr>
          <w:rFonts w:ascii="黑体"/>
          <w:b/>
          <w:sz w:val="28"/>
        </w:rPr>
      </w:pPr>
    </w:p>
    <w:p>
      <w:pPr>
        <w:pStyle w:val="BodyText"/>
        <w:spacing w:before="11"/>
        <w:rPr>
          <w:rFonts w:ascii="黑体"/>
          <w:b/>
          <w:sz w:val="29"/>
        </w:rPr>
      </w:pPr>
    </w:p>
    <w:p>
      <w:pPr>
        <w:pStyle w:val="Heading2"/>
        <w:spacing w:before="1"/>
        <w:ind w:left="4028" w:right="4313"/>
        <w:jc w:val="center"/>
        <w:rPr>
          <w:rFonts w:ascii="黑体" w:eastAsia="黑体" w:hint="eastAsia"/>
        </w:rPr>
      </w:pPr>
      <w:r>
        <w:rPr>
          <w:rFonts w:ascii="黑体" w:eastAsia="黑体" w:hint="eastAsia"/>
        </w:rPr>
        <w:t>规划设计 /</w:t>
      </w:r>
      <w:r>
        <w:rPr>
          <w:rFonts w:ascii="黑体" w:eastAsia="黑体" w:hint="eastAsia"/>
          <w:spacing w:val="-3"/>
        </w:rPr>
        <w:t xml:space="preserve"> 投资分析</w:t>
      </w:r>
    </w:p>
    <w:p>
      <w:pPr>
        <w:spacing w:after="0"/>
        <w:jc w:val="center"/>
        <w:rPr>
          <w:rFonts w:ascii="黑体" w:eastAsia="黑体" w:hint="eastAsia"/>
        </w:rPr>
        <w:sectPr>
          <w:headerReference w:type="default" r:id="rId4"/>
          <w:type w:val="continuous"/>
          <w:pgSz w:w="18360" w:h="23760"/>
          <w:pgMar w:top="2260" w:right="1240" w:bottom="280" w:left="1520" w:header="869" w:footer="708"/>
          <w:cols w:space="708"/>
        </w:sectPr>
      </w:pPr>
    </w:p>
    <w:p>
      <w:pPr>
        <w:pStyle w:val="BodyText"/>
        <w:spacing w:before="44"/>
        <w:ind w:left="4028" w:right="4302"/>
        <w:jc w:val="center"/>
        <w:rPr>
          <w:rFonts w:ascii="幼圆" w:eastAsia="幼圆" w:hint="eastAsia"/>
        </w:rPr>
      </w:pPr>
      <w:r>
        <w:rPr>
          <w:rFonts w:ascii="幼圆" w:eastAsia="幼圆" w:hint="eastAsia"/>
        </w:rPr>
        <w:t>摘要</w:t>
      </w:r>
    </w:p>
    <w:p>
      <w:pPr>
        <w:pStyle w:val="BodyText"/>
        <w:rPr>
          <w:rFonts w:ascii="幼圆"/>
          <w:sz w:val="44"/>
        </w:rPr>
      </w:pPr>
    </w:p>
    <w:p>
      <w:pPr>
        <w:pStyle w:val="BodyText"/>
        <w:spacing w:before="5"/>
        <w:rPr>
          <w:rFonts w:ascii="幼圆"/>
          <w:sz w:val="39"/>
        </w:rPr>
      </w:pPr>
    </w:p>
    <w:p>
      <w:pPr>
        <w:pStyle w:val="BodyText"/>
        <w:spacing w:line="405" w:lineRule="auto"/>
        <w:ind w:left="280" w:right="911" w:firstLine="900"/>
      </w:pPr>
      <w:r>
        <w:rPr>
          <w:spacing w:val="-8"/>
        </w:rPr>
        <w:t xml:space="preserve">该炒菜机器人工程打算总投资 </w:t>
      </w:r>
      <w:r>
        <w:t>11812.94</w:t>
      </w:r>
      <w:r>
        <w:rPr>
          <w:spacing w:val="-12"/>
        </w:rPr>
        <w:t xml:space="preserve"> 万元，其中：固定资产投资</w:t>
      </w:r>
      <w:r>
        <w:rPr>
          <w:w w:val="95"/>
        </w:rPr>
        <w:t>8100.15</w:t>
      </w:r>
      <w:r>
        <w:rPr>
          <w:spacing w:val="9"/>
          <w:w w:val="95"/>
        </w:rPr>
        <w:t xml:space="preserve"> 万元，占工程总投资的 </w:t>
      </w:r>
      <w:r>
        <w:rPr>
          <w:w w:val="95"/>
        </w:rPr>
        <w:t>68.57%；</w:t>
      </w:r>
      <w:r>
        <w:rPr>
          <w:spacing w:val="11"/>
          <w:w w:val="95"/>
        </w:rPr>
        <w:t xml:space="preserve">流淌资金 </w:t>
      </w:r>
      <w:r>
        <w:rPr>
          <w:w w:val="95"/>
        </w:rPr>
        <w:t>3712.79</w:t>
      </w:r>
      <w:r>
        <w:rPr>
          <w:spacing w:val="8"/>
          <w:w w:val="95"/>
        </w:rPr>
        <w:t xml:space="preserve"> 万元，占工程</w:t>
      </w:r>
      <w:r>
        <w:rPr>
          <w:spacing w:val="-23"/>
        </w:rPr>
        <w:t xml:space="preserve">总投资的 </w:t>
      </w:r>
      <w:r>
        <w:t>31.43%。</w:t>
      </w:r>
    </w:p>
    <w:p>
      <w:pPr>
        <w:pStyle w:val="BodyText"/>
        <w:spacing w:line="405" w:lineRule="auto"/>
        <w:ind w:left="280" w:right="688" w:firstLine="900"/>
      </w:pPr>
      <w:r>
        <w:rPr>
          <w:spacing w:val="1"/>
          <w:w w:val="95"/>
        </w:rPr>
        <w:t xml:space="preserve">达产年营业收入 </w:t>
      </w:r>
      <w:r>
        <w:rPr>
          <w:w w:val="95"/>
        </w:rPr>
        <w:t>27579.00</w:t>
      </w:r>
      <w:r>
        <w:rPr>
          <w:spacing w:val="1"/>
          <w:w w:val="95"/>
        </w:rPr>
        <w:t xml:space="preserve"> 万元，总本钱费用 </w:t>
      </w:r>
      <w:r>
        <w:rPr>
          <w:w w:val="95"/>
        </w:rPr>
        <w:t>21181.27 万元，税金及</w:t>
      </w:r>
      <w:r>
        <w:rPr>
          <w:spacing w:val="-38"/>
        </w:rPr>
        <w:t xml:space="preserve">附加 </w:t>
      </w:r>
      <w:r>
        <w:rPr>
          <w:spacing w:val="-1"/>
        </w:rPr>
        <w:t>215.50</w:t>
      </w:r>
      <w:r>
        <w:rPr>
          <w:spacing w:val="-28"/>
        </w:rPr>
        <w:t xml:space="preserve"> 万元，利润总额 </w:t>
      </w:r>
      <w:r>
        <w:t>6397.73</w:t>
      </w:r>
      <w:r>
        <w:rPr>
          <w:spacing w:val="-27"/>
        </w:rPr>
        <w:t xml:space="preserve"> 万元，利税总额 </w:t>
      </w:r>
      <w:r>
        <w:t>7495.68</w:t>
      </w:r>
      <w:r>
        <w:rPr>
          <w:spacing w:val="-20"/>
        </w:rPr>
        <w:t xml:space="preserve"> 万元，税后</w:t>
      </w:r>
      <w:r>
        <w:rPr>
          <w:spacing w:val="-28"/>
        </w:rPr>
        <w:t xml:space="preserve">净利润 </w:t>
      </w:r>
      <w:r>
        <w:t>4798.30</w:t>
      </w:r>
      <w:r>
        <w:rPr>
          <w:spacing w:val="-21"/>
        </w:rPr>
        <w:t xml:space="preserve"> 万元，达产年纳税总额 </w:t>
      </w:r>
      <w:r>
        <w:t>2697.38</w:t>
      </w:r>
      <w:r>
        <w:rPr>
          <w:spacing w:val="-12"/>
        </w:rPr>
        <w:t xml:space="preserve"> 万元；达产年投资利润率</w:t>
      </w:r>
      <w:r>
        <w:rPr>
          <w:spacing w:val="-1"/>
        </w:rPr>
        <w:t>54.16</w:t>
      </w:r>
      <w:r>
        <w:rPr>
          <w:spacing w:val="-15"/>
        </w:rPr>
        <w:t xml:space="preserve">%，投资利税率 </w:t>
      </w:r>
      <w:r>
        <w:t>63.45</w:t>
      </w:r>
      <w:r>
        <w:rPr>
          <w:spacing w:val="-14"/>
        </w:rPr>
        <w:t xml:space="preserve">%，投资回报率 </w:t>
      </w:r>
      <w:r>
        <w:t>40.62%，全部投资回收期 3.96</w:t>
      </w:r>
      <w:r>
        <w:rPr>
          <w:spacing w:val="1"/>
        </w:rPr>
        <w:t xml:space="preserve"> </w:t>
      </w:r>
      <w:r>
        <w:rPr>
          <w:spacing w:val="-13"/>
        </w:rPr>
        <w:t xml:space="preserve">年，供给就业职位 </w:t>
      </w:r>
      <w:r>
        <w:t>482</w:t>
      </w:r>
      <w:r>
        <w:rPr>
          <w:spacing w:val="-39"/>
        </w:rPr>
        <w:t xml:space="preserve"> 个。</w:t>
      </w:r>
    </w:p>
    <w:p>
      <w:pPr>
        <w:pStyle w:val="BodyText"/>
        <w:spacing w:line="405" w:lineRule="auto"/>
        <w:ind w:left="280" w:right="467" w:firstLine="900"/>
      </w:pPr>
      <w:r>
        <w:rPr>
          <w:spacing w:val="-1"/>
        </w:rPr>
        <w:t>认真贯彻执行“三高、三少”的原则。“三高”即：高起点、高水平、</w:t>
      </w:r>
      <w:r>
        <w:t>高投资回报率；“三少”即：少占地、少能耗、少排放。</w:t>
      </w:r>
    </w:p>
    <w:p>
      <w:pPr>
        <w:pStyle w:val="BodyText"/>
        <w:spacing w:line="405" w:lineRule="auto"/>
        <w:ind w:left="280" w:right="467" w:firstLine="900"/>
      </w:pPr>
      <w:r>
        <w:t>工程概况、投资背景和必要性分析、产业分析推测、建设规划分析、</w:t>
      </w:r>
      <w:r>
        <w:rPr>
          <w:spacing w:val="1"/>
        </w:rPr>
        <w:t xml:space="preserve"> </w:t>
      </w:r>
      <w:r>
        <w:rPr>
          <w:spacing w:val="-1"/>
        </w:rPr>
        <w:t>工程选址分析、工程工程设计、工艺技术、环境影响说明、安全经营标准、风险应对说明、节能方案、打算安排、工程投资规划、工程盈利力量分析、</w:t>
      </w:r>
      <w:r>
        <w:t>总结评价等。</w:t>
      </w:r>
    </w:p>
    <w:p>
      <w:pPr>
        <w:spacing w:after="0" w:line="405" w:lineRule="auto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https://d.book118.com/666230041151010030</w:t>
        </w:r>
      </w:hyperlink>
    </w:p>
    <w:p>
      <w:pPr>
        <w:spacing w:after="0" w:line="405" w:lineRule="auto"/>
      </w:pPr>
    </w:p>
    <w:sectPr>
      <w:headerReference w:type="default" r:id="rId6"/>
      <w:pgSz w:w="18360" w:h="23760"/>
      <w:pgMar w:top="2260" w:right="1240" w:bottom="280" w:left="1520" w:header="869" w:footer="0"/>
      <w:pgNumType w:start="2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110.75pt;height:16.95pt;margin-top:42.45pt;margin-left:89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</w:p>
            </w:txbxContent>
          </v:textbox>
        </v:shape>
      </w:pict>
    </w:r>
    <w:r>
      <w:pict>
        <v:shape id="_x0000_s2050" type="#_x0000_t202" style="width:211.2pt;height:16.95pt;margin-top:42.45pt;margin-left:220.43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w w:val="95"/>
                    <w:sz w:val="30"/>
                  </w:rPr>
                  <w:t>炒菜机器人工程可行性争论报告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110.75pt;height:16.95pt;margin-top:42.45pt;margin-left:89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</w:p>
            </w:txbxContent>
          </v:textbox>
        </v:shape>
      </w:pict>
    </w:r>
    <w:r>
      <w:pict>
        <v:shape id="_x0000_s2052" type="#_x0000_t202" style="width:211.2pt;height:16.95pt;margin-top:42.45pt;margin-left:220.43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39" w:lineRule="exact"/>
                  <w:ind w:left="20" w:right="0" w:firstLine="0"/>
                  <w:jc w:val="left"/>
                  <w:rPr>
                    <w:sz w:val="30"/>
                  </w:rPr>
                </w:pPr>
                <w:r>
                  <w:rPr>
                    <w:w w:val="95"/>
                    <w:sz w:val="30"/>
                  </w:rPr>
                  <w:t>炒菜机器人工程可行性争论报告</w:t>
                </w:r>
              </w:p>
            </w:txbxContent>
          </v:textbox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仿宋" w:eastAsia="仿宋" w:hAnsi="仿宋" w:cs="仿宋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仿宋" w:eastAsia="仿宋" w:hAnsi="仿宋" w:cs="仿宋"/>
      <w:sz w:val="45"/>
      <w:szCs w:val="45"/>
    </w:rPr>
  </w:style>
  <w:style w:type="paragraph" w:customStyle="1" w:styleId="Heading1">
    <w:name w:val="Heading 1"/>
    <w:basedOn w:val="Normal"/>
    <w:uiPriority w:val="1"/>
    <w:qFormat/>
    <w:pPr>
      <w:ind w:left="1180"/>
      <w:outlineLvl w:val="1"/>
    </w:pPr>
    <w:rPr>
      <w:rFonts w:ascii="黑体" w:eastAsia="黑体" w:hAnsi="黑体" w:cs="黑体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1180"/>
      <w:outlineLvl w:val="2"/>
    </w:pPr>
    <w:rPr>
      <w:rFonts w:ascii="仿宋" w:eastAsia="仿宋" w:hAnsi="仿宋" w:cs="仿宋"/>
      <w:b/>
      <w:bCs/>
      <w:sz w:val="45"/>
      <w:szCs w:val="4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58"/>
      <w:ind w:left="50"/>
    </w:pPr>
    <w:rPr>
      <w:rFonts w:ascii="仿宋" w:eastAsia="仿宋" w:hAnsi="仿宋" w:cs="仿宋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yperlink" Target="https://d.book118.com/666230041151010030" TargetMode="External" /><Relationship Id="rId6" Type="http://schemas.openxmlformats.org/officeDocument/2006/relationships/header" Target="head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2023-10-16T06:59:07Z</dcterms:created>
  <dcterms:modified xsi:type="dcterms:W3CDTF">2023-10-16T06:59:07Z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2023-01-23T00:00:00Z</vt:filetime>
  </property>
  <property fmtid="{D5CDD505-2E9C-101B-9397-08002B2CF9AE}" pid="3" name="LastSaved">
    <vt:filetime>2023-10-16T00:00:00Z</vt:filetime>
  </property>
</Properties>
</file>