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2023年卫生资格(中初级)-心电学技术(主管技师)考考试历年高频核心考点选编附答案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一.参考题库(共20题)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患者男性，58岁，冠心病。心电图如图4-2-1所示，提示为（）。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5448872" cy="1990934"/>
            <wp:effectExtent l="0" t="0" r="0" b="0"/>
            <wp:docPr id="86" name="_x0000_i00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_x0000_i008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48872" cy="1990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A、心房颤动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B、心房扑动伴室内差异性传导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C、心房颤动伴室内差异性传导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D、心房颤动，室性期前收缩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E、阵发性室上性心动过速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以下情况可引起额面QRS心电轴左偏，但应除外（）。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A、矮胖体型、大量腹水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B、B型预激综合征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C、肺气肿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D、高钾血症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E、左心室肥大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下列不会对起搏器产生干扰的是（）。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A、外科手术7电刀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B、体外碎石冲击波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C、X线检查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D、磁共振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E、经胸除颤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患者男性，50岁，乏力，活动后有胸痛症状，硝酸甘油治疗无效。在胸骨左缘可闻及收缩中、晚期粗糙的吹风样杂音。X线示心影左缘明显突出，超声心动图提示室间隔明显增厚，回声增强，室间隔厚度与左心室后壁厚度之比（IVS／LVPW）〉1.3，超声心动图诊断为肥厚型心肌病。梗阻性与非梗阻性肥厚型心肌病的主要鉴别点是（）。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A、前者室间隔厚度明显大于后者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B、前者左心房明显增大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C、前者左心室后壁厚度增厚，而后者正常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D、前者室间隔厚度与左心室后壁厚度之比（IVS／LVPW）&gt;1.3，后者IVS／LVPW&lt;1.3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E、前者有左心室流出道狭窄，后者无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患者男性，29岁，反复发作心悸7年。此次因突发心悸就诊，心电图如图3-12-5所示。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6344316" cy="5363138"/>
            <wp:effectExtent l="0" t="0" r="0" b="0"/>
            <wp:docPr id="87" name="_x0000_i00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_x0000_i0087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344316" cy="53631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根据该心电图特征可初步诊断为（）。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A、窄QRS波群心动过速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B、窦-室传导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C、预激综合征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D、窦性心动过速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E、宽QRS波群心动过速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患者女性，60岁。因病态窦房结综合征植入AAI起搏器，下限起搏频率设定为800ms（频率为75次／分）。近来有心悸症状就诊，心电图检查见图4-8-19。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96042" cy="2200506"/>
            <wp:effectExtent l="0" t="0" r="0" b="0"/>
            <wp:docPr id="88" name="_x0000_i00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_x0000_i008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96042" cy="2200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心电图上可见长、短两种心房起搏间期，最可能的原因是（）。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A、起搏器电池耗竭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B、频率滞后功能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C、感知过度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D、感知不良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E、电极脱位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交叉感知是指（）。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A、一个心腔的电信号被另一个心腔电路所感知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B、心房电路感知了P波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C、心房电路感知了肌电位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D、心室电路感知了T波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E、心室电路感知了QRS波群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患者女性，40岁，风湿性心脏病，二尖瓣狭窄合并关闭不全。心电图如图所示，提示（）。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610584" cy="2857800"/>
            <wp:effectExtent l="0" t="0" r="0" b="0"/>
            <wp:docPr id="89" name="_x0000_i00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_x0000_i0089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10584" cy="285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2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A、双侧心房和双侧心室肥大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B、右心室肥大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C、左心房和右心室肥大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D、双侧心房肥大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E、双侧心室肥大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评估左、右心室局部功能采用（）。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A、首次通过法核素心室造影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B、平衡法核素心室造影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C、99mTc-PYP显像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D、18F-FDG心肌代谢显像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E、99mTc-tetrofosmin心肌显像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心肌桥是指（）。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A、舒张期局部肌小梁消失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B、仅有收缩期局部膨出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C、室壁破裂在心包形成血肿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D、收缩期和舒张期左心室局部膨出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E、冠状动脉一部分行走于心外膜心肌下方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患者男性，63岁，有冠心病史，近来发生晕厥2次。住院期间发生阿-斯综合征，并记录到心电图如图3-12-3所示，应诊断为（）。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5134514" cy="1066912"/>
            <wp:effectExtent l="0" t="0" r="0" b="0"/>
            <wp:docPr id="90" name="_x0000_i00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_x0000_i009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134514" cy="10669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A、心室扑动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B、心室颤动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C、尖端扭转型室性心动过速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D、WPW综合征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E、双向性室性心动过速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急性心包炎的心电图表现为（）。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A、相关导联ST段呈弓背向上型抬高，变化迅速，出现病理性Q波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B、普遍导联ST段呈凹面向上型抬高（aVR、V1导联除外），不出现病理性Q波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C、ST段呈凹面向上型抬高，主要为J点抬高，多见于胸导联，不出现病理性Q波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D、相关导联一过性ST段抬高，对应导联ST段下移，变化迅速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E、相关导联ST段呈弓背向上型抬高，持续达数月，有病理性Q波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患者女性，30岁，反复发作心悸4年。此次因突发心悸就诊，心电图如图3-12-7所示。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572480" cy="4905890"/>
            <wp:effectExtent l="0" t="0" r="0" b="0"/>
            <wp:docPr id="91" name="_x0000_i00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_x0000_i0091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572480" cy="4905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为达到根治目的，宜采取的治疗方法是（）。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A、口服抗心律失常药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B、ICD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C、外科手术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D、射频消融术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E、超速抑制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患者男性，45岁，发作性胸痛3年，常于活动时发作，休息后胸痛即可缓解，常规心电图示部分导联ST段轻度压低。血压为120／80mmHg。患者接受运动试验检查，运动前血压120／90mmHg。运动3分钟时出现胸痛，心电图示V2～V6导联ST段水平型下移0.05mV，测血压为100／85mmHg，此时应该（）。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A、继续完成检查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B、立即停止检查，平卧观察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C、静脉注射多巴胺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D、减慢运动速度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E、补充血容量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6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J点从基线明显偏移，形成一定的幅度（&gt;0.1mV），持续一定时间（&gt;20ms），呈尖峰状或驼峰状（）。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A、Brugada波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B、Epsilon波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C、Lambda波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D、Niagara波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E、Osborn波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起搏器感知过度是指（）。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A、起搏器对心脏自身的P波不能感知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B、起搏器对心脏自身的QRS波群不能感知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C、双腔起搏器感知房性期前收缩或其他信号后出现快速、规整的心室起搏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D、出现长于基础起搏间期的固定起搏RR间距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E、起搏器对不应该感知的信号进行感知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关于体外受精，下列表述正确的是（）。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A、体外受精可以解决男性性功能异常不能正常性交者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B、体外受精主要适用于男性精液中轻度少精、弱精或其他轻度男性不育者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C、体外受精现已发展到第三代试管婴儿，技术上更加完善，因此应大力推广，并淘汰对第一代和第二代试管婴儿技术的使用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D、体外受精必须和胚胎移植技术结合使用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冠状动脉均衡型是指（）。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A、窦房结的60%来源于右冠状动脉，40%来源于左回旋支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B、房室结的98%来源于右冠状动脉，2%来源于左回旋支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C、左室的后降支和后支均来源于左回旋支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D、左室的后降支来源于右冠状动脉，左室后支来源于左回旋支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E、左室的后降支和后支均来源于右冠状动脉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宽QRS波群心动过速时出现室性融合波，支持（）。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A、室性心动过速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B、室上性心动过速伴室内差异性传导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C、预激综合征合并心房颤动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D、逆向型房室折返性心动过速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E、起搏器介导的心动过速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患者女性，41岁。胸闷2月待查。心电图检查显示为窦性心律，可见长PP间距是正常窦性PP间距的2倍或3倍，应诊断为（）。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A、心室颤动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B、室性逸搏心律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C、窦性停搏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D、二度Ⅱ型窦房阻滞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E、交界性逸搏心律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第二卷</w:t>
      </w: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1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患者男性，63岁，冠心病史20余年。近年来胸闷、头晕、黑矇，心电图检查见图3-7-6，应诊断为（）。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6401472" cy="3743718"/>
            <wp:effectExtent l="0" t="0" r="0" b="0"/>
            <wp:docPr id="92" name="_x0000_i0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_x0000_i009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401472" cy="3743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A、窦性心律不齐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B、三度房室传导阻滞，交界性逸搏心律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C、窦性心动过缓伴不齐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D、严重窦性心动过缓，一度房室传导阻滞，窦性停搏伴交界性逸搏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E、窦性心律，高度房室传导阻滞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患者男性，69岁，急性心肌梗死，心电图记录到宽QRS波群心动过速，首先应考虑为（）。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A、室性心动过速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B、室内差异性传导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C、心房颤动伴室性心动过速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D、阵发性室上性心动过速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E、窦性心动过速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9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人工心脏起搏器编码的第1个字母代表（）。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A、起搏的心腔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B、感知的心腔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C、感知后的反应方式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D、程控、遥测、频率应答功能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E、抗快速心律失常功能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患者女性，68岁，因三度房室传导阻滞植入起搏器7年。现随访检测起搏器功能，记录心电图如图4-8-4所示，图中箭头处的正常QRS波群起始部有起搏脉冲，提示为（）。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582006" cy="3600828"/>
            <wp:effectExtent l="0" t="0" r="0" b="0"/>
            <wp:docPr id="93" name="_x0000_i00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_x0000_i0093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582006" cy="3600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A、起搏功能异常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B、感知功能异常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C、真性室性融合波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D、假性室性融合波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E、起搏＋感知功能异常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1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患者女性，56岁，反复发作心悸，心电图检查如图4-7-6所示（图中ESO为食管导联心电图）。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4353382" cy="4019972"/>
            <wp:effectExtent l="0" t="0" r="0" b="0"/>
            <wp:docPr id="94" name="_x0000_i00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_x0000_i0094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353382" cy="40199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用超速抑制方法，刺激频率从200～300次／分均不能终止心动过速，当刺激频率达到420次／分时，心动过速终止，转为窦性心律，提示图4-7-6的诊断可能为（）。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A、窦性心动过速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B、心房颤动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C、心房扑动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D、室上性心动过速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E、房性心动过速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患者女性，60岁。因病态窦房结综合征植入AAI起搏器，下限起搏频率设定为800ms（频率为75次／分）。近来有心悸症状就诊，心电图检查见图4-8-19。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3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96042" cy="2200506"/>
            <wp:effectExtent l="0" t="0" r="0" b="0"/>
            <wp:docPr id="95" name="_x0000_i00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_x0000_i0095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96042" cy="22005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避免发生上述现象的简单而可行的解决方法是（）。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A、更换起搏器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B、关闭频率滞后功能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C、提高感知阈值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D、降低心房起搏输出电压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E、重新放置电极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冠心病心肌梗死患者的超声心动图表现为（）。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A、节段性室壁运动异常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B、弥漫性室壁运动异常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C、心肌的局限性肥厚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D、二尖瓣曲线呈城墙样改变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E、左心室对称性肥厚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关于AAI起搏器的阐述，正确的是（）。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A、不能保持房室同步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B、电极导线通常放置在左心耳处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C、具有生理性起搏功能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D、适用于心房静止者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E、感知自身心房活动后触发心房脉冲的发放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4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患者男性，66岁，高血压病史10年。自觉心悸、胸闷3天就诊。心电图如图3-1-7所示，应诊断为（）。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6696778" cy="5086884"/>
            <wp:effectExtent l="0" t="0" r="0" b="0"/>
            <wp:docPr id="96" name="_x0000_i00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_x0000_i0096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696778" cy="50868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A、左心房肥大，左心室肥大，室性期前收缩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B、双侧心房肥大，双侧心室肥大，室性期前收缩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C、右心房肥大，右心室肥大，室性期前收缩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D、左心房肥大，右心室肥大，室性期前收缩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E、不完全性左束支阻滞，室性期前收缩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反映左心室舒张功能受损的指标是（）。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A、E峰值速度升高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B、A峰值速度减低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C、E／A&gt;1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D、E／A&lt;1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E、E／A=1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二尖瓣轻度反流（）。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A、反流束面积与左心房面积的比值为45%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B、反流束面积与左心房面积的比值为15%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C、反流束面积与左心房面积的比值为30%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6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D、主动脉瓣口面积为0.6cm2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E、主动脉瓣口面积为0.8cm2</w:t>
      </w:r>
    </w:p>
    <w:p>
      <w:pPr>
        <w:pStyle w:val="Normal3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患者女性，16岁，有甲状腺功能亢进病史，因下肢无力而跌倒。心电图如图3-6-6所示，应考虑为（）。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5877542" cy="3257892"/>
            <wp:effectExtent l="0" t="0" r="0" b="0"/>
            <wp:docPr id="97" name="_x0000_i00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_x0000_i0097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877542" cy="3257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A、正常心电图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B、高钾血症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C、低钾血症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D、低钙血症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E、ST-T改变提示心肌炎可能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功能性室壁瘤是指（）。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A、舒张期局部肌小梁消失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B、仅有收缩期局部膨出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C、室壁破裂在心包形成血肿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D、收缩期和舒张期左心室局部膨出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E、冠状动脉一部分行走于心外膜心肌下方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科学的生育观认为（）。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A、人口越多越好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B、人口繁殖应遵循自然法则，不可人工干预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C、今天人类应该而且能够控制自己的生育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D、应该努力控制人口增长，因为人口越少越好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"肺门舞蹈征"常见于（）。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A、室间隔缺损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8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B、房间隔缺损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C、动脉导管未闭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D、法洛四联症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E、肺动脉狭窄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二尖瓣中度狭窄时的瓣口面积为（）。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A、0.5～1.0cm2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B、2.0～2.5cm2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C、1.0～1.5cm2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D、&lt;0.5cm2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E、1.5～2.0cm2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患者男性，67岁，平素有胸闷、头晕、乏力、黑矇症状，体表心电图示窦性心动过缓，行食管电生理检查测定窦房结功能。心电图如图4-7-2所示，S1S1定时刺激终止后出现长间距称为（）。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5172618" cy="1371744"/>
            <wp:effectExtent l="0" t="0" r="0" b="0"/>
            <wp:docPr id="98" name="_x0000_i00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_x0000_i0098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172618" cy="13717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A、窦房结恢复时间延长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B、继发性停搏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C、固有心率降低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D、窦房传导时间延长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E、窦房传导时间缩短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患者男性，25岁，反复心悸数年，食管电生理检查诱发出心动过速如图4-7-7所示（图中ESO为食管导联心电图），心室率约210次／分，QRS波群时限0.06s。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0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6591992" cy="5296456"/>
            <wp:effectExtent l="0" t="0" r="0" b="0"/>
            <wp:docPr id="99" name="_x0000_i00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_x0000_i0099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591992" cy="52964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选择终止该患者心动过速的最佳刺激频率为（）。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A、210次／分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B、100次／分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C、500次／分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D、260次／分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E、400次／分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患者男性，57岁，平素头晕、乏力，行食管电生理检查测定窦房结功能，图4-7-1中出现的第2个长间距（2800ms）称为（）。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6401472" cy="1390796"/>
            <wp:effectExtent l="0" t="0" r="0" b="0"/>
            <wp:docPr id="100" name="_x0000_i0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_x0000_i0100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6401472" cy="1390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A、窦房结不应期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B、窦房传导时间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C、窦房结恢复时间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D、窦房结总恢复时间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E、继发性停搏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根据（），器官移植技术是作为最后的治疗手段来使用的（）。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A、患者健康利益至上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B、唯一性原则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C、保密原则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D、知情同意原则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  <w:r>
        <w:rPr>
          <w:rFonts w:ascii="宋体" w:eastAsia="宋体" w:hAnsi="宋体" w:cs="宋体"/>
          <w:b/>
          <w:color w:val="000000"/>
          <w:sz w:val="32"/>
          <w:szCs w:val="28"/>
        </w:rPr>
        <w:t>第三卷</w:t>
      </w: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39"/>
        <w:jc w:val="center"/>
        <w:rPr>
          <w:rFonts w:ascii="宋体" w:hAnsi="宋体" w:cs="宋体"/>
          <w:b/>
          <w:color w:val="000000"/>
          <w:sz w:val="32"/>
          <w:szCs w:val="28"/>
        </w:rPr>
      </w:pPr>
    </w:p>
    <w:p>
      <w:pPr>
        <w:pStyle w:val="Normal39"/>
        <w:jc w:val="left"/>
        <w:rPr>
          <w:rFonts w:ascii="宋体" w:hAnsi="宋体" w:cs="宋体"/>
          <w:b/>
          <w:color w:val="000000"/>
          <w:sz w:val="28"/>
          <w:szCs w:val="28"/>
        </w:rPr>
      </w:pPr>
      <w:r>
        <w:rPr>
          <w:rFonts w:ascii="宋体" w:eastAsia="宋体" w:hAnsi="宋体" w:cs="宋体"/>
          <w:b/>
          <w:color w:val="000000"/>
          <w:sz w:val="28"/>
          <w:szCs w:val="28"/>
        </w:rPr>
        <w:t>一.参考题库(共20题)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4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患者男性，67岁，高血压病史8年，长期口服利尿剂降压治疗。心电图如图3-6-1所示，应诊断为（）。</w:t>
      </w:r>
      <w:r>
        <w:rPr>
          <w:rFonts w:ascii="黑体" w:eastAsia="黑体" w:hAnsi="黑体"/>
          <w:sz w:val="24"/>
          <w:szCs w:val="28"/>
        </w:rPr>
        <w:tab/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5258352" cy="2619650"/>
            <wp:effectExtent l="0" t="0" r="0" b="0"/>
            <wp:docPr id="101" name="_x0000_i0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_x0000_i0101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58352" cy="261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A、低钾血症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B、高钾血症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C、低钙血症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D、高钙血症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E、低钠血症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二尖瓣重度反流是指反流束面积与左心房面积的比值（）。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A、50%</w:t>
      </w:r>
    </w:p>
    <w:p>
      <w:pPr>
        <w:pStyle w:val="Normal4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患者男性，46岁，反复发作胸痛3天，胸痛持续数分钟，可自行缓解。此次就诊时再次发作胸痛，胸痛发作到胸痛消失的心电图记录如图3-2-4所示，应诊断为（）。</w:t>
      </w: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https://d.book118.com/667022022201006032</w:t>
        </w:r>
      </w:hyperlink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37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image" Target="media/image4.jpeg" /><Relationship Id="rId12" Type="http://schemas.openxmlformats.org/officeDocument/2006/relationships/footer" Target="footer4.xml" /><Relationship Id="rId13" Type="http://schemas.openxmlformats.org/officeDocument/2006/relationships/image" Target="media/image5.jpeg" /><Relationship Id="rId14" Type="http://schemas.openxmlformats.org/officeDocument/2006/relationships/footer" Target="footer5.xml" /><Relationship Id="rId15" Type="http://schemas.openxmlformats.org/officeDocument/2006/relationships/image" Target="media/image6.jpeg" /><Relationship Id="rId16" Type="http://schemas.openxmlformats.org/officeDocument/2006/relationships/footer" Target="footer6.xml" /><Relationship Id="rId17" Type="http://schemas.openxmlformats.org/officeDocument/2006/relationships/footer" Target="footer7.xml" /><Relationship Id="rId18" Type="http://schemas.openxmlformats.org/officeDocument/2006/relationships/image" Target="media/image7.jpeg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image" Target="media/image8.jpeg" /><Relationship Id="rId21" Type="http://schemas.openxmlformats.org/officeDocument/2006/relationships/footer" Target="footer9.xml" /><Relationship Id="rId22" Type="http://schemas.openxmlformats.org/officeDocument/2006/relationships/image" Target="media/image9.jpeg" /><Relationship Id="rId23" Type="http://schemas.openxmlformats.org/officeDocument/2006/relationships/footer" Target="footer10.xml" /><Relationship Id="rId24" Type="http://schemas.openxmlformats.org/officeDocument/2006/relationships/footer" Target="footer11.xml" /><Relationship Id="rId25" Type="http://schemas.openxmlformats.org/officeDocument/2006/relationships/image" Target="media/image10.jpeg" /><Relationship Id="rId26" Type="http://schemas.openxmlformats.org/officeDocument/2006/relationships/footer" Target="footer12.xml" /><Relationship Id="rId27" Type="http://schemas.openxmlformats.org/officeDocument/2006/relationships/image" Target="media/image11.jpeg" /><Relationship Id="rId28" Type="http://schemas.openxmlformats.org/officeDocument/2006/relationships/footer" Target="footer13.xml" /><Relationship Id="rId29" Type="http://schemas.openxmlformats.org/officeDocument/2006/relationships/image" Target="media/image12.jpeg" /><Relationship Id="rId3" Type="http://schemas.openxmlformats.org/officeDocument/2006/relationships/fontTable" Target="fontTable.xml" /><Relationship Id="rId30" Type="http://schemas.openxmlformats.org/officeDocument/2006/relationships/footer" Target="footer14.xml" /><Relationship Id="rId31" Type="http://schemas.openxmlformats.org/officeDocument/2006/relationships/image" Target="media/image13.jpeg" /><Relationship Id="rId32" Type="http://schemas.openxmlformats.org/officeDocument/2006/relationships/footer" Target="footer15.xml" /><Relationship Id="rId33" Type="http://schemas.openxmlformats.org/officeDocument/2006/relationships/image" Target="media/image14.jpeg" /><Relationship Id="rId34" Type="http://schemas.openxmlformats.org/officeDocument/2006/relationships/footer" Target="footer16.xml" /><Relationship Id="rId35" Type="http://schemas.openxmlformats.org/officeDocument/2006/relationships/image" Target="media/image15.jpeg" /><Relationship Id="rId36" Type="http://schemas.openxmlformats.org/officeDocument/2006/relationships/hyperlink" Target="https://d.book118.com/667022022201006032" TargetMode="External" /><Relationship Id="rId37" Type="http://schemas.openxmlformats.org/officeDocument/2006/relationships/footer" Target="footer17.xm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jpe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image" Target="media/image2.jpeg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