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14E" w:rsidP="00C4614E">
      <w:pPr>
        <w:pStyle w:val="NormalWeb"/>
        <w:spacing w:before="0" w:beforeAutospacing="0" w:after="0" w:afterAutospacing="0"/>
        <w:jc w:val="center"/>
        <w:rPr>
          <w:color w:val="000000"/>
          <w:sz w:val="44"/>
          <w:szCs w:val="44"/>
        </w:rPr>
      </w:pPr>
      <w:r>
        <w:rPr>
          <w:rFonts w:hint="eastAsia"/>
          <w:color w:val="000000"/>
          <w:sz w:val="44"/>
          <w:szCs w:val="44"/>
        </w:rPr>
        <w:t>﻿2024湖北省安全员《C证》考试题库</w:t>
      </w:r>
    </w:p>
    <w:p w:rsidR="00C4614E" w:rsidP="00C4614E">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C4614E" w:rsidP="00C4614E">
      <w:pPr>
        <w:jc w:val="left"/>
        <w:rPr>
          <w:rFonts w:ascii="宋体" w:hAnsi="宋体" w:cs="宋体"/>
          <w:sz w:val="24"/>
          <w:szCs w:val="24"/>
        </w:rPr>
      </w:pPr>
      <w:r>
        <w:rPr>
          <w:rFonts w:ascii="Times New Roman" w:hAnsi="Times New Roman" w:cs="Times New Roman"/>
          <w:color w:val="000000"/>
          <w:sz w:val="27"/>
          <w:szCs w:val="27"/>
        </w:rPr>
        <w:br/>
      </w:r>
    </w:p>
    <w:p w:rsidR="00C4614E" w:rsidP="00C4614E">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C4614E" w:rsidP="00C4614E">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离开特种作业岗位达</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以上的特种作业人员</w:t>
      </w:r>
      <w:r>
        <w:rPr>
          <w:rFonts w:ascii="Times New Roman" w:hAnsi="Times New Roman" w:cs="Times New Roman"/>
          <w:color w:val="000000"/>
          <w:sz w:val="27"/>
          <w:szCs w:val="27"/>
        </w:rPr>
        <w:t>,</w:t>
      </w:r>
      <w:r>
        <w:rPr>
          <w:rFonts w:ascii="Times New Roman" w:hAnsi="Times New Roman" w:cs="Times New Roman"/>
          <w:color w:val="000000"/>
          <w:sz w:val="27"/>
          <w:szCs w:val="27"/>
        </w:rPr>
        <w:t>应当重新进行实际操作考核</w:t>
      </w:r>
      <w:r>
        <w:rPr>
          <w:rFonts w:ascii="Times New Roman" w:hAnsi="Times New Roman" w:cs="Times New Roman"/>
          <w:color w:val="000000"/>
          <w:sz w:val="27"/>
          <w:szCs w:val="27"/>
        </w:rPr>
        <w:t>,</w:t>
      </w:r>
      <w:r>
        <w:rPr>
          <w:rFonts w:ascii="Times New Roman" w:hAnsi="Times New Roman" w:cs="Times New Roman"/>
          <w:color w:val="000000"/>
          <w:sz w:val="27"/>
          <w:szCs w:val="27"/>
        </w:rPr>
        <w:t>经确认合格后方可上岗作业。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半年</w:t>
      </w:r>
      <w:r>
        <w:rPr>
          <w:rFonts w:ascii="Times New Roman" w:hAnsi="Times New Roman" w:cs="Times New Roman"/>
          <w:color w:val="000000"/>
          <w:sz w:val="27"/>
          <w:szCs w:val="27"/>
        </w:rPr>
        <w:t xml:space="preserve"> B.1</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年</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易燃仓库内严禁使用</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照明灯具。</w:t>
      </w:r>
      <w:r>
        <w:rPr>
          <w:rFonts w:ascii="Times New Roman" w:hAnsi="Times New Roman" w:cs="Times New Roman"/>
          <w:color w:val="000000"/>
          <w:sz w:val="27"/>
          <w:szCs w:val="27"/>
        </w:rPr>
        <w:br/>
        <w:t>A.</w:t>
      </w:r>
      <w:r>
        <w:rPr>
          <w:rFonts w:ascii="Times New Roman" w:hAnsi="Times New Roman" w:cs="Times New Roman"/>
          <w:color w:val="000000"/>
          <w:sz w:val="27"/>
          <w:szCs w:val="27"/>
        </w:rPr>
        <w:t>碘钨灯</w:t>
      </w:r>
      <w:r>
        <w:rPr>
          <w:rFonts w:ascii="Times New Roman" w:hAnsi="Times New Roman" w:cs="Times New Roman"/>
          <w:color w:val="000000"/>
          <w:sz w:val="27"/>
          <w:szCs w:val="27"/>
        </w:rPr>
        <w:t xml:space="preserve"> B.25</w:t>
      </w:r>
      <w:r>
        <w:rPr>
          <w:rFonts w:ascii="Times New Roman" w:hAnsi="Times New Roman" w:cs="Times New Roman"/>
          <w:color w:val="000000"/>
          <w:sz w:val="27"/>
          <w:szCs w:val="27"/>
        </w:rPr>
        <w:t>瓦白炽灯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日光灯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防爆灯</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从业人员经过安全教育培训，了解岗位操作规程，但未遵守而造成事故的，行为人应负（</w:t>
      </w:r>
      <w:r>
        <w:rPr>
          <w:rFonts w:ascii="Times New Roman" w:hAnsi="Times New Roman" w:cs="Times New Roman"/>
          <w:color w:val="000000"/>
          <w:sz w:val="27"/>
          <w:szCs w:val="27"/>
        </w:rPr>
        <w:t>D</w:t>
      </w:r>
      <w:r>
        <w:rPr>
          <w:rFonts w:ascii="Times New Roman" w:hAnsi="Times New Roman" w:cs="Times New Roman"/>
          <w:color w:val="000000"/>
          <w:sz w:val="27"/>
          <w:szCs w:val="27"/>
        </w:rPr>
        <w:t>）责任，有关负责人应负（</w:t>
      </w:r>
      <w:r>
        <w:rPr>
          <w:rFonts w:ascii="Times New Roman" w:hAnsi="Times New Roman" w:cs="Times New Roman"/>
          <w:color w:val="000000"/>
          <w:sz w:val="27"/>
          <w:szCs w:val="27"/>
        </w:rPr>
        <w:t>D</w:t>
      </w:r>
      <w:r>
        <w:rPr>
          <w:rFonts w:ascii="Times New Roman" w:hAnsi="Times New Roman" w:cs="Times New Roman"/>
          <w:color w:val="000000"/>
          <w:sz w:val="27"/>
          <w:szCs w:val="27"/>
        </w:rPr>
        <w:t>）责任。</w:t>
      </w:r>
      <w:r>
        <w:rPr>
          <w:rFonts w:ascii="Times New Roman" w:hAnsi="Times New Roman" w:cs="Times New Roman"/>
          <w:color w:val="000000"/>
          <w:sz w:val="27"/>
          <w:szCs w:val="27"/>
        </w:rPr>
        <w:br/>
        <w:t>A.</w:t>
      </w:r>
      <w:r>
        <w:rPr>
          <w:rFonts w:ascii="Times New Roman" w:hAnsi="Times New Roman" w:cs="Times New Roman"/>
          <w:color w:val="000000"/>
          <w:sz w:val="27"/>
          <w:szCs w:val="27"/>
        </w:rPr>
        <w:t>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间接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领导</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管理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直接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管理</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根据《建筑施工企业安全生产许可证管理规定》，建筑施工企业安全生产许可证有效期为（</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）年。</w:t>
      </w:r>
      <w:r>
        <w:rPr>
          <w:rFonts w:ascii="Times New Roman" w:hAnsi="Times New Roman" w:cs="Times New Roman"/>
          <w:color w:val="000000"/>
          <w:sz w:val="27"/>
          <w:szCs w:val="27"/>
        </w:rPr>
        <w:br/>
        <w:t>A.1 B.2 C.3 D.5</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两个以上生产经营单位在同一作业区域内进行可能危及对方安全生产的生产经营活动，未签订安全生产管理协议或者未指定专职安全生产管理人员进行安全检查与协调的，责令限期改正，逾期未改正的（</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交纳罚款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及时报告有关部门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吊销营业执照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责令停产停业</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上下梯子时，必须（</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）梯子，且不得手持器物。</w:t>
      </w:r>
      <w:r>
        <w:rPr>
          <w:rFonts w:ascii="Times New Roman" w:hAnsi="Times New Roman" w:cs="Times New Roman"/>
          <w:color w:val="000000"/>
          <w:sz w:val="27"/>
          <w:szCs w:val="27"/>
        </w:rPr>
        <w:br/>
      </w:r>
    </w:p>
    <w:p w:rsidR="00C4614E" w:rsidP="00C4614E">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背面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左侧向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右侧向</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面向</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生产经营单位对</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应当登记建档</w:t>
      </w:r>
      <w:r>
        <w:rPr>
          <w:rFonts w:ascii="Times New Roman" w:hAnsi="Times New Roman" w:cs="Times New Roman"/>
          <w:color w:val="000000"/>
          <w:sz w:val="27"/>
          <w:szCs w:val="27"/>
        </w:rPr>
        <w:t>,</w:t>
      </w:r>
      <w:r>
        <w:rPr>
          <w:rFonts w:ascii="Times New Roman" w:hAnsi="Times New Roman" w:cs="Times New Roman"/>
          <w:color w:val="000000"/>
          <w:sz w:val="27"/>
          <w:szCs w:val="27"/>
        </w:rPr>
        <w:t>定期检测、评估、监控</w:t>
      </w:r>
      <w:r>
        <w:rPr>
          <w:rFonts w:ascii="Times New Roman" w:hAnsi="Times New Roman" w:cs="Times New Roman"/>
          <w:color w:val="000000"/>
          <w:sz w:val="27"/>
          <w:szCs w:val="27"/>
        </w:rPr>
        <w:t>,</w:t>
      </w:r>
      <w:r>
        <w:rPr>
          <w:rFonts w:ascii="Times New Roman" w:hAnsi="Times New Roman" w:cs="Times New Roman"/>
          <w:color w:val="000000"/>
          <w:sz w:val="27"/>
          <w:szCs w:val="27"/>
        </w:rPr>
        <w:t>并制定应急预案</w:t>
      </w:r>
      <w:r>
        <w:rPr>
          <w:rFonts w:ascii="Times New Roman" w:hAnsi="Times New Roman" w:cs="Times New Roman"/>
          <w:color w:val="000000"/>
          <w:sz w:val="27"/>
          <w:szCs w:val="27"/>
        </w:rPr>
        <w:t>,</w:t>
      </w:r>
      <w:r>
        <w:rPr>
          <w:rFonts w:ascii="Times New Roman" w:hAnsi="Times New Roman" w:cs="Times New Roman"/>
          <w:color w:val="000000"/>
          <w:sz w:val="27"/>
          <w:szCs w:val="27"/>
        </w:rPr>
        <w:t>告知从业人员和相关人员应采取的紧急措施</w:t>
      </w:r>
      <w:r>
        <w:rPr>
          <w:rFonts w:ascii="Times New Roman" w:hAnsi="Times New Roman" w:cs="Times New Roman"/>
          <w:color w:val="000000"/>
          <w:sz w:val="27"/>
          <w:szCs w:val="27"/>
        </w:rPr>
        <w:br/>
        <w:t>A.</w:t>
      </w:r>
      <w:r>
        <w:rPr>
          <w:rFonts w:ascii="Times New Roman" w:hAnsi="Times New Roman" w:cs="Times New Roman"/>
          <w:color w:val="000000"/>
          <w:sz w:val="27"/>
          <w:szCs w:val="27"/>
        </w:rPr>
        <w:t>事故频发场所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重大事故隐患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重大危险源</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重点工作人员</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氧气瓶、乙炔瓶使用及存放时的间距应不小于（</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w:t>
      </w:r>
      <w:r>
        <w:rPr>
          <w:rFonts w:ascii="Times New Roman" w:hAnsi="Times New Roman" w:cs="Times New Roman"/>
          <w:color w:val="000000"/>
          <w:sz w:val="27"/>
          <w:szCs w:val="27"/>
        </w:rPr>
        <w:br/>
        <w:t>A.1 B.2 C.4 D.5</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企业安全生产评价规定：评价人员应具备企业安全生产管理及相关专业能力</w:t>
      </w:r>
      <w:r>
        <w:rPr>
          <w:rFonts w:ascii="Times New Roman" w:hAnsi="Times New Roman" w:cs="Times New Roman"/>
          <w:color w:val="000000"/>
          <w:sz w:val="27"/>
          <w:szCs w:val="27"/>
        </w:rPr>
        <w:t>,</w:t>
      </w:r>
      <w:r>
        <w:rPr>
          <w:rFonts w:ascii="Times New Roman" w:hAnsi="Times New Roman" w:cs="Times New Roman"/>
          <w:color w:val="000000"/>
          <w:sz w:val="27"/>
          <w:szCs w:val="27"/>
        </w:rPr>
        <w:t>每次评价不应少于</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w:t>
      </w:r>
      <w:r>
        <w:rPr>
          <w:rFonts w:ascii="Times New Roman" w:hAnsi="Times New Roman" w:cs="Times New Roman"/>
          <w:color w:val="000000"/>
          <w:sz w:val="27"/>
          <w:szCs w:val="27"/>
        </w:rPr>
        <w:br/>
        <w:t>A.2</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B.3</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C.4</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D.5</w:t>
      </w:r>
      <w:r>
        <w:rPr>
          <w:rFonts w:ascii="Times New Roman" w:hAnsi="Times New Roman" w:cs="Times New Roman"/>
          <w:color w:val="000000"/>
          <w:sz w:val="27"/>
          <w:szCs w:val="27"/>
        </w:rPr>
        <w:t>人</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根据我国《建设工程安全生产管理条例》的规定</w:t>
      </w:r>
      <w:r>
        <w:rPr>
          <w:rFonts w:ascii="Times New Roman" w:hAnsi="Times New Roman" w:cs="Times New Roman"/>
          <w:color w:val="000000"/>
          <w:sz w:val="27"/>
          <w:szCs w:val="27"/>
        </w:rPr>
        <w:t>, ( A )</w:t>
      </w:r>
      <w:r>
        <w:rPr>
          <w:rFonts w:ascii="Times New Roman" w:hAnsi="Times New Roman" w:cs="Times New Roman"/>
          <w:color w:val="000000"/>
          <w:sz w:val="27"/>
          <w:szCs w:val="27"/>
        </w:rPr>
        <w:t>是建筑生产中最基本的安全管理制度</w:t>
      </w:r>
      <w:r>
        <w:rPr>
          <w:rFonts w:ascii="Times New Roman" w:hAnsi="Times New Roman" w:cs="Times New Roman"/>
          <w:color w:val="000000"/>
          <w:sz w:val="27"/>
          <w:szCs w:val="27"/>
        </w:rPr>
        <w:t>,</w:t>
      </w:r>
      <w:r>
        <w:rPr>
          <w:rFonts w:ascii="Times New Roman" w:hAnsi="Times New Roman" w:cs="Times New Roman"/>
          <w:color w:val="000000"/>
          <w:sz w:val="27"/>
          <w:szCs w:val="27"/>
        </w:rPr>
        <w:t>是所有安全规章制度的核心。</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安全生产责任制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安全生产教育培训制度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安全生产检查制度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安全责任追究制度</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落地式脚手架剪刀撑斜杆用旋转扣件固定在与其相交的横向水平杆伸出端或立杆上，旋转扣件中心线至主节点的距离不应（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大于</w:t>
      </w:r>
      <w:r>
        <w:rPr>
          <w:rFonts w:ascii="Times New Roman" w:hAnsi="Times New Roman" w:cs="Times New Roman"/>
          <w:color w:val="000000"/>
          <w:sz w:val="27"/>
          <w:szCs w:val="27"/>
        </w:rPr>
        <w:t>150mm B.</w:t>
      </w:r>
      <w:r>
        <w:rPr>
          <w:rFonts w:ascii="Times New Roman" w:hAnsi="Times New Roman" w:cs="Times New Roman"/>
          <w:color w:val="000000"/>
          <w:sz w:val="27"/>
          <w:szCs w:val="27"/>
        </w:rPr>
        <w:t>小于</w:t>
      </w:r>
      <w:r>
        <w:rPr>
          <w:rFonts w:ascii="Times New Roman" w:hAnsi="Times New Roman" w:cs="Times New Roman"/>
          <w:color w:val="000000"/>
          <w:sz w:val="27"/>
          <w:szCs w:val="27"/>
        </w:rPr>
        <w:t>150mm C.</w:t>
      </w:r>
      <w:r>
        <w:rPr>
          <w:rFonts w:ascii="Times New Roman" w:hAnsi="Times New Roman" w:cs="Times New Roman"/>
          <w:color w:val="000000"/>
          <w:sz w:val="27"/>
          <w:szCs w:val="27"/>
        </w:rPr>
        <w:t>大于</w:t>
      </w:r>
      <w:r>
        <w:rPr>
          <w:rFonts w:ascii="Times New Roman" w:hAnsi="Times New Roman" w:cs="Times New Roman"/>
          <w:color w:val="000000"/>
          <w:sz w:val="27"/>
          <w:szCs w:val="27"/>
        </w:rPr>
        <w:t>300mm D.</w:t>
      </w:r>
      <w:r>
        <w:rPr>
          <w:rFonts w:ascii="Times New Roman" w:hAnsi="Times New Roman" w:cs="Times New Roman"/>
          <w:color w:val="000000"/>
          <w:sz w:val="27"/>
          <w:szCs w:val="27"/>
        </w:rPr>
        <w:t>小于</w:t>
      </w:r>
      <w:r>
        <w:rPr>
          <w:rFonts w:ascii="Times New Roman" w:hAnsi="Times New Roman" w:cs="Times New Roman"/>
          <w:color w:val="000000"/>
          <w:sz w:val="27"/>
          <w:szCs w:val="27"/>
        </w:rPr>
        <w:t>300mm</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移动式配电箱、开关箱中心点与地面的相对高度可为（</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A.0.3m B.0.6m C.0.9m D.1.8m</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纵向水平杆（大横杆）的对接扣件应交错布置，两根相邻杆的接头，在不同步或不同跨的水平方向错开的距离应（</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https://d.book118.com/667041055113006050</w:t>
        </w:r>
      </w:hyperlink>
    </w:p>
    <w:p w:rsidR="00C4614E" w:rsidP="00C4614E">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F0868"/>
    <w:rsid w:val="005F0868"/>
    <w:rsid w:val="00BE351B"/>
    <w:rsid w:val="00C46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614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7041055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5677</Words>
  <Characters>32361</Characters>
  <Application>Microsoft Office Word</Application>
  <DocSecurity>0</DocSecurity>
  <Lines>269</Lines>
  <Paragraphs>75</Paragraphs>
  <ScaleCrop>false</ScaleCrop>
  <Company/>
  <LinksUpToDate>false</LinksUpToDate>
  <CharactersWithSpaces>37963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2024-03-07T16:40:00Z</dcterms:created>
  <dcterms:modified xsi:type="dcterms:W3CDTF">2024-03-07T16:41:00Z</dcterms:modified>
</cp:coreProperties>
</file>