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2A1D" w:rsidRPr="005F04A2">
      <w:pPr>
        <w:pStyle w:val="NoList"/>
        <w:numPr>
          <w:ilvl w:val="0"/>
          <w:numId w:val="1"/>
        </w:numPr>
        <w:rPr>
          <w:rFonts w:hint="eastAsia"/>
          <w:color w:val="FF0000"/>
          <w:sz w:val="36"/>
          <w:szCs w:val="36"/>
        </w:rPr>
      </w:pPr>
      <w:r w:rsidRPr="005F04A2">
        <w:rPr>
          <w:rFonts w:hint="eastAsia"/>
          <w:color w:val="FF0000"/>
          <w:sz w:val="36"/>
          <w:szCs w:val="36"/>
        </w:rPr>
        <w:t>当前文档修改密码：</w:t>
      </w:r>
      <w:r w:rsidRPr="005F04A2">
        <w:rPr>
          <w:b/>
          <w:color w:val="FF0000"/>
          <w:sz w:val="36"/>
          <w:szCs w:val="36"/>
        </w:rPr>
        <w:t>8362839</w:t>
      </w:r>
    </w:p>
    <w:p w:rsidR="00442A1D" w:rsidRPr="00280135">
      <w:pPr>
        <w:pStyle w:val="NoList"/>
        <w:ind w:left="360"/>
        <w:rPr>
          <w:rFonts w:hint="eastAsia"/>
          <w:color w:val="FF0000"/>
          <w:sz w:val="32"/>
          <w:szCs w:val="32"/>
        </w:rPr>
      </w:pPr>
    </w:p>
    <w:p w:rsidR="00442A1D">
      <w:pPr>
        <w:pStyle w:val="NoList"/>
        <w:rPr>
          <w:rFonts w:hint="eastAsia"/>
          <w:color w:val="FF0000"/>
          <w:sz w:val="32"/>
          <w:szCs w:val="32"/>
        </w:rPr>
      </w:pPr>
    </w:p>
    <w:p w:rsidR="00442A1D">
      <w:pPr>
        <w:pStyle w:val="NoList"/>
        <w:rPr>
          <w:rFonts w:hint="eastAsia"/>
        </w:rPr>
      </w:pPr>
      <w:hyperlink w:history="1"/>
    </w:p>
    <w:p w:rsidR="00442A1D" w:rsidRPr="003D3603">
      <w:pPr>
        <w:pStyle w:val="NoList"/>
        <w:rPr>
          <w:rFonts w:hint="eastAsia"/>
        </w:rPr>
      </w:pPr>
    </w:p>
    <w:p w:rsidR="00442A1D" w:rsidRPr="00896673">
      <w:pPr>
        <w:pStyle w:val="NoList"/>
        <w:widowControl/>
        <w:spacing w:line="408" w:lineRule="auto"/>
        <w:jc w:val="left"/>
        <w:rPr>
          <w:rFonts w:hint="eastAsia"/>
        </w:rPr>
      </w:pPr>
    </w:p>
    <w:p w:rsidR="00442A1D">
      <w:pPr>
        <w:pStyle w:val="NoList"/>
        <w:ind w:firstLine="1744" w:firstLineChars="545"/>
        <w:rPr>
          <w:rFonts w:hint="eastAsia"/>
          <w:b/>
          <w:sz w:val="32"/>
          <w:szCs w:val="32"/>
        </w:rPr>
      </w:pPr>
    </w:p>
    <w:p w:rsidR="00442A1D">
      <w:pPr>
        <w:pStyle w:val="NoList"/>
        <w:ind w:firstLine="1744" w:firstLineChars="545"/>
        <w:rPr>
          <w:rFonts w:hint="eastAsia"/>
          <w:b/>
          <w:sz w:val="32"/>
          <w:szCs w:val="32"/>
        </w:rPr>
      </w:pPr>
    </w:p>
    <w:p w:rsidR="00442A1D">
      <w:pPr>
        <w:pStyle w:val="NoList"/>
        <w:jc w:val="center"/>
        <w:outlineLvl w:val="0"/>
        <w:rPr>
          <w:rFonts w:hint="eastAsia"/>
          <w:sz w:val="52"/>
        </w:rPr>
      </w:pPr>
      <w:r>
        <w:rPr>
          <w:rFonts w:ascii="黑体" w:eastAsia="黑体" w:hAnsi="宋体" w:hint="eastAsia"/>
          <w:spacing w:val="2"/>
          <w:kern w:val="0"/>
          <w:sz w:val="52"/>
          <w:szCs w:val="48"/>
          <w:fitText w:val="7313" w:id="-1206644223"/>
        </w:rPr>
        <w:t>宁东能源化工基地宝塔石化集</w:t>
      </w:r>
      <w:r>
        <w:rPr>
          <w:rFonts w:ascii="黑体" w:eastAsia="黑体" w:hAnsi="宋体" w:hint="eastAsia"/>
          <w:spacing w:val="-9"/>
          <w:kern w:val="0"/>
          <w:sz w:val="52"/>
          <w:szCs w:val="48"/>
          <w:fitText w:val="7313" w:id="-1206644223"/>
        </w:rPr>
        <w:t>团</w:t>
      </w:r>
    </w:p>
    <w:p w:rsidR="00442A1D">
      <w:pPr>
        <w:pStyle w:val="NoList"/>
        <w:jc w:val="center"/>
        <w:rPr>
          <w:rFonts w:hint="eastAsia"/>
          <w:sz w:val="52"/>
        </w:rPr>
      </w:pPr>
      <w:bookmarkStart w:id="0" w:name="_Hlt173217417"/>
      <w:bookmarkEnd w:id="0"/>
      <w:r>
        <w:rPr>
          <w:rFonts w:ascii="黑体" w:eastAsia="黑体" w:hAnsi="宋体" w:hint="eastAsia"/>
          <w:spacing w:val="2"/>
          <w:w w:val="66"/>
          <w:kern w:val="0"/>
          <w:sz w:val="52"/>
          <w:szCs w:val="44"/>
          <w:fitText w:val="7210" w:id="-1206644222"/>
        </w:rPr>
        <w:t>综合项目区（西区）新建铁路专用线及附属工</w:t>
      </w:r>
      <w:r>
        <w:rPr>
          <w:rFonts w:ascii="黑体" w:eastAsia="黑体" w:hAnsi="宋体" w:hint="eastAsia"/>
          <w:spacing w:val="-18"/>
          <w:w w:val="66"/>
          <w:kern w:val="0"/>
          <w:sz w:val="52"/>
          <w:szCs w:val="44"/>
          <w:fitText w:val="7210" w:id="-1206644222"/>
        </w:rPr>
        <w:t>程</w:t>
      </w:r>
    </w:p>
    <w:p w:rsidR="00442A1D">
      <w:pPr>
        <w:pStyle w:val="NoList"/>
        <w:rPr>
          <w:rFonts w:hint="eastAsia"/>
        </w:rPr>
      </w:pPr>
    </w:p>
    <w:p w:rsidR="00442A1D">
      <w:pPr>
        <w:pStyle w:val="NoList"/>
        <w:rPr>
          <w:rFonts w:hint="eastAsia"/>
        </w:rPr>
      </w:pPr>
    </w:p>
    <w:p w:rsidR="00442A1D">
      <w:pPr>
        <w:pStyle w:val="NoList"/>
        <w:jc w:val="center"/>
        <w:rPr>
          <w:rFonts w:eastAsia="黑体" w:hint="eastAsia"/>
          <w:bCs/>
          <w:sz w:val="84"/>
          <w:szCs w:val="32"/>
        </w:rPr>
      </w:pPr>
      <w:r>
        <w:rPr>
          <w:rFonts w:eastAsia="黑体" w:hint="eastAsia"/>
          <w:bCs/>
          <w:spacing w:val="155"/>
          <w:kern w:val="0"/>
          <w:sz w:val="84"/>
          <w:szCs w:val="32"/>
          <w:fitText w:val="6592" w:id="-1206642944"/>
        </w:rPr>
        <w:t>项目申请报</w:t>
      </w:r>
      <w:r>
        <w:rPr>
          <w:rFonts w:eastAsia="黑体" w:hint="eastAsia"/>
          <w:bCs/>
          <w:spacing w:val="1"/>
          <w:kern w:val="0"/>
          <w:sz w:val="84"/>
          <w:szCs w:val="32"/>
          <w:fitText w:val="6592" w:id="-1206642944"/>
        </w:rPr>
        <w:t>告</w:t>
      </w:r>
    </w:p>
    <w:p w:rsidR="00442A1D">
      <w:pPr>
        <w:pStyle w:val="NoList"/>
        <w:ind w:firstLine="1744" w:firstLineChars="545"/>
        <w:rPr>
          <w:rFonts w:hint="eastAsia"/>
          <w:b/>
          <w:sz w:val="32"/>
          <w:szCs w:val="32"/>
        </w:rPr>
      </w:pPr>
    </w:p>
    <w:p w:rsidR="00442A1D">
      <w:pPr>
        <w:pStyle w:val="NoList"/>
        <w:ind w:firstLine="1744" w:firstLineChars="545"/>
        <w:rPr>
          <w:rFonts w:hint="eastAsia"/>
          <w:b/>
          <w:sz w:val="32"/>
          <w:szCs w:val="32"/>
        </w:rPr>
      </w:pPr>
    </w:p>
    <w:p w:rsidR="00442A1D">
      <w:pPr>
        <w:pStyle w:val="NoList"/>
        <w:ind w:firstLine="1744" w:firstLineChars="545"/>
        <w:rPr>
          <w:rFonts w:hint="eastAsia"/>
          <w:b/>
          <w:sz w:val="32"/>
          <w:szCs w:val="32"/>
        </w:rPr>
      </w:pPr>
    </w:p>
    <w:p w:rsidR="00442A1D">
      <w:pPr>
        <w:pStyle w:val="NoList"/>
        <w:ind w:firstLine="1744" w:firstLineChars="545"/>
        <w:rPr>
          <w:rFonts w:hint="eastAsia"/>
          <w:b/>
          <w:sz w:val="32"/>
          <w:szCs w:val="32"/>
        </w:rPr>
      </w:pPr>
    </w:p>
    <w:p w:rsidR="00442A1D">
      <w:pPr>
        <w:pStyle w:val="NoList"/>
        <w:ind w:firstLine="1744" w:firstLineChars="545"/>
        <w:rPr>
          <w:rFonts w:hint="eastAsia"/>
          <w:b/>
          <w:sz w:val="32"/>
          <w:szCs w:val="32"/>
        </w:rPr>
      </w:pPr>
    </w:p>
    <w:p w:rsidR="00442A1D">
      <w:pPr>
        <w:pStyle w:val="NoList"/>
        <w:ind w:firstLine="1744" w:firstLineChars="545"/>
        <w:rPr>
          <w:rFonts w:hint="eastAsia"/>
          <w:b/>
          <w:sz w:val="32"/>
          <w:szCs w:val="32"/>
        </w:rPr>
      </w:pPr>
    </w:p>
    <w:p w:rsidR="00442A1D">
      <w:pPr>
        <w:pStyle w:val="NoList"/>
        <w:ind w:firstLine="1744" w:firstLineChars="545"/>
        <w:rPr>
          <w:rFonts w:hint="eastAsia"/>
          <w:b/>
          <w:sz w:val="32"/>
          <w:szCs w:val="32"/>
        </w:rPr>
      </w:pPr>
    </w:p>
    <w:p w:rsidR="00442A1D">
      <w:pPr>
        <w:pStyle w:val="NoList"/>
        <w:ind w:firstLine="1744" w:firstLineChars="545"/>
        <w:rPr>
          <w:rFonts w:hint="eastAsia"/>
          <w:b/>
          <w:sz w:val="32"/>
          <w:szCs w:val="32"/>
        </w:rPr>
      </w:pPr>
    </w:p>
    <w:p w:rsidR="00442A1D">
      <w:pPr>
        <w:pStyle w:val="NoList"/>
        <w:ind w:firstLine="1744" w:firstLineChars="545"/>
        <w:rPr>
          <w:rFonts w:hint="eastAsia"/>
          <w:b/>
          <w:sz w:val="32"/>
          <w:szCs w:val="32"/>
        </w:rPr>
        <w:sectPr>
          <w:pgSz w:w="11906" w:h="16838"/>
          <w:pgMar w:top="1440" w:right="1440" w:bottom="1440" w:left="1701" w:header="851" w:footer="992" w:gutter="0"/>
          <w:cols w:space="425"/>
          <w:docGrid w:type="lines" w:linePitch="312"/>
        </w:sectPr>
      </w:pPr>
    </w:p>
    <w:p w:rsidR="00442A1D">
      <w:pPr>
        <w:pStyle w:val="NoList"/>
        <w:ind w:firstLine="1744" w:firstLineChars="545"/>
        <w:rPr>
          <w:b/>
          <w:sz w:val="32"/>
          <w:szCs w:val="32"/>
        </w:rPr>
      </w:pPr>
    </w:p>
    <w:p w:rsidR="00442A1D">
      <w:pPr>
        <w:pStyle w:val="NoList"/>
        <w:jc w:val="center"/>
        <w:rPr>
          <w:rFonts w:eastAsia="黑体" w:hint="eastAsia"/>
          <w:b/>
          <w:sz w:val="32"/>
          <w:szCs w:val="32"/>
        </w:rPr>
      </w:pPr>
      <w:r>
        <w:rPr>
          <w:rFonts w:eastAsia="黑体" w:hint="eastAsia"/>
          <w:b/>
          <w:sz w:val="32"/>
          <w:szCs w:val="32"/>
        </w:rPr>
        <w:t>乌鲁木齐铁建监理咨询</w:t>
      </w:r>
    </w:p>
    <w:p w:rsidR="00442A1D">
      <w:pPr>
        <w:pStyle w:val="NoList"/>
        <w:jc w:val="center"/>
        <w:rPr>
          <w:rFonts w:ascii="黑体" w:eastAsia="黑体" w:hAnsi="黑体" w:hint="eastAsia"/>
          <w:bCs/>
          <w:sz w:val="36"/>
          <w:szCs w:val="32"/>
        </w:rPr>
      </w:pPr>
      <w:r>
        <w:rPr>
          <w:rFonts w:eastAsia="黑体" w:hint="eastAsia"/>
          <w:b/>
          <w:spacing w:val="137"/>
          <w:kern w:val="0"/>
          <w:sz w:val="32"/>
          <w:szCs w:val="32"/>
          <w:fitText w:val="4498" w:id="-1860540414"/>
        </w:rPr>
        <w:t>宁夏工程咨询公</w:t>
      </w:r>
      <w:r>
        <w:rPr>
          <w:rFonts w:eastAsia="黑体" w:hint="eastAsia"/>
          <w:b/>
          <w:spacing w:val="5"/>
          <w:kern w:val="0"/>
          <w:sz w:val="32"/>
          <w:szCs w:val="32"/>
          <w:fitText w:val="4498" w:id="-1860540414"/>
        </w:rPr>
        <w:t>司</w:t>
      </w:r>
    </w:p>
    <w:p w:rsidR="00442A1D">
      <w:pPr>
        <w:pStyle w:val="NoList"/>
        <w:jc w:val="center"/>
        <w:sectPr>
          <w:type w:val="nextPage"/>
          <w:pgSz w:w="11906" w:h="16838"/>
          <w:pgMar w:top="1440" w:right="1440" w:bottom="1440" w:left="1701" w:header="851" w:footer="992" w:gutter="0"/>
          <w:pgNumType w:start="2"/>
          <w:cols w:space="425"/>
          <w:titlePg w:val="0"/>
          <w:docGrid w:type="lines" w:linePitch="312"/>
        </w:sectPr>
      </w:pPr>
      <w:r>
        <w:rPr>
          <w:rFonts w:ascii="黑体" w:eastAsia="黑体" w:hAnsi="黑体"/>
          <w:b/>
          <w:sz w:val="36"/>
          <w:szCs w:val="32"/>
        </w:rPr>
        <w:t>2023  .07</w:t>
      </w:r>
    </w:p>
    <w:p w:rsidR="00442A1D">
      <w:pPr>
        <w:pStyle w:val="NoList"/>
        <w:jc w:val="center"/>
        <w:outlineLvl w:val="0"/>
        <w:rPr>
          <w:rFonts w:eastAsia="黑体" w:hint="eastAsia"/>
          <w:bCs/>
          <w:sz w:val="36"/>
          <w:szCs w:val="32"/>
        </w:rPr>
      </w:pPr>
      <w:r>
        <w:rPr>
          <w:rFonts w:eastAsia="黑体" w:hint="eastAsia"/>
          <w:bCs/>
          <w:sz w:val="36"/>
          <w:szCs w:val="32"/>
        </w:rPr>
        <w:t>目</w:t>
      </w:r>
      <w:r>
        <w:rPr>
          <w:rFonts w:eastAsia="黑体"/>
          <w:bCs/>
          <w:sz w:val="36"/>
          <w:szCs w:val="32"/>
        </w:rPr>
        <w:t xml:space="preserve"> </w:t>
      </w:r>
      <w:r>
        <w:rPr>
          <w:rFonts w:eastAsia="黑体" w:hint="eastAsia"/>
          <w:bCs/>
          <w:sz w:val="36"/>
          <w:szCs w:val="32"/>
        </w:rPr>
        <w:t>录</w:t>
      </w:r>
    </w:p>
    <w:p w:rsidR="00442A1D">
      <w:pPr>
        <w:pStyle w:val="TOC1"/>
        <w:rPr>
          <w:b w:val="0"/>
          <w:bCs w:val="0"/>
          <w:sz w:val="21"/>
        </w:rPr>
      </w:pPr>
      <w:r>
        <w:rPr>
          <w:rFonts w:ascii="黑体" w:eastAsia="黑体" w:hAnsi="黑体"/>
          <w:szCs w:val="32"/>
        </w:rPr>
        <w:fldChar w:fldCharType="begin"/>
      </w:r>
      <w:r>
        <w:rPr>
          <w:rFonts w:ascii="黑体" w:eastAsia="黑体" w:hAnsi="黑体"/>
          <w:szCs w:val="32"/>
        </w:rPr>
        <w:instrText xml:space="preserve"> TOC  \o \h \z </w:instrText>
      </w:r>
      <w:r>
        <w:rPr>
          <w:rFonts w:ascii="黑体" w:eastAsia="黑体" w:hAnsi="黑体"/>
          <w:szCs w:val="32"/>
        </w:rPr>
        <w:fldChar w:fldCharType="separate"/>
      </w:r>
      <w:r>
        <w:rPr>
          <w:rStyle w:val="Hyperlink"/>
          <w:rFonts w:hint="eastAsia"/>
          <w:color w:val="000000"/>
          <w:u w:val="none"/>
        </w:rPr>
        <w:t>一、总 论</w:t>
        <w:tab/>
        <w:t>1</w:t>
      </w:r>
    </w:p>
    <w:p w:rsidR="00442A1D">
      <w:pPr>
        <w:pStyle w:val="TOC2"/>
        <w:rPr>
          <w:sz w:val="21"/>
        </w:rPr>
      </w:pPr>
      <w:r>
        <w:rPr>
          <w:rStyle w:val="Hyperlink"/>
          <w:color w:val="000000"/>
          <w:u w:val="none"/>
        </w:rPr>
        <w:t>1.1项目背景</w:t>
        <w:tab/>
        <w:t>1</w:t>
      </w:r>
    </w:p>
    <w:p w:rsidR="00442A1D">
      <w:pPr>
        <w:pStyle w:val="TOC3"/>
        <w:rPr>
          <w:sz w:val="21"/>
          <w:szCs w:val="24"/>
        </w:rPr>
      </w:pPr>
      <w:r>
        <w:rPr>
          <w:rStyle w:val="Hyperlink"/>
          <w:color w:val="000000"/>
          <w:u w:val="none"/>
        </w:rPr>
        <w:t>1.1.1项目名称</w:t>
        <w:tab/>
        <w:t>1</w:t>
      </w:r>
    </w:p>
    <w:p w:rsidR="00442A1D">
      <w:pPr>
        <w:pStyle w:val="TOC3"/>
        <w:rPr>
          <w:sz w:val="21"/>
          <w:szCs w:val="24"/>
        </w:rPr>
      </w:pPr>
      <w:r>
        <w:rPr>
          <w:rStyle w:val="Hyperlink"/>
          <w:color w:val="000000"/>
          <w:u w:val="none"/>
        </w:rPr>
        <w:t>1.1.2项目地点</w:t>
        <w:tab/>
        <w:t>1</w:t>
      </w:r>
    </w:p>
    <w:p w:rsidR="00442A1D">
      <w:pPr>
        <w:pStyle w:val="TOC3"/>
        <w:rPr>
          <w:sz w:val="21"/>
          <w:szCs w:val="24"/>
        </w:rPr>
      </w:pPr>
      <w:r>
        <w:rPr>
          <w:rStyle w:val="Hyperlink"/>
          <w:color w:val="000000"/>
          <w:u w:val="none"/>
        </w:rPr>
        <w:t>1.1.3承办单位概</w:t>
      </w:r>
      <w:r>
        <w:rPr>
          <w:rStyle w:val="Hyperlink"/>
          <w:color w:val="000000"/>
          <w:u w:val="none"/>
        </w:rPr>
        <w:t>况</w:t>
        <w:tab/>
        <w:t>1</w:t>
      </w:r>
    </w:p>
    <w:p w:rsidR="00442A1D">
      <w:pPr>
        <w:pStyle w:val="TOC3"/>
        <w:rPr>
          <w:sz w:val="21"/>
          <w:szCs w:val="24"/>
        </w:rPr>
      </w:pPr>
      <w:r>
        <w:rPr>
          <w:rStyle w:val="Hyperlink"/>
          <w:color w:val="000000"/>
          <w:u w:val="none"/>
        </w:rPr>
        <w:t>1.1.4报告编制依据</w:t>
        <w:tab/>
        <w:t>1</w:t>
      </w:r>
    </w:p>
    <w:p w:rsidR="00442A1D">
      <w:pPr>
        <w:pStyle w:val="TOC3"/>
        <w:rPr>
          <w:sz w:val="21"/>
          <w:szCs w:val="24"/>
        </w:rPr>
      </w:pPr>
      <w:r>
        <w:rPr>
          <w:rStyle w:val="Hyperlink"/>
          <w:color w:val="000000"/>
          <w:u w:val="none"/>
        </w:rPr>
        <w:t>1.1.5项目提出的过程，理由及意义</w:t>
        <w:tab/>
        <w:t>2</w:t>
      </w:r>
    </w:p>
    <w:p w:rsidR="00442A1D">
      <w:pPr>
        <w:pStyle w:val="TOC2"/>
        <w:rPr>
          <w:sz w:val="21"/>
        </w:rPr>
      </w:pPr>
      <w:r>
        <w:rPr>
          <w:rStyle w:val="Hyperlink"/>
          <w:color w:val="000000"/>
          <w:u w:val="none"/>
        </w:rPr>
        <w:t>1.2项目概况</w:t>
        <w:tab/>
        <w:t>4</w:t>
      </w:r>
    </w:p>
    <w:p w:rsidR="00442A1D">
      <w:pPr>
        <w:pStyle w:val="TOC3"/>
        <w:rPr>
          <w:sz w:val="21"/>
          <w:szCs w:val="24"/>
        </w:rPr>
      </w:pPr>
      <w:r>
        <w:rPr>
          <w:rStyle w:val="Hyperlink"/>
          <w:color w:val="000000"/>
          <w:u w:val="none"/>
        </w:rPr>
        <w:t>1.2.1线路起止点、经由</w:t>
        <w:tab/>
        <w:t>4</w:t>
      </w:r>
    </w:p>
    <w:p w:rsidR="00442A1D">
      <w:pPr>
        <w:pStyle w:val="TOC3"/>
        <w:rPr>
          <w:sz w:val="21"/>
          <w:szCs w:val="24"/>
        </w:rPr>
      </w:pPr>
      <w:r>
        <w:rPr>
          <w:rStyle w:val="Hyperlink"/>
          <w:color w:val="000000"/>
          <w:u w:val="none"/>
        </w:rPr>
        <w:t>1.2.2货物线的方</w:t>
      </w:r>
      <w:r>
        <w:rPr>
          <w:rStyle w:val="Hyperlink"/>
          <w:color w:val="000000"/>
          <w:u w:val="none"/>
        </w:rPr>
        <w:t>位、长度及线间距设计</w:t>
        <w:tab/>
        <w:t>4</w:t>
      </w:r>
    </w:p>
    <w:p w:rsidR="00442A1D">
      <w:pPr>
        <w:pStyle w:val="TOC3"/>
        <w:rPr>
          <w:sz w:val="21"/>
          <w:szCs w:val="24"/>
        </w:rPr>
      </w:pPr>
      <w:r>
        <w:rPr>
          <w:rStyle w:val="Hyperlink"/>
          <w:color w:val="000000"/>
          <w:u w:val="none"/>
        </w:rPr>
        <w:t>1.2.3建设规模与目标</w:t>
        <w:tab/>
        <w:t>4</w:t>
      </w:r>
    </w:p>
    <w:p w:rsidR="00442A1D">
      <w:pPr>
        <w:pStyle w:val="TOC3"/>
        <w:rPr>
          <w:sz w:val="21"/>
          <w:szCs w:val="24"/>
        </w:rPr>
      </w:pPr>
      <w:r>
        <w:rPr>
          <w:rStyle w:val="Hyperlink"/>
          <w:color w:val="000000"/>
          <w:u w:val="none"/>
        </w:rPr>
        <w:t>1.2.4主要建设条件</w:t>
        <w:tab/>
        <w:t>5</w:t>
      </w:r>
    </w:p>
    <w:p w:rsidR="00442A1D">
      <w:pPr>
        <w:pStyle w:val="TOC3"/>
        <w:rPr>
          <w:sz w:val="21"/>
          <w:szCs w:val="24"/>
        </w:rPr>
      </w:pPr>
      <w:r>
        <w:rPr>
          <w:rStyle w:val="Hyperlink"/>
          <w:color w:val="000000"/>
          <w:u w:val="none"/>
        </w:rPr>
        <w:t>1.2.5项目建设投资及效益</w:t>
        <w:tab/>
        <w:t>6</w:t>
      </w:r>
    </w:p>
    <w:p w:rsidR="00442A1D">
      <w:pPr>
        <w:pStyle w:val="TOC3"/>
        <w:rPr>
          <w:sz w:val="21"/>
          <w:szCs w:val="24"/>
        </w:rPr>
      </w:pPr>
      <w:r>
        <w:rPr>
          <w:rStyle w:val="Hyperlink"/>
          <w:color w:val="000000"/>
          <w:u w:val="none"/>
        </w:rPr>
        <w:t>1.2.6主要技术经济指标</w:t>
        <w:tab/>
        <w:t>6</w:t>
      </w:r>
    </w:p>
    <w:p w:rsidR="00442A1D">
      <w:pPr>
        <w:pStyle w:val="TOC2"/>
        <w:rPr>
          <w:sz w:val="21"/>
        </w:rPr>
      </w:pPr>
      <w:r>
        <w:rPr>
          <w:rStyle w:val="Hyperlink"/>
          <w:color w:val="000000"/>
          <w:u w:val="none"/>
        </w:rPr>
        <w:t>1.3问题与建议</w:t>
        <w:tab/>
        <w:t>6</w:t>
      </w:r>
    </w:p>
    <w:p w:rsidR="00442A1D">
      <w:pPr>
        <w:pStyle w:val="TOC1"/>
        <w:rPr>
          <w:b w:val="0"/>
          <w:bCs w:val="0"/>
          <w:sz w:val="21"/>
        </w:rPr>
      </w:pPr>
      <w:r>
        <w:rPr>
          <w:rStyle w:val="Hyperlink"/>
          <w:rFonts w:hint="eastAsia"/>
          <w:color w:val="000000"/>
          <w:u w:val="none"/>
        </w:rPr>
        <w:t>二、运量预测</w:t>
        <w:tab/>
        <w:t>8</w:t>
      </w:r>
    </w:p>
    <w:p w:rsidR="00442A1D">
      <w:pPr>
        <w:pStyle w:val="TOC2"/>
        <w:rPr>
          <w:sz w:val="21"/>
        </w:rPr>
      </w:pPr>
      <w:r>
        <w:rPr>
          <w:rStyle w:val="Hyperlink"/>
          <w:color w:val="000000"/>
          <w:u w:val="none"/>
        </w:rPr>
        <w:t>2.1预测依据与范围</w:t>
        <w:tab/>
        <w:t>8</w:t>
      </w:r>
    </w:p>
    <w:p w:rsidR="00442A1D">
      <w:pPr>
        <w:pStyle w:val="TOC3"/>
        <w:rPr>
          <w:sz w:val="21"/>
          <w:szCs w:val="24"/>
        </w:rPr>
      </w:pPr>
      <w:r>
        <w:rPr>
          <w:rStyle w:val="Hyperlink"/>
          <w:color w:val="000000"/>
          <w:u w:val="none"/>
        </w:rPr>
        <w:t>2.1.1预测依据</w:t>
        <w:tab/>
        <w:t>8</w:t>
      </w:r>
    </w:p>
    <w:p w:rsidR="00442A1D">
      <w:pPr>
        <w:pStyle w:val="TOC3"/>
        <w:rPr>
          <w:sz w:val="21"/>
          <w:szCs w:val="24"/>
        </w:rPr>
      </w:pPr>
      <w:r>
        <w:rPr>
          <w:rStyle w:val="Hyperlink"/>
          <w:color w:val="000000"/>
          <w:u w:val="none"/>
        </w:rPr>
        <w:t>2.1.2预测范围</w:t>
        <w:tab/>
        <w:t>8</w:t>
      </w:r>
    </w:p>
    <w:p w:rsidR="00442A1D">
      <w:pPr>
        <w:pStyle w:val="TOC2"/>
        <w:rPr>
          <w:sz w:val="21"/>
        </w:rPr>
      </w:pPr>
      <w:r>
        <w:rPr>
          <w:rStyle w:val="Hyperlink"/>
          <w:color w:val="000000"/>
          <w:u w:val="none"/>
        </w:rPr>
        <w:t>2.2预测范围内的经济发展状况</w:t>
        <w:tab/>
        <w:t>8</w:t>
      </w:r>
    </w:p>
    <w:p w:rsidR="00442A1D">
      <w:pPr>
        <w:pStyle w:val="TOC2"/>
        <w:rPr>
          <w:sz w:val="21"/>
        </w:rPr>
        <w:sectPr>
          <w:pgSz w:w="11906" w:h="16838"/>
          <w:pgMar w:top="1701" w:right="1134" w:bottom="1418" w:left="1701" w:header="851" w:footer="992" w:gutter="0"/>
          <w:pgNumType w:fmt="upperRoman" w:start="1"/>
          <w:cols w:space="425"/>
          <w:docGrid w:type="lines" w:linePitch="312"/>
        </w:sectPr>
      </w:pPr>
      <w:r>
        <w:rPr>
          <w:rStyle w:val="Hyperlink"/>
          <w:color w:val="000000"/>
          <w:u w:val="none"/>
        </w:rPr>
        <w:t>2.3货运量预测</w:t>
        <w:tab/>
        <w:t>8</w:t>
      </w:r>
    </w:p>
    <w:p w:rsidR="00442A1D">
      <w:pPr>
        <w:pStyle w:val="TOC1"/>
        <w:rPr>
          <w:b w:val="0"/>
          <w:bCs w:val="0"/>
          <w:sz w:val="21"/>
        </w:rPr>
      </w:pPr>
      <w:r>
        <w:rPr>
          <w:rStyle w:val="Hyperlink"/>
          <w:rFonts w:hint="eastAsia"/>
          <w:color w:val="000000"/>
          <w:u w:val="none"/>
        </w:rPr>
        <w:t>三、线路方案设计</w:t>
        <w:tab/>
        <w:t>10</w:t>
      </w:r>
    </w:p>
    <w:p w:rsidR="00442A1D">
      <w:pPr>
        <w:pStyle w:val="TOC2"/>
        <w:rPr>
          <w:sz w:val="21"/>
        </w:rPr>
      </w:pPr>
      <w:r>
        <w:rPr>
          <w:rStyle w:val="Hyperlink"/>
          <w:color w:val="000000"/>
          <w:u w:val="none"/>
        </w:rPr>
        <w:t>3.1线路起止点</w:t>
      </w:r>
      <w:r>
        <w:rPr>
          <w:rStyle w:val="Hyperlink"/>
          <w:color w:val="000000"/>
          <w:u w:val="none"/>
        </w:rPr>
        <w:t>、经由及长度</w:t>
        <w:tab/>
        <w:t>1</w:t>
      </w:r>
      <w:r>
        <w:rPr>
          <w:rStyle w:val="Hyperlink"/>
          <w:color w:val="000000"/>
          <w:u w:val="none"/>
        </w:rPr>
        <w:t>0</w:t>
      </w:r>
    </w:p>
    <w:p w:rsidR="00442A1D">
      <w:pPr>
        <w:pStyle w:val="TOC3"/>
        <w:rPr>
          <w:sz w:val="21"/>
          <w:szCs w:val="24"/>
        </w:rPr>
      </w:pPr>
      <w:r>
        <w:rPr>
          <w:rStyle w:val="Hyperlink"/>
          <w:color w:val="000000"/>
          <w:u w:val="none"/>
        </w:rPr>
        <w:t>3.1.1线路起点</w:t>
        <w:tab/>
        <w:t>10</w:t>
      </w:r>
    </w:p>
    <w:p w:rsidR="00442A1D">
      <w:pPr>
        <w:pStyle w:val="TOC3"/>
        <w:rPr>
          <w:sz w:val="21"/>
          <w:szCs w:val="24"/>
        </w:rPr>
      </w:pPr>
      <w:r>
        <w:rPr>
          <w:rStyle w:val="Hyperlink"/>
          <w:color w:val="000000"/>
          <w:u w:val="none"/>
        </w:rPr>
        <w:t>3.1.2线路终点</w:t>
        <w:tab/>
        <w:t>10</w:t>
      </w:r>
    </w:p>
    <w:p w:rsidR="00442A1D">
      <w:pPr>
        <w:pStyle w:val="TOC3"/>
        <w:rPr>
          <w:sz w:val="21"/>
          <w:szCs w:val="24"/>
        </w:rPr>
      </w:pPr>
      <w:r>
        <w:rPr>
          <w:rStyle w:val="Hyperlink"/>
          <w:color w:val="000000"/>
          <w:u w:val="none"/>
        </w:rPr>
        <w:t>3.1.3线路长度</w:t>
        <w:tab/>
        <w:t>10</w:t>
      </w:r>
    </w:p>
    <w:p w:rsidR="00442A1D">
      <w:pPr>
        <w:pStyle w:val="TOC2"/>
        <w:rPr>
          <w:sz w:val="21"/>
        </w:rPr>
      </w:pPr>
      <w:r>
        <w:rPr>
          <w:rStyle w:val="Hyperlink"/>
          <w:color w:val="000000"/>
          <w:u w:val="none"/>
        </w:rPr>
        <w:t>3.2有关设计方案与比选</w:t>
        <w:tab/>
        <w:t>10</w:t>
      </w:r>
    </w:p>
    <w:p w:rsidR="00442A1D">
      <w:pPr>
        <w:pStyle w:val="TOC3"/>
        <w:rPr>
          <w:sz w:val="21"/>
          <w:szCs w:val="24"/>
        </w:rPr>
      </w:pPr>
      <w:r>
        <w:rPr>
          <w:rStyle w:val="Hyperlink"/>
          <w:color w:val="000000"/>
          <w:u w:val="none"/>
        </w:rPr>
        <w:t>3.2.1接轨点</w:t>
        <w:tab/>
        <w:t>1</w:t>
      </w:r>
      <w:r>
        <w:rPr>
          <w:rStyle w:val="Hyperlink"/>
          <w:color w:val="000000"/>
          <w:u w:val="none"/>
        </w:rPr>
        <w:t>0</w:t>
      </w:r>
    </w:p>
    <w:p w:rsidR="00442A1D">
      <w:pPr>
        <w:pStyle w:val="TOC3"/>
        <w:rPr>
          <w:sz w:val="21"/>
          <w:szCs w:val="24"/>
        </w:rPr>
      </w:pPr>
      <w:r>
        <w:rPr>
          <w:rStyle w:val="Hyperlink"/>
          <w:color w:val="000000"/>
          <w:u w:val="none"/>
        </w:rPr>
        <w:t>3.2.2预留接轨点</w:t>
        <w:tab/>
        <w:t>11</w:t>
      </w:r>
    </w:p>
    <w:p w:rsidR="00442A1D">
      <w:pPr>
        <w:pStyle w:val="TOC3"/>
        <w:rPr>
          <w:sz w:val="21"/>
          <w:szCs w:val="24"/>
        </w:rPr>
      </w:pPr>
      <w:r>
        <w:rPr>
          <w:rStyle w:val="Hyperlink"/>
          <w:color w:val="000000"/>
          <w:u w:val="none"/>
        </w:rPr>
        <w:t>3.2.3货物线的方位、长度及线间距设计</w:t>
        <w:tab/>
        <w:t>11</w:t>
      </w:r>
    </w:p>
    <w:p w:rsidR="00442A1D">
      <w:pPr>
        <w:pStyle w:val="TOC3"/>
        <w:rPr>
          <w:sz w:val="21"/>
          <w:szCs w:val="24"/>
        </w:rPr>
      </w:pPr>
      <w:r>
        <w:rPr>
          <w:rStyle w:val="Hyperlink"/>
          <w:color w:val="000000"/>
          <w:u w:val="none"/>
        </w:rPr>
        <w:t>3.2.4涵洞</w:t>
        <w:tab/>
        <w:t>12</w:t>
      </w:r>
    </w:p>
    <w:p w:rsidR="00442A1D">
      <w:pPr>
        <w:pStyle w:val="TOC2"/>
        <w:rPr>
          <w:sz w:val="21"/>
        </w:rPr>
      </w:pPr>
      <w:r>
        <w:rPr>
          <w:rStyle w:val="Hyperlink"/>
          <w:color w:val="000000"/>
          <w:u w:val="none"/>
        </w:rPr>
        <w:t>3.3线路建设区自然条件</w:t>
        <w:tab/>
        <w:t>12</w:t>
      </w:r>
    </w:p>
    <w:p w:rsidR="00442A1D">
      <w:pPr>
        <w:pStyle w:val="TOC3"/>
        <w:rPr>
          <w:sz w:val="21"/>
          <w:szCs w:val="24"/>
        </w:rPr>
      </w:pPr>
      <w:r>
        <w:rPr>
          <w:rStyle w:val="Hyperlink"/>
          <w:color w:val="000000"/>
          <w:u w:val="none"/>
        </w:rPr>
        <w:t>3.3.1地形、地貌及地理位置</w:t>
        <w:tab/>
        <w:t>12</w:t>
      </w:r>
    </w:p>
    <w:p w:rsidR="00442A1D">
      <w:pPr>
        <w:pStyle w:val="TOC3"/>
        <w:rPr>
          <w:sz w:val="21"/>
          <w:szCs w:val="24"/>
        </w:rPr>
      </w:pPr>
      <w:r>
        <w:rPr>
          <w:rStyle w:val="Hyperlink"/>
          <w:color w:val="000000"/>
          <w:u w:val="none"/>
        </w:rPr>
        <w:t>3.3.2地层岩性及工程地质、水文地质条件</w:t>
        <w:tab/>
        <w:t>13</w:t>
      </w:r>
    </w:p>
    <w:p w:rsidR="00442A1D">
      <w:pPr>
        <w:pStyle w:val="TOC3"/>
        <w:rPr>
          <w:sz w:val="21"/>
          <w:szCs w:val="24"/>
        </w:rPr>
      </w:pPr>
      <w:r>
        <w:rPr>
          <w:rStyle w:val="Hyperlink"/>
          <w:color w:val="000000"/>
          <w:u w:val="none"/>
        </w:rPr>
        <w:t>3.3.3气象及地震资料</w:t>
        <w:tab/>
        <w:t>14</w:t>
      </w:r>
    </w:p>
    <w:p w:rsidR="00442A1D">
      <w:pPr>
        <w:pStyle w:val="TOC2"/>
        <w:rPr>
          <w:sz w:val="21"/>
        </w:rPr>
      </w:pPr>
      <w:r>
        <w:rPr>
          <w:rStyle w:val="Hyperlink"/>
          <w:color w:val="000000"/>
          <w:u w:val="none"/>
        </w:rPr>
        <w:t>3.4拟建项目与邻线的关系</w:t>
        <w:tab/>
        <w:t>15</w:t>
      </w:r>
    </w:p>
    <w:p w:rsidR="00442A1D">
      <w:pPr>
        <w:pStyle w:val="TOC2"/>
        <w:rPr>
          <w:sz w:val="21"/>
        </w:rPr>
      </w:pPr>
      <w:r>
        <w:rPr>
          <w:rStyle w:val="Hyperlink"/>
          <w:color w:val="000000"/>
          <w:u w:val="none"/>
        </w:rPr>
        <w:t>3.5拟建项目与公路、铁路等运输的关系</w:t>
        <w:tab/>
        <w:t>16</w:t>
      </w:r>
    </w:p>
    <w:p w:rsidR="00442A1D">
      <w:pPr>
        <w:pStyle w:val="TOC2"/>
        <w:rPr>
          <w:sz w:val="21"/>
        </w:rPr>
      </w:pPr>
      <w:r>
        <w:rPr>
          <w:rStyle w:val="Hyperlink"/>
          <w:color w:val="000000"/>
          <w:u w:val="none"/>
        </w:rPr>
        <w:t>3.6沿线的社会条件</w:t>
        <w:tab/>
        <w:t>16</w:t>
      </w:r>
    </w:p>
    <w:p w:rsidR="00442A1D">
      <w:pPr>
        <w:pStyle w:val="TOC2"/>
        <w:rPr>
          <w:sz w:val="21"/>
        </w:rPr>
      </w:pPr>
      <w:r>
        <w:rPr>
          <w:rStyle w:val="Hyperlink"/>
          <w:color w:val="000000"/>
          <w:u w:val="none"/>
        </w:rPr>
        <w:t>3.7行政支持条件</w:t>
        <w:tab/>
        <w:t>16</w:t>
      </w:r>
    </w:p>
    <w:p w:rsidR="00442A1D">
      <w:pPr>
        <w:pStyle w:val="TOC1"/>
        <w:rPr>
          <w:b w:val="0"/>
          <w:bCs w:val="0"/>
          <w:sz w:val="21"/>
        </w:rPr>
      </w:pPr>
      <w:r>
        <w:rPr>
          <w:rStyle w:val="Hyperlink"/>
          <w:rFonts w:hint="eastAsia"/>
          <w:color w:val="000000"/>
          <w:u w:val="none"/>
        </w:rPr>
        <w:t>四、建设规模与标准</w:t>
        <w:tab/>
        <w:t>17</w:t>
      </w:r>
    </w:p>
    <w:p w:rsidR="00442A1D">
      <w:pPr>
        <w:pStyle w:val="TOC2"/>
        <w:rPr>
          <w:sz w:val="21"/>
        </w:rPr>
      </w:pPr>
      <w:r>
        <w:rPr>
          <w:rStyle w:val="Hyperlink"/>
          <w:color w:val="000000"/>
          <w:u w:val="none"/>
        </w:rPr>
        <w:t>4.1建设规模</w:t>
        <w:tab/>
        <w:t>17</w:t>
      </w:r>
    </w:p>
    <w:p w:rsidR="00442A1D">
      <w:pPr>
        <w:pStyle w:val="TOC3"/>
        <w:rPr>
          <w:sz w:val="21"/>
          <w:szCs w:val="24"/>
        </w:rPr>
      </w:pPr>
      <w:r>
        <w:rPr>
          <w:rStyle w:val="Hyperlink"/>
          <w:color w:val="000000"/>
          <w:u w:val="none"/>
        </w:rPr>
        <w:t>4.1.1设计线路长度</w:t>
        <w:tab/>
        <w:t>17</w:t>
      </w:r>
    </w:p>
    <w:p w:rsidR="00442A1D">
      <w:pPr>
        <w:pStyle w:val="TOC3"/>
        <w:rPr>
          <w:sz w:val="21"/>
          <w:szCs w:val="24"/>
        </w:rPr>
        <w:sectPr>
          <w:type w:val="nextPage"/>
          <w:pgSz w:w="11906" w:h="16838"/>
          <w:pgMar w:top="1701" w:right="1134" w:bottom="1418" w:left="1701" w:header="851" w:footer="992" w:gutter="0"/>
          <w:pgNumType w:fmt="upperRoman" w:start="2"/>
          <w:cols w:space="425"/>
          <w:titlePg w:val="0"/>
          <w:docGrid w:type="lines" w:linePitch="312"/>
        </w:sectPr>
      </w:pPr>
      <w:r>
        <w:rPr>
          <w:rStyle w:val="Hyperlink"/>
          <w:color w:val="000000"/>
          <w:u w:val="none"/>
        </w:rPr>
        <w:t>4.1.2设计线间距</w:t>
        <w:tab/>
        <w:t>17</w:t>
      </w:r>
    </w:p>
    <w:p w:rsidR="00442A1D">
      <w:pPr>
        <w:pStyle w:val="TOC3"/>
        <w:rPr>
          <w:sz w:val="21"/>
          <w:szCs w:val="24"/>
        </w:rPr>
      </w:pPr>
      <w:r>
        <w:rPr>
          <w:rStyle w:val="Hyperlink"/>
          <w:color w:val="000000"/>
          <w:u w:val="none"/>
        </w:rPr>
        <w:t>4.1.3货运输送</w:t>
      </w:r>
      <w:r>
        <w:rPr>
          <w:rStyle w:val="Hyperlink"/>
          <w:color w:val="000000"/>
          <w:u w:val="none"/>
        </w:rPr>
        <w:t>能力</w:t>
        <w:tab/>
        <w:t>17</w:t>
      </w:r>
    </w:p>
    <w:p w:rsidR="00442A1D">
      <w:pPr>
        <w:pStyle w:val="TOC2"/>
        <w:rPr>
          <w:sz w:val="21"/>
        </w:rPr>
      </w:pPr>
      <w:r>
        <w:rPr>
          <w:rStyle w:val="Hyperlink"/>
          <w:color w:val="000000"/>
          <w:u w:val="none"/>
        </w:rPr>
        <w:t>4.2技术标准</w:t>
        <w:tab/>
        <w:t>18</w:t>
      </w:r>
    </w:p>
    <w:p w:rsidR="00442A1D">
      <w:pPr>
        <w:pStyle w:val="TOC3"/>
        <w:rPr>
          <w:sz w:val="21"/>
          <w:szCs w:val="24"/>
        </w:rPr>
      </w:pPr>
      <w:r>
        <w:rPr>
          <w:rStyle w:val="Hyperlink"/>
          <w:color w:val="000000"/>
          <w:u w:val="none"/>
        </w:rPr>
        <w:t>4.2.1铁路等级</w:t>
        <w:tab/>
        <w:t>18</w:t>
      </w:r>
    </w:p>
    <w:p w:rsidR="00442A1D">
      <w:pPr>
        <w:pStyle w:val="TOC3"/>
        <w:rPr>
          <w:sz w:val="21"/>
          <w:szCs w:val="24"/>
        </w:rPr>
      </w:pPr>
      <w:r>
        <w:rPr>
          <w:rStyle w:val="Hyperlink"/>
          <w:color w:val="000000"/>
          <w:u w:val="none"/>
        </w:rPr>
        <w:t>4.2.2正线数目</w:t>
        <w:tab/>
        <w:t>18</w:t>
      </w:r>
    </w:p>
    <w:p w:rsidR="00442A1D">
      <w:pPr>
        <w:pStyle w:val="TOC3"/>
        <w:rPr>
          <w:sz w:val="21"/>
          <w:szCs w:val="24"/>
        </w:rPr>
      </w:pPr>
      <w:r>
        <w:rPr>
          <w:rStyle w:val="Hyperlink"/>
          <w:color w:val="000000"/>
          <w:u w:val="none"/>
        </w:rPr>
        <w:t>4.2.3限制坡度</w:t>
        <w:tab/>
        <w:t>18</w:t>
      </w:r>
    </w:p>
    <w:p w:rsidR="00442A1D">
      <w:pPr>
        <w:pStyle w:val="TOC3"/>
        <w:rPr>
          <w:sz w:val="21"/>
          <w:szCs w:val="24"/>
        </w:rPr>
      </w:pPr>
      <w:r>
        <w:rPr>
          <w:rStyle w:val="Hyperlink"/>
          <w:color w:val="000000"/>
          <w:u w:val="none"/>
        </w:rPr>
        <w:t>4.2.4最小曲线半径</w:t>
        <w:tab/>
        <w:t>18</w:t>
      </w:r>
    </w:p>
    <w:p w:rsidR="00442A1D">
      <w:pPr>
        <w:pStyle w:val="TOC3"/>
        <w:rPr>
          <w:sz w:val="21"/>
          <w:szCs w:val="24"/>
        </w:rPr>
      </w:pPr>
      <w:r>
        <w:rPr>
          <w:rStyle w:val="Hyperlink"/>
          <w:color w:val="000000"/>
          <w:u w:val="none"/>
        </w:rPr>
        <w:t>4.2.5牵引种类、机车类型、牵引质量、到发线有效长度</w:t>
        <w:tab/>
        <w:t>18</w:t>
      </w:r>
    </w:p>
    <w:p w:rsidR="00442A1D">
      <w:pPr>
        <w:pStyle w:val="TOC3"/>
        <w:rPr>
          <w:sz w:val="21"/>
          <w:szCs w:val="24"/>
        </w:rPr>
      </w:pPr>
      <w:r>
        <w:rPr>
          <w:rStyle w:val="Hyperlink"/>
          <w:color w:val="000000"/>
          <w:u w:val="none"/>
        </w:rPr>
        <w:t>4.2.6道岔控制</w:t>
        <w:tab/>
        <w:t>19</w:t>
      </w:r>
    </w:p>
    <w:p w:rsidR="00442A1D">
      <w:pPr>
        <w:pStyle w:val="TOC1"/>
        <w:rPr>
          <w:b w:val="0"/>
          <w:bCs w:val="0"/>
          <w:sz w:val="21"/>
        </w:rPr>
      </w:pPr>
      <w:r>
        <w:rPr>
          <w:rStyle w:val="Hyperlink"/>
          <w:rFonts w:hint="eastAsia"/>
          <w:color w:val="000000"/>
          <w:u w:val="none"/>
        </w:rPr>
        <w:t>五、工程和设备方案</w:t>
        <w:tab/>
        <w:t>20</w:t>
      </w:r>
    </w:p>
    <w:p w:rsidR="00442A1D">
      <w:pPr>
        <w:pStyle w:val="TOC2"/>
        <w:rPr>
          <w:sz w:val="21"/>
        </w:rPr>
      </w:pPr>
      <w:r>
        <w:rPr>
          <w:rStyle w:val="Hyperlink"/>
          <w:color w:val="000000"/>
          <w:u w:val="none"/>
        </w:rPr>
        <w:t>5.1工程方案</w:t>
        <w:tab/>
        <w:t>20</w:t>
      </w:r>
    </w:p>
    <w:p w:rsidR="00442A1D">
      <w:pPr>
        <w:pStyle w:val="TOC3"/>
        <w:rPr>
          <w:sz w:val="21"/>
          <w:szCs w:val="24"/>
        </w:rPr>
      </w:pPr>
      <w:r>
        <w:rPr>
          <w:rStyle w:val="Hyperlink"/>
          <w:color w:val="000000"/>
          <w:u w:val="none"/>
        </w:rPr>
        <w:t>5.1.1线路工程方案</w:t>
        <w:tab/>
        <w:t>20</w:t>
      </w:r>
    </w:p>
    <w:p w:rsidR="00442A1D">
      <w:pPr>
        <w:pStyle w:val="TOC3"/>
        <w:rPr>
          <w:sz w:val="21"/>
          <w:szCs w:val="24"/>
        </w:rPr>
      </w:pPr>
      <w:r>
        <w:rPr>
          <w:rStyle w:val="Hyperlink"/>
          <w:color w:val="000000"/>
          <w:u w:val="none"/>
        </w:rPr>
        <w:t>5.1.2路基及排水</w:t>
        <w:tab/>
        <w:t>20</w:t>
      </w:r>
    </w:p>
    <w:p w:rsidR="00442A1D">
      <w:pPr>
        <w:pStyle w:val="TOC3"/>
        <w:rPr>
          <w:sz w:val="21"/>
          <w:szCs w:val="24"/>
        </w:rPr>
      </w:pPr>
      <w:r>
        <w:rPr>
          <w:rStyle w:val="Hyperlink"/>
          <w:color w:val="000000"/>
          <w:u w:val="none"/>
        </w:rPr>
        <w:t>5.1.3轨道</w:t>
        <w:tab/>
        <w:t>21</w:t>
      </w:r>
    </w:p>
    <w:p w:rsidR="00442A1D">
      <w:pPr>
        <w:pStyle w:val="TOC3"/>
        <w:rPr>
          <w:sz w:val="21"/>
          <w:szCs w:val="24"/>
        </w:rPr>
      </w:pPr>
      <w:r>
        <w:rPr>
          <w:rStyle w:val="Hyperlink"/>
          <w:color w:val="000000"/>
          <w:u w:val="none"/>
        </w:rPr>
        <w:t>5.</w:t>
      </w:r>
      <w:r>
        <w:rPr>
          <w:rStyle w:val="Hyperlink"/>
          <w:color w:val="000000"/>
          <w:u w:val="none"/>
        </w:rPr>
        <w:t>1.4道床</w:t>
        <w:tab/>
        <w:t>23</w:t>
      </w:r>
    </w:p>
    <w:p w:rsidR="00442A1D">
      <w:pPr>
        <w:pStyle w:val="TOC3"/>
        <w:rPr>
          <w:sz w:val="21"/>
          <w:szCs w:val="24"/>
        </w:rPr>
      </w:pPr>
      <w:r>
        <w:rPr>
          <w:rStyle w:val="Hyperlink"/>
          <w:color w:val="000000"/>
          <w:u w:val="none"/>
        </w:rPr>
        <w:t>5.1.5道岔</w:t>
        <w:tab/>
        <w:t>23</w:t>
      </w:r>
    </w:p>
    <w:p w:rsidR="00442A1D">
      <w:pPr>
        <w:pStyle w:val="TOC3"/>
        <w:rPr>
          <w:sz w:val="21"/>
          <w:szCs w:val="24"/>
        </w:rPr>
      </w:pPr>
      <w:r>
        <w:rPr>
          <w:rStyle w:val="Hyperlink"/>
          <w:color w:val="000000"/>
          <w:u w:val="none"/>
        </w:rPr>
        <w:t>5.1.6通信</w:t>
        <w:tab/>
        <w:t>23</w:t>
      </w:r>
    </w:p>
    <w:p w:rsidR="00442A1D">
      <w:pPr>
        <w:pStyle w:val="TOC3"/>
        <w:rPr>
          <w:sz w:val="21"/>
          <w:szCs w:val="24"/>
        </w:rPr>
      </w:pPr>
      <w:r>
        <w:rPr>
          <w:rStyle w:val="Hyperlink"/>
          <w:color w:val="000000"/>
          <w:u w:val="none"/>
        </w:rPr>
        <w:t>5.1.7信号</w:t>
        <w:tab/>
        <w:t>23</w:t>
      </w:r>
    </w:p>
    <w:p w:rsidR="00442A1D">
      <w:pPr>
        <w:pStyle w:val="TOC3"/>
        <w:rPr>
          <w:sz w:val="21"/>
          <w:szCs w:val="24"/>
        </w:rPr>
      </w:pPr>
      <w:r>
        <w:rPr>
          <w:rStyle w:val="Hyperlink"/>
          <w:color w:val="000000"/>
          <w:u w:val="none"/>
        </w:rPr>
        <w:t>5.1.8桥涵设计</w:t>
        <w:tab/>
        <w:t>24</w:t>
      </w:r>
    </w:p>
    <w:p w:rsidR="00442A1D">
      <w:pPr>
        <w:pStyle w:val="TOC1"/>
        <w:rPr>
          <w:b w:val="0"/>
          <w:bCs w:val="0"/>
          <w:sz w:val="21"/>
        </w:rPr>
      </w:pPr>
      <w:r>
        <w:rPr>
          <w:rStyle w:val="Hyperlink"/>
          <w:rFonts w:hint="eastAsia"/>
          <w:color w:val="000000"/>
          <w:u w:val="none"/>
        </w:rPr>
        <w:t>六、辅助工程设计方案</w:t>
        <w:tab/>
        <w:t>25</w:t>
      </w:r>
    </w:p>
    <w:p w:rsidR="00442A1D">
      <w:pPr>
        <w:pStyle w:val="TOC2"/>
        <w:rPr>
          <w:sz w:val="21"/>
        </w:rPr>
      </w:pPr>
      <w:r>
        <w:rPr>
          <w:rStyle w:val="Hyperlink"/>
          <w:color w:val="000000"/>
          <w:u w:val="none"/>
        </w:rPr>
        <w:t>6.1辅助工</w:t>
      </w:r>
      <w:r>
        <w:rPr>
          <w:rStyle w:val="Hyperlink"/>
          <w:color w:val="000000"/>
          <w:u w:val="none"/>
        </w:rPr>
        <w:t>程工艺</w:t>
        <w:tab/>
        <w:t>25</w:t>
      </w:r>
    </w:p>
    <w:p w:rsidR="00442A1D">
      <w:pPr>
        <w:pStyle w:val="TOC3"/>
        <w:rPr>
          <w:sz w:val="21"/>
          <w:szCs w:val="24"/>
        </w:rPr>
      </w:pPr>
      <w:r>
        <w:rPr>
          <w:rStyle w:val="Hyperlink"/>
          <w:color w:val="000000"/>
          <w:u w:val="none"/>
        </w:rPr>
        <w:t>6.1.1工艺流程</w:t>
        <w:tab/>
        <w:t>25</w:t>
      </w:r>
    </w:p>
    <w:p w:rsidR="00442A1D">
      <w:pPr>
        <w:pStyle w:val="TOC3"/>
        <w:rPr>
          <w:sz w:val="21"/>
          <w:szCs w:val="24"/>
        </w:rPr>
        <w:sectPr>
          <w:type w:val="nextPage"/>
          <w:pgSz w:w="11906" w:h="16838"/>
          <w:pgMar w:top="1701" w:right="1134" w:bottom="1418" w:left="1701" w:header="851" w:footer="992" w:gutter="0"/>
          <w:pgNumType w:fmt="upperRoman" w:start="3"/>
          <w:cols w:space="425"/>
          <w:titlePg w:val="0"/>
          <w:docGrid w:type="lines" w:linePitch="312"/>
        </w:sectPr>
      </w:pPr>
      <w:r>
        <w:rPr>
          <w:rStyle w:val="Hyperlink"/>
          <w:color w:val="000000"/>
          <w:u w:val="none"/>
        </w:rPr>
        <w:t>6.1.2自动控制水平</w:t>
        <w:tab/>
        <w:t>25</w:t>
      </w:r>
    </w:p>
    <w:p w:rsidR="00442A1D">
      <w:pPr>
        <w:pStyle w:val="TOC2"/>
        <w:rPr>
          <w:sz w:val="21"/>
        </w:rPr>
      </w:pPr>
      <w:r>
        <w:rPr>
          <w:rStyle w:val="Hyperlink"/>
          <w:color w:val="000000"/>
          <w:u w:val="none"/>
        </w:rPr>
        <w:t>6.2设备方案</w:t>
        <w:tab/>
        <w:t>26</w:t>
      </w:r>
    </w:p>
    <w:p w:rsidR="00442A1D">
      <w:pPr>
        <w:pStyle w:val="TOC2"/>
        <w:rPr>
          <w:sz w:val="21"/>
        </w:rPr>
      </w:pPr>
      <w:r>
        <w:rPr>
          <w:rStyle w:val="Hyperlink"/>
          <w:color w:val="000000"/>
          <w:u w:val="none"/>
        </w:rPr>
        <w:t>6.3站场公用工程</w:t>
        <w:tab/>
        <w:t>27</w:t>
      </w:r>
    </w:p>
    <w:p w:rsidR="00442A1D">
      <w:pPr>
        <w:pStyle w:val="TOC3"/>
        <w:rPr>
          <w:sz w:val="21"/>
          <w:szCs w:val="24"/>
        </w:rPr>
      </w:pPr>
      <w:r>
        <w:rPr>
          <w:rStyle w:val="Hyperlink"/>
          <w:color w:val="000000"/>
          <w:u w:val="none"/>
        </w:rPr>
        <w:t>6.3.1给水、排水</w:t>
        <w:tab/>
        <w:t>27</w:t>
      </w:r>
    </w:p>
    <w:p w:rsidR="00442A1D">
      <w:pPr>
        <w:pStyle w:val="TOC3"/>
        <w:rPr>
          <w:sz w:val="21"/>
          <w:szCs w:val="24"/>
        </w:rPr>
      </w:pPr>
      <w:r>
        <w:rPr>
          <w:rStyle w:val="Hyperlink"/>
          <w:color w:val="000000"/>
          <w:u w:val="none"/>
        </w:rPr>
        <w:t>6.3.2采用的相关设计规范</w:t>
        <w:tab/>
        <w:t>27</w:t>
      </w:r>
    </w:p>
    <w:p w:rsidR="00442A1D">
      <w:pPr>
        <w:pStyle w:val="TOC2"/>
        <w:rPr>
          <w:sz w:val="21"/>
        </w:rPr>
      </w:pPr>
      <w:r>
        <w:rPr>
          <w:rStyle w:val="Hyperlink"/>
          <w:color w:val="000000"/>
          <w:u w:val="none"/>
        </w:rPr>
        <w:t>6.4消防工程</w:t>
        <w:tab/>
        <w:t>28</w:t>
      </w:r>
    </w:p>
    <w:p w:rsidR="00442A1D">
      <w:pPr>
        <w:pStyle w:val="TOC3"/>
        <w:rPr>
          <w:sz w:val="21"/>
          <w:szCs w:val="24"/>
        </w:rPr>
      </w:pPr>
      <w:r>
        <w:rPr>
          <w:rStyle w:val="Hyperlink"/>
          <w:color w:val="000000"/>
          <w:u w:val="none"/>
        </w:rPr>
        <w:t>6.4.1消防体制</w:t>
        <w:tab/>
        <w:t>28</w:t>
      </w:r>
    </w:p>
    <w:p w:rsidR="00442A1D">
      <w:pPr>
        <w:pStyle w:val="TOC3"/>
        <w:rPr>
          <w:sz w:val="21"/>
          <w:szCs w:val="24"/>
        </w:rPr>
      </w:pPr>
      <w:r>
        <w:rPr>
          <w:rStyle w:val="Hyperlink"/>
          <w:color w:val="000000"/>
          <w:u w:val="none"/>
        </w:rPr>
        <w:t>6.4.2站场消防设施</w:t>
        <w:tab/>
        <w:t>28</w:t>
      </w:r>
    </w:p>
    <w:p w:rsidR="00442A1D">
      <w:pPr>
        <w:pStyle w:val="TOC2"/>
        <w:rPr>
          <w:sz w:val="21"/>
        </w:rPr>
      </w:pPr>
      <w:r>
        <w:rPr>
          <w:rStyle w:val="Hyperlink"/>
          <w:color w:val="000000"/>
          <w:u w:val="none"/>
        </w:rPr>
        <w:t>6.5能耗分析及节能措施</w:t>
        <w:tab/>
        <w:t>29</w:t>
      </w:r>
    </w:p>
    <w:p w:rsidR="00442A1D">
      <w:pPr>
        <w:pStyle w:val="TOC3"/>
        <w:rPr>
          <w:sz w:val="21"/>
          <w:szCs w:val="24"/>
        </w:rPr>
      </w:pPr>
      <w:r>
        <w:rPr>
          <w:rStyle w:val="Hyperlink"/>
          <w:color w:val="000000"/>
          <w:u w:val="none"/>
        </w:rPr>
        <w:t>6.5.1编制依据</w:t>
        <w:tab/>
        <w:t>29</w:t>
      </w:r>
    </w:p>
    <w:p w:rsidR="00442A1D">
      <w:pPr>
        <w:pStyle w:val="TOC3"/>
        <w:rPr>
          <w:sz w:val="21"/>
          <w:szCs w:val="24"/>
        </w:rPr>
      </w:pPr>
      <w:r>
        <w:rPr>
          <w:rStyle w:val="Hyperlink"/>
          <w:color w:val="000000"/>
          <w:u w:val="none"/>
        </w:rPr>
        <w:t>6.5.2节能原则</w:t>
        <w:tab/>
        <w:t>29</w:t>
      </w:r>
    </w:p>
    <w:p w:rsidR="00442A1D">
      <w:pPr>
        <w:pStyle w:val="TOC3"/>
        <w:rPr>
          <w:sz w:val="21"/>
          <w:szCs w:val="24"/>
        </w:rPr>
      </w:pPr>
      <w:r>
        <w:rPr>
          <w:rStyle w:val="Hyperlink"/>
          <w:color w:val="000000"/>
          <w:u w:val="none"/>
        </w:rPr>
        <w:t>6.5.3节能技术</w:t>
      </w:r>
      <w:r>
        <w:rPr>
          <w:rStyle w:val="Hyperlink"/>
          <w:color w:val="000000"/>
          <w:u w:val="none"/>
        </w:rPr>
        <w:tab/>
        <w:t>30</w:t>
      </w:r>
    </w:p>
    <w:p w:rsidR="00442A1D">
      <w:pPr>
        <w:pStyle w:val="TOC1"/>
        <w:rPr>
          <w:b w:val="0"/>
          <w:bCs w:val="0"/>
          <w:sz w:val="21"/>
        </w:rPr>
      </w:pPr>
      <w:r>
        <w:rPr>
          <w:rStyle w:val="Hyperlink"/>
          <w:rFonts w:hint="eastAsia"/>
          <w:color w:val="000000"/>
          <w:u w:val="none"/>
        </w:rPr>
        <w:t>七、环境影响评价</w:t>
        <w:tab/>
        <w:t>31</w:t>
      </w:r>
    </w:p>
    <w:p w:rsidR="00442A1D">
      <w:pPr>
        <w:pStyle w:val="TOC2"/>
        <w:rPr>
          <w:sz w:val="21"/>
        </w:rPr>
      </w:pPr>
      <w:r>
        <w:rPr>
          <w:rStyle w:val="Hyperlink"/>
          <w:color w:val="000000"/>
          <w:u w:val="none"/>
        </w:rPr>
        <w:t>7.1沿线环境现状</w:t>
        <w:tab/>
        <w:t>31</w:t>
      </w:r>
    </w:p>
    <w:p w:rsidR="00442A1D">
      <w:pPr>
        <w:pStyle w:val="TOC2"/>
        <w:rPr>
          <w:sz w:val="21"/>
        </w:rPr>
      </w:pPr>
      <w:r>
        <w:rPr>
          <w:rStyle w:val="Hyperlink"/>
          <w:color w:val="000000"/>
          <w:u w:val="none"/>
        </w:rPr>
        <w:t>7.2项目施工与运营</w:t>
      </w:r>
      <w:r>
        <w:rPr>
          <w:rStyle w:val="Hyperlink"/>
          <w:color w:val="000000"/>
          <w:u w:val="none"/>
        </w:rPr>
        <w:t>对环境的影响</w:t>
        <w:tab/>
        <w:t>31</w:t>
      </w:r>
    </w:p>
    <w:p w:rsidR="00442A1D">
      <w:pPr>
        <w:pStyle w:val="TOC2"/>
        <w:rPr>
          <w:sz w:val="21"/>
        </w:rPr>
      </w:pPr>
      <w:r>
        <w:rPr>
          <w:rStyle w:val="Hyperlink"/>
          <w:color w:val="000000"/>
          <w:u w:val="none"/>
        </w:rPr>
        <w:t>73环境保护和治理措施</w:t>
        <w:tab/>
        <w:t>31</w:t>
      </w:r>
    </w:p>
    <w:p w:rsidR="00442A1D">
      <w:pPr>
        <w:pStyle w:val="TOC2"/>
        <w:rPr>
          <w:sz w:val="21"/>
        </w:rPr>
      </w:pPr>
      <w:r>
        <w:rPr>
          <w:rStyle w:val="Hyperlink"/>
          <w:color w:val="000000"/>
          <w:u w:val="none"/>
        </w:rPr>
        <w:t>7.4环境影响评价结论</w:t>
      </w:r>
      <w:r>
        <w:rPr>
          <w:rStyle w:val="Hyperlink"/>
          <w:color w:val="000000"/>
          <w:u w:val="none"/>
        </w:rPr>
        <w:tab/>
        <w:t>31</w:t>
      </w:r>
    </w:p>
    <w:p w:rsidR="00442A1D">
      <w:pPr>
        <w:pStyle w:val="TOC1"/>
        <w:rPr>
          <w:b w:val="0"/>
          <w:bCs w:val="0"/>
          <w:sz w:val="21"/>
        </w:rPr>
      </w:pPr>
      <w:r>
        <w:rPr>
          <w:rStyle w:val="Hyperlink"/>
          <w:rFonts w:hint="eastAsia"/>
          <w:color w:val="000000"/>
          <w:u w:val="none"/>
        </w:rPr>
        <w:t>八、劳动安全卫生</w:t>
        <w:tab/>
        <w:t>33</w:t>
      </w:r>
    </w:p>
    <w:p w:rsidR="00442A1D">
      <w:pPr>
        <w:pStyle w:val="TOC1"/>
        <w:rPr>
          <w:b w:val="0"/>
          <w:bCs w:val="0"/>
          <w:sz w:val="21"/>
        </w:rPr>
      </w:pPr>
      <w:r>
        <w:rPr>
          <w:rStyle w:val="Hyperlink"/>
          <w:rFonts w:hint="eastAsia"/>
          <w:color w:val="000000"/>
          <w:u w:val="none"/>
        </w:rPr>
        <w:t>九、组织机构与人力资源配置</w:t>
        <w:tab/>
        <w:t>34</w:t>
      </w:r>
    </w:p>
    <w:p w:rsidR="00442A1D">
      <w:pPr>
        <w:pStyle w:val="TOC1"/>
        <w:rPr>
          <w:b w:val="0"/>
          <w:bCs w:val="0"/>
          <w:sz w:val="21"/>
        </w:rPr>
      </w:pPr>
      <w:r>
        <w:rPr>
          <w:rStyle w:val="Hyperlink"/>
          <w:rFonts w:hint="eastAsia"/>
          <w:color w:val="000000"/>
          <w:u w:val="none"/>
        </w:rPr>
        <w:t>十、项目实施及进度</w:t>
        <w:tab/>
        <w:t>35</w:t>
      </w:r>
    </w:p>
    <w:p w:rsidR="00442A1D">
      <w:pPr>
        <w:pStyle w:val="TOC2"/>
        <w:rPr>
          <w:sz w:val="21"/>
        </w:rPr>
      </w:pPr>
      <w:r>
        <w:rPr>
          <w:rStyle w:val="Hyperlink"/>
          <w:color w:val="000000"/>
          <w:u w:val="none"/>
        </w:rPr>
        <w:t>10.1建设工期</w:t>
        <w:tab/>
        <w:t>35</w:t>
      </w:r>
    </w:p>
    <w:p w:rsidR="00442A1D">
      <w:pPr>
        <w:pStyle w:val="TOC2"/>
        <w:rPr>
          <w:sz w:val="21"/>
        </w:rPr>
      </w:pPr>
      <w:r>
        <w:rPr>
          <w:rStyle w:val="Hyperlink"/>
          <w:color w:val="000000"/>
          <w:u w:val="none"/>
        </w:rPr>
        <w:t>10.2保证工程质量</w:t>
        <w:tab/>
        <w:t>35</w:t>
      </w:r>
    </w:p>
    <w:p w:rsidR="00442A1D">
      <w:pPr>
        <w:pStyle w:val="TOC2"/>
        <w:rPr>
          <w:sz w:val="21"/>
        </w:rPr>
        <w:sectPr>
          <w:type w:val="nextPage"/>
          <w:pgSz w:w="11906" w:h="16838"/>
          <w:pgMar w:top="1701" w:right="1134" w:bottom="1418" w:left="1701" w:header="851" w:footer="992" w:gutter="0"/>
          <w:pgNumType w:fmt="upperRoman" w:start="4"/>
          <w:cols w:space="425"/>
          <w:titlePg w:val="0"/>
          <w:docGrid w:type="lines" w:linePitch="312"/>
        </w:sectPr>
      </w:pPr>
      <w:r>
        <w:rPr>
          <w:rStyle w:val="Hyperlink"/>
          <w:color w:val="000000"/>
          <w:u w:val="none"/>
        </w:rPr>
        <w:t>10.3文明施工保护和改善生态环境.</w:t>
        <w:tab/>
        <w:t>35</w:t>
      </w:r>
    </w:p>
    <w:p w:rsidR="00442A1D">
      <w:pPr>
        <w:pStyle w:val="TOC1"/>
        <w:rPr>
          <w:b w:val="0"/>
          <w:bCs w:val="0"/>
          <w:sz w:val="21"/>
        </w:rPr>
      </w:pPr>
      <w:r>
        <w:rPr>
          <w:rStyle w:val="Hyperlink"/>
          <w:rFonts w:hint="eastAsia"/>
          <w:color w:val="000000"/>
          <w:u w:val="none"/>
        </w:rPr>
        <w:t>十一、投资估算</w:t>
        <w:tab/>
        <w:t>36</w:t>
      </w:r>
    </w:p>
    <w:p w:rsidR="00442A1D">
      <w:pPr>
        <w:pStyle w:val="TOC2"/>
        <w:rPr>
          <w:sz w:val="21"/>
        </w:rPr>
      </w:pPr>
      <w:r>
        <w:rPr>
          <w:rStyle w:val="Hyperlink"/>
          <w:color w:val="000000"/>
          <w:u w:val="none"/>
        </w:rPr>
        <w:t>11.1投资估算依据</w:t>
        <w:tab/>
        <w:t>36</w:t>
      </w:r>
    </w:p>
    <w:p w:rsidR="00442A1D">
      <w:pPr>
        <w:pStyle w:val="TOC2"/>
        <w:rPr>
          <w:sz w:val="21"/>
        </w:rPr>
      </w:pPr>
      <w:r>
        <w:rPr>
          <w:rStyle w:val="Hyperlink"/>
          <w:color w:val="000000"/>
          <w:u w:val="none"/>
        </w:rPr>
        <w:t>11.2建设投资估算内容</w:t>
        <w:tab/>
        <w:t>36</w:t>
      </w:r>
    </w:p>
    <w:p w:rsidR="00442A1D">
      <w:pPr>
        <w:pStyle w:val="TOC3"/>
        <w:rPr>
          <w:sz w:val="21"/>
          <w:szCs w:val="24"/>
        </w:rPr>
      </w:pPr>
      <w:r>
        <w:rPr>
          <w:rStyle w:val="Hyperlink"/>
          <w:color w:val="000000"/>
          <w:u w:val="none"/>
        </w:rPr>
        <w:t>11.2.1工程费用</w:t>
        <w:tab/>
        <w:t>36</w:t>
      </w:r>
    </w:p>
    <w:p w:rsidR="00442A1D">
      <w:pPr>
        <w:pStyle w:val="TOC3"/>
        <w:rPr>
          <w:sz w:val="21"/>
          <w:szCs w:val="24"/>
        </w:rPr>
      </w:pPr>
      <w:r>
        <w:rPr>
          <w:rStyle w:val="Hyperlink"/>
          <w:color w:val="000000"/>
          <w:u w:val="none"/>
        </w:rPr>
        <w:t>11.2.2间接费用</w:t>
        <w:tab/>
        <w:t>37</w:t>
      </w:r>
    </w:p>
    <w:p w:rsidR="00442A1D">
      <w:pPr>
        <w:pStyle w:val="TOC2"/>
        <w:rPr>
          <w:sz w:val="21"/>
        </w:rPr>
      </w:pPr>
      <w:r>
        <w:rPr>
          <w:rStyle w:val="Hyperlink"/>
          <w:color w:val="000000"/>
          <w:u w:val="none"/>
        </w:rPr>
        <w:t>11.3投资估算</w:t>
        <w:tab/>
        <w:t>38</w:t>
      </w:r>
    </w:p>
    <w:p w:rsidR="00442A1D">
      <w:pPr>
        <w:pStyle w:val="TOC1"/>
        <w:rPr>
          <w:b w:val="0"/>
          <w:bCs w:val="0"/>
          <w:sz w:val="21"/>
        </w:rPr>
      </w:pPr>
      <w:r>
        <w:rPr>
          <w:rStyle w:val="Hyperlink"/>
          <w:rFonts w:hint="eastAsia"/>
          <w:color w:val="000000"/>
          <w:u w:val="none"/>
        </w:rPr>
        <w:t>十二、融资方</w:t>
      </w:r>
      <w:r>
        <w:rPr>
          <w:rStyle w:val="Hyperlink"/>
          <w:rFonts w:hint="eastAsia"/>
          <w:color w:val="000000"/>
          <w:u w:val="none"/>
        </w:rPr>
        <w:t>案</w:t>
        <w:tab/>
        <w:t>40</w:t>
      </w:r>
    </w:p>
    <w:p w:rsidR="00442A1D">
      <w:pPr>
        <w:pStyle w:val="TOC2"/>
        <w:rPr>
          <w:sz w:val="21"/>
        </w:rPr>
      </w:pPr>
      <w:r>
        <w:rPr>
          <w:rStyle w:val="Hyperlink"/>
          <w:color w:val="000000"/>
          <w:u w:val="none"/>
        </w:rPr>
        <w:t>12.1资金筹措方案</w:t>
        <w:tab/>
        <w:t>40</w:t>
      </w:r>
    </w:p>
    <w:p w:rsidR="00442A1D">
      <w:pPr>
        <w:pStyle w:val="TOC2"/>
        <w:rPr>
          <w:sz w:val="21"/>
        </w:rPr>
      </w:pPr>
      <w:r>
        <w:rPr>
          <w:rStyle w:val="Hyperlink"/>
          <w:color w:val="000000"/>
          <w:u w:val="none"/>
        </w:rPr>
        <w:t>12.2还贷计划</w:t>
        <w:tab/>
        <w:t>40</w:t>
      </w:r>
    </w:p>
    <w:p w:rsidR="00442A1D">
      <w:pPr>
        <w:pStyle w:val="TOC1"/>
        <w:rPr>
          <w:b w:val="0"/>
          <w:bCs w:val="0"/>
          <w:sz w:val="21"/>
        </w:rPr>
      </w:pPr>
      <w:r>
        <w:rPr>
          <w:rStyle w:val="Hyperlink"/>
          <w:rFonts w:hint="eastAsia"/>
          <w:color w:val="000000"/>
          <w:u w:val="none"/>
        </w:rPr>
        <w:t>十三、财务评</w:t>
      </w:r>
      <w:r>
        <w:rPr>
          <w:rStyle w:val="Hyperlink"/>
          <w:rFonts w:hint="eastAsia"/>
          <w:color w:val="000000"/>
          <w:u w:val="none"/>
        </w:rPr>
        <w:t>价</w:t>
        <w:tab/>
        <w:t>41</w:t>
      </w:r>
    </w:p>
    <w:p w:rsidR="00442A1D">
      <w:pPr>
        <w:pStyle w:val="TOC1"/>
        <w:rPr>
          <w:b w:val="0"/>
          <w:bCs w:val="0"/>
          <w:sz w:val="21"/>
        </w:rPr>
      </w:pPr>
      <w:r>
        <w:rPr>
          <w:rStyle w:val="Hyperlink"/>
          <w:rFonts w:hint="eastAsia"/>
          <w:color w:val="000000"/>
          <w:u w:val="none"/>
        </w:rPr>
        <w:t>十四、结论与建议</w:t>
        <w:tab/>
        <w:t>42</w:t>
      </w:r>
    </w:p>
    <w:p w:rsidR="00442A1D">
      <w:pPr>
        <w:pStyle w:val="TOC2"/>
        <w:rPr>
          <w:sz w:val="21"/>
        </w:rPr>
      </w:pPr>
      <w:r>
        <w:rPr>
          <w:rStyle w:val="Hyperlink"/>
          <w:color w:val="000000"/>
          <w:u w:val="none"/>
        </w:rPr>
        <w:t>14.1建设方案总体描述</w:t>
        <w:tab/>
        <w:t>42</w:t>
      </w:r>
    </w:p>
    <w:p w:rsidR="00442A1D">
      <w:pPr>
        <w:pStyle w:val="TOC3"/>
        <w:rPr>
          <w:sz w:val="21"/>
          <w:szCs w:val="24"/>
        </w:rPr>
      </w:pPr>
      <w:r>
        <w:rPr>
          <w:rStyle w:val="Hyperlink"/>
          <w:color w:val="000000"/>
          <w:u w:val="none"/>
        </w:rPr>
        <w:t>14.1.</w:t>
      </w:r>
      <w:r>
        <w:rPr>
          <w:rStyle w:val="Hyperlink"/>
          <w:color w:val="000000"/>
          <w:u w:val="none"/>
        </w:rPr>
        <w:t>1线路起止点、经由</w:t>
        <w:tab/>
        <w:t>42</w:t>
      </w:r>
    </w:p>
    <w:p w:rsidR="00442A1D">
      <w:pPr>
        <w:pStyle w:val="TOC3"/>
        <w:rPr>
          <w:sz w:val="21"/>
          <w:szCs w:val="24"/>
        </w:rPr>
      </w:pPr>
      <w:r>
        <w:rPr>
          <w:rStyle w:val="Hyperlink"/>
          <w:color w:val="000000"/>
          <w:u w:val="none"/>
        </w:rPr>
        <w:t>14.1.2货物线的方位、长度及线间距设计</w:t>
        <w:tab/>
        <w:t>42</w:t>
      </w:r>
    </w:p>
    <w:p w:rsidR="00442A1D">
      <w:pPr>
        <w:pStyle w:val="TOC3"/>
        <w:rPr>
          <w:sz w:val="21"/>
          <w:szCs w:val="24"/>
        </w:rPr>
      </w:pPr>
      <w:r>
        <w:rPr>
          <w:rStyle w:val="Hyperlink"/>
          <w:color w:val="000000"/>
          <w:u w:val="none"/>
        </w:rPr>
        <w:t>14.1.3建设规模与目标</w:t>
        <w:tab/>
        <w:t>43</w:t>
      </w:r>
    </w:p>
    <w:p w:rsidR="00442A1D">
      <w:pPr>
        <w:pStyle w:val="TOC2"/>
        <w:rPr>
          <w:sz w:val="21"/>
        </w:rPr>
      </w:pPr>
      <w:r>
        <w:rPr>
          <w:rStyle w:val="Hyperlink"/>
          <w:color w:val="000000"/>
          <w:u w:val="none"/>
        </w:rPr>
        <w:t>14.2设计方案说明</w:t>
        <w:tab/>
        <w:t>43</w:t>
      </w:r>
    </w:p>
    <w:p w:rsidR="00442A1D">
      <w:pPr>
        <w:pStyle w:val="TOC3"/>
        <w:rPr>
          <w:sz w:val="21"/>
          <w:szCs w:val="24"/>
        </w:rPr>
      </w:pPr>
      <w:r>
        <w:rPr>
          <w:rStyle w:val="Hyperlink"/>
          <w:color w:val="000000"/>
          <w:u w:val="none"/>
        </w:rPr>
        <w:t>14.2.1接轨点</w:t>
        <w:tab/>
        <w:t>44</w:t>
      </w:r>
    </w:p>
    <w:p w:rsidR="00442A1D">
      <w:pPr>
        <w:pStyle w:val="TOC3"/>
        <w:rPr>
          <w:sz w:val="21"/>
          <w:szCs w:val="24"/>
        </w:rPr>
      </w:pPr>
      <w:r>
        <w:rPr>
          <w:rStyle w:val="Hyperlink"/>
          <w:color w:val="000000"/>
          <w:u w:val="none"/>
        </w:rPr>
        <w:t>14.2.2予留接轨点</w:t>
        <w:tab/>
        <w:t>44</w:t>
      </w:r>
    </w:p>
    <w:p w:rsidR="00442A1D">
      <w:pPr>
        <w:pStyle w:val="TOC3"/>
        <w:rPr>
          <w:sz w:val="21"/>
          <w:szCs w:val="24"/>
        </w:rPr>
      </w:pPr>
      <w:r>
        <w:rPr>
          <w:rStyle w:val="Hyperlink"/>
          <w:color w:val="000000"/>
          <w:u w:val="none"/>
        </w:rPr>
        <w:t>14.2.3货物线的方位、长度及线间距设计</w:t>
        <w:tab/>
        <w:t>44</w:t>
      </w:r>
    </w:p>
    <w:p w:rsidR="00442A1D">
      <w:pPr>
        <w:pStyle w:val="TOC3"/>
        <w:rPr>
          <w:sz w:val="21"/>
          <w:szCs w:val="24"/>
        </w:rPr>
      </w:pPr>
      <w:r>
        <w:rPr>
          <w:rStyle w:val="Hyperlink"/>
          <w:color w:val="000000"/>
          <w:u w:val="none"/>
        </w:rPr>
        <w:t>14.2.4涵洞</w:t>
        <w:tab/>
        <w:t>45</w:t>
      </w:r>
    </w:p>
    <w:p w:rsidR="00442A1D">
      <w:pPr>
        <w:pStyle w:val="TOC3"/>
        <w:rPr>
          <w:sz w:val="21"/>
          <w:szCs w:val="24"/>
        </w:rPr>
      </w:pPr>
      <w:r>
        <w:rPr>
          <w:rStyle w:val="Hyperlink"/>
          <w:color w:val="000000"/>
          <w:u w:val="none"/>
        </w:rPr>
        <w:t>14.2.5整体道床</w:t>
        <w:tab/>
        <w:t>45</w:t>
      </w:r>
    </w:p>
    <w:p w:rsidR="00442A1D">
      <w:pPr>
        <w:pStyle w:val="TOC3"/>
        <w:rPr>
          <w:sz w:val="21"/>
          <w:szCs w:val="24"/>
        </w:rPr>
        <w:sectPr>
          <w:type w:val="nextPage"/>
          <w:pgSz w:w="11906" w:h="16838"/>
          <w:pgMar w:top="1701" w:right="1134" w:bottom="1418" w:left="1701" w:header="851" w:footer="992" w:gutter="0"/>
          <w:pgNumType w:fmt="upperRoman" w:start="5"/>
          <w:cols w:space="425"/>
          <w:titlePg w:val="0"/>
          <w:docGrid w:type="lines" w:linePitch="312"/>
        </w:sectPr>
      </w:pPr>
      <w:r>
        <w:rPr>
          <w:rStyle w:val="Hyperlink"/>
          <w:color w:val="000000"/>
          <w:u w:val="none"/>
        </w:rPr>
        <w:t>14.2.6、通信</w:t>
        <w:tab/>
        <w:t>45</w:t>
      </w:r>
    </w:p>
    <w:p w:rsidR="00442A1D">
      <w:pPr>
        <w:pStyle w:val="TOC3"/>
        <w:rPr>
          <w:sz w:val="21"/>
          <w:szCs w:val="24"/>
        </w:rPr>
      </w:pPr>
      <w:r>
        <w:rPr>
          <w:rStyle w:val="Hyperlink"/>
          <w:color w:val="000000"/>
          <w:u w:val="none"/>
        </w:rPr>
        <w:t>14.2.7信号</w:t>
        <w:tab/>
        <w:t>46</w:t>
      </w:r>
    </w:p>
    <w:p w:rsidR="00442A1D">
      <w:pPr>
        <w:pStyle w:val="TOC2"/>
        <w:rPr>
          <w:sz w:val="21"/>
        </w:rPr>
      </w:pPr>
      <w:r>
        <w:rPr>
          <w:rStyle w:val="Hyperlink"/>
          <w:color w:val="000000"/>
          <w:u w:val="none"/>
        </w:rPr>
        <w:t>14.3主要设计</w:t>
      </w:r>
      <w:r>
        <w:rPr>
          <w:rStyle w:val="Hyperlink"/>
          <w:color w:val="000000"/>
          <w:u w:val="none"/>
        </w:rPr>
        <w:t>方案比选</w:t>
        <w:tab/>
        <w:t>46</w:t>
      </w:r>
    </w:p>
    <w:p w:rsidR="00442A1D">
      <w:pPr>
        <w:pStyle w:val="TOC3"/>
        <w:rPr>
          <w:sz w:val="21"/>
          <w:szCs w:val="24"/>
        </w:rPr>
      </w:pPr>
      <w:r>
        <w:rPr>
          <w:rStyle w:val="Hyperlink"/>
          <w:color w:val="000000"/>
          <w:u w:val="none"/>
        </w:rPr>
        <w:t>14.3.1设计方案一</w:t>
        <w:tab/>
        <w:t>46</w:t>
      </w:r>
    </w:p>
    <w:p w:rsidR="00442A1D">
      <w:pPr>
        <w:pStyle w:val="TOC3"/>
        <w:rPr>
          <w:sz w:val="21"/>
          <w:szCs w:val="24"/>
        </w:rPr>
      </w:pPr>
      <w:r>
        <w:rPr>
          <w:rStyle w:val="Hyperlink"/>
          <w:color w:val="000000"/>
          <w:u w:val="none"/>
        </w:rPr>
        <w:t>14.3.2设计方案二</w:t>
        <w:tab/>
        <w:t>47</w:t>
      </w:r>
    </w:p>
    <w:p w:rsidR="00442A1D">
      <w:pPr>
        <w:pStyle w:val="TOC2"/>
        <w:rPr>
          <w:sz w:val="21"/>
        </w:rPr>
      </w:pPr>
      <w:r>
        <w:rPr>
          <w:rStyle w:val="Hyperlink"/>
          <w:color w:val="000000"/>
          <w:u w:val="none"/>
        </w:rPr>
        <w:t>14.3.比选推荐设计方案</w:t>
        <w:tab/>
        <w:t>48</w:t>
      </w:r>
    </w:p>
    <w:p w:rsidR="00442A1D">
      <w:pPr>
        <w:pStyle w:val="TOC2"/>
        <w:rPr>
          <w:sz w:val="21"/>
        </w:rPr>
      </w:pPr>
      <w:r>
        <w:rPr>
          <w:rStyle w:val="Hyperlink"/>
          <w:color w:val="000000"/>
          <w:u w:val="none"/>
        </w:rPr>
        <w:t>14.4结论</w:t>
        <w:tab/>
        <w:t>48</w:t>
      </w:r>
    </w:p>
    <w:p w:rsidR="00442A1D">
      <w:pPr>
        <w:pStyle w:val="TOC3"/>
        <w:rPr>
          <w:sz w:val="21"/>
          <w:szCs w:val="24"/>
        </w:rPr>
      </w:pPr>
      <w:r>
        <w:rPr>
          <w:rStyle w:val="Hyperlink"/>
          <w:color w:val="000000"/>
          <w:u w:val="none"/>
        </w:rPr>
        <w:t>14.4.1项目建设</w:t>
      </w:r>
      <w:r>
        <w:rPr>
          <w:rStyle w:val="Hyperlink"/>
          <w:color w:val="000000"/>
          <w:u w:val="none"/>
        </w:rPr>
        <w:t>符合国家产业政策</w:t>
        <w:tab/>
        <w:t>48</w:t>
      </w:r>
    </w:p>
    <w:p w:rsidR="00442A1D">
      <w:pPr>
        <w:pStyle w:val="TOC3"/>
        <w:rPr>
          <w:sz w:val="21"/>
          <w:szCs w:val="24"/>
        </w:rPr>
      </w:pPr>
      <w:r>
        <w:rPr>
          <w:rStyle w:val="Hyperlink"/>
          <w:color w:val="000000"/>
          <w:u w:val="none"/>
        </w:rPr>
        <w:t>14.4.2项目建设经济效益显著</w:t>
        <w:tab/>
        <w:t>48</w:t>
      </w:r>
    </w:p>
    <w:p w:rsidR="00442A1D">
      <w:pPr>
        <w:pStyle w:val="TOC3"/>
        <w:rPr>
          <w:sz w:val="21"/>
          <w:szCs w:val="24"/>
        </w:rPr>
      </w:pPr>
      <w:r>
        <w:rPr>
          <w:rStyle w:val="Hyperlink"/>
          <w:color w:val="000000"/>
          <w:u w:val="none"/>
        </w:rPr>
        <w:t>14.4.3项目建设方案精简易行</w:t>
        <w:tab/>
        <w:t>48</w:t>
      </w:r>
    </w:p>
    <w:p w:rsidR="00442A1D">
      <w:pPr>
        <w:pStyle w:val="TOC3"/>
        <w:rPr>
          <w:sz w:val="21"/>
          <w:szCs w:val="24"/>
        </w:rPr>
      </w:pPr>
      <w:r>
        <w:rPr>
          <w:rStyle w:val="Hyperlink"/>
          <w:color w:val="000000"/>
          <w:u w:val="none"/>
        </w:rPr>
        <w:t>14.4.4项目建设总投资合理</w:t>
        <w:tab/>
        <w:t>49</w:t>
      </w:r>
    </w:p>
    <w:p w:rsidR="00442A1D">
      <w:pPr>
        <w:pStyle w:val="TOC3"/>
        <w:rPr>
          <w:sz w:val="21"/>
          <w:szCs w:val="24"/>
        </w:rPr>
      </w:pPr>
      <w:r>
        <w:rPr>
          <w:rStyle w:val="Hyperlink"/>
          <w:rFonts w:hint="eastAsia"/>
          <w:color w:val="000000"/>
          <w:u w:val="none"/>
        </w:rPr>
        <w:t>综上所述，该项目建设可行，特申请予以核准。</w:t>
        <w:tab/>
        <w:t>49</w:t>
      </w:r>
    </w:p>
    <w:p w:rsidR="00442A1D">
      <w:pPr>
        <w:pStyle w:val="TOC2"/>
        <w:rPr>
          <w:sz w:val="21"/>
        </w:rPr>
      </w:pPr>
      <w:r>
        <w:rPr>
          <w:rStyle w:val="Hyperlink"/>
          <w:color w:val="000000"/>
          <w:u w:val="none"/>
        </w:rPr>
        <w:t>14.5有关建议</w:t>
        <w:tab/>
        <w:t>49</w:t>
      </w:r>
    </w:p>
    <w:p w:rsidR="00442A1D">
      <w:pPr>
        <w:pStyle w:val="NoList"/>
        <w:ind w:left="540" w:firstLine="2" w:leftChars="257"/>
        <w:rPr>
          <w:rFonts w:ascii="黑体" w:eastAsia="黑体" w:hAnsi="宋体" w:hint="eastAsia"/>
          <w:bCs/>
          <w:sz w:val="32"/>
          <w:szCs w:val="32"/>
        </w:rPr>
        <w:sectPr>
          <w:type w:val="nextPage"/>
          <w:pgSz w:w="11906" w:h="16838"/>
          <w:pgMar w:top="1701" w:right="1134" w:bottom="1418" w:left="1701" w:header="851" w:footer="992" w:gutter="0"/>
          <w:pgNumType w:fmt="upperRoman" w:start="6"/>
          <w:cols w:space="425"/>
          <w:titlePg w:val="0"/>
          <w:docGrid w:type="lines" w:linePitch="312"/>
        </w:sectPr>
      </w:pPr>
      <w:r>
        <w:rPr>
          <w:rFonts w:ascii="黑体" w:eastAsia="黑体" w:hAnsi="黑体"/>
          <w:b/>
          <w:sz w:val="30"/>
          <w:szCs w:val="32"/>
        </w:rPr>
        <w:fldChar w:fldCharType="end"/>
      </w:r>
    </w:p>
    <w:p w:rsidR="00442A1D">
      <w:pPr>
        <w:pStyle w:val="NoList"/>
        <w:ind w:left="540" w:firstLine="2" w:leftChars="257"/>
        <w:rPr>
          <w:rFonts w:ascii="黑体" w:eastAsia="黑体" w:hAnsi="宋体" w:hint="eastAsia"/>
          <w:bCs/>
          <w:sz w:val="32"/>
          <w:szCs w:val="32"/>
        </w:rPr>
      </w:pPr>
      <w:r>
        <w:rPr>
          <w:rFonts w:ascii="黑体" w:eastAsia="黑体" w:hAnsi="宋体" w:hint="eastAsia"/>
          <w:bCs/>
          <w:sz w:val="32"/>
          <w:szCs w:val="32"/>
        </w:rPr>
        <w:t>附件：</w:t>
      </w:r>
    </w:p>
    <w:p w:rsidR="00442A1D">
      <w:pPr>
        <w:pStyle w:val="NoList"/>
        <w:ind w:left="1260" w:leftChars="600"/>
        <w:rPr>
          <w:rFonts w:ascii="宋体" w:hAnsi="宋体" w:hint="eastAsia"/>
          <w:bCs/>
          <w:sz w:val="30"/>
          <w:szCs w:val="32"/>
        </w:rPr>
      </w:pPr>
      <w:r>
        <w:rPr>
          <w:rFonts w:ascii="宋体" w:hAnsi="宋体"/>
          <w:bCs/>
          <w:sz w:val="30"/>
          <w:szCs w:val="32"/>
        </w:rPr>
        <w:t>1</w:t>
      </w:r>
      <w:r>
        <w:rPr>
          <w:rFonts w:ascii="宋体" w:hAnsi="宋体" w:hint="eastAsia"/>
          <w:bCs/>
          <w:sz w:val="30"/>
          <w:szCs w:val="32"/>
        </w:rPr>
        <w:t>、《关于宁夏宝塔石化集团宁东能</w:t>
      </w:r>
      <w:r>
        <w:rPr>
          <w:rFonts w:ascii="宋体" w:hAnsi="宋体" w:hint="eastAsia"/>
          <w:bCs/>
          <w:sz w:val="30"/>
          <w:szCs w:val="32"/>
        </w:rPr>
        <w:t>源重化工基地宝塔综合项目区发展规划的批复》（宁发改能源</w:t>
      </w:r>
      <w:r>
        <w:rPr>
          <w:rFonts w:ascii="宋体" w:hAnsi="宋体"/>
          <w:bCs/>
          <w:sz w:val="30"/>
          <w:szCs w:val="32"/>
        </w:rPr>
        <w:t>[2023]238</w:t>
      </w:r>
      <w:r>
        <w:rPr>
          <w:rFonts w:ascii="宋体" w:hAnsi="宋体" w:hint="eastAsia"/>
          <w:bCs/>
          <w:sz w:val="30"/>
          <w:szCs w:val="32"/>
        </w:rPr>
        <w:t>号）；</w:t>
      </w:r>
    </w:p>
    <w:p w:rsidR="00442A1D">
      <w:pPr>
        <w:pStyle w:val="NoList"/>
        <w:ind w:left="1260" w:leftChars="600"/>
        <w:rPr>
          <w:rFonts w:ascii="宋体" w:hAnsi="宋体" w:hint="eastAsia"/>
          <w:bCs/>
          <w:sz w:val="30"/>
          <w:szCs w:val="32"/>
        </w:rPr>
      </w:pPr>
      <w:r>
        <w:rPr>
          <w:rFonts w:ascii="宋体" w:hAnsi="宋体"/>
          <w:bCs/>
          <w:sz w:val="30"/>
          <w:szCs w:val="32"/>
        </w:rPr>
        <w:t>2</w:t>
      </w:r>
      <w:r>
        <w:rPr>
          <w:rFonts w:ascii="宋体" w:hAnsi="宋体" w:hint="eastAsia"/>
          <w:bCs/>
          <w:sz w:val="30"/>
          <w:szCs w:val="32"/>
        </w:rPr>
        <w:t>、《宝塔石化</w:t>
      </w:r>
      <w:r>
        <w:rPr>
          <w:rFonts w:ascii="宋体" w:hAnsi="宋体" w:hint="eastAsia"/>
          <w:bCs/>
          <w:sz w:val="30"/>
          <w:szCs w:val="32"/>
        </w:rPr>
        <w:t>集团新建货场</w:t>
      </w:r>
      <w:r>
        <w:rPr>
          <w:rFonts w:ascii="宋体" w:hAnsi="宋体" w:hint="eastAsia"/>
          <w:bCs/>
          <w:sz w:val="30"/>
          <w:szCs w:val="32"/>
        </w:rPr>
        <w:t>方案审查会会议纪要》（宝塔石化</w:t>
      </w:r>
      <w:r>
        <w:rPr>
          <w:rFonts w:ascii="宋体" w:hAnsi="宋体"/>
          <w:bCs/>
          <w:sz w:val="30"/>
          <w:szCs w:val="32"/>
        </w:rPr>
        <w:t>[</w:t>
      </w:r>
      <w:r>
        <w:rPr>
          <w:rFonts w:ascii="宋体" w:hAnsi="宋体" w:hint="eastAsia"/>
          <w:bCs/>
          <w:sz w:val="30"/>
          <w:szCs w:val="32"/>
        </w:rPr>
        <w:t>办</w:t>
      </w:r>
      <w:r>
        <w:rPr>
          <w:rFonts w:ascii="宋体" w:hAnsi="宋体"/>
          <w:bCs/>
          <w:sz w:val="30"/>
          <w:szCs w:val="32"/>
        </w:rPr>
        <w:t>]</w:t>
      </w:r>
      <w:r>
        <w:rPr>
          <w:rFonts w:ascii="宋体" w:hAnsi="宋体" w:hint="eastAsia"/>
          <w:bCs/>
          <w:sz w:val="30"/>
          <w:szCs w:val="32"/>
        </w:rPr>
        <w:t>字</w:t>
      </w:r>
      <w:r>
        <w:rPr>
          <w:rFonts w:ascii="宋体" w:hAnsi="宋体"/>
          <w:bCs/>
          <w:sz w:val="30"/>
          <w:szCs w:val="32"/>
        </w:rPr>
        <w:t>[19]</w:t>
      </w:r>
      <w:r>
        <w:rPr>
          <w:rFonts w:ascii="宋体" w:hAnsi="宋体" w:hint="eastAsia"/>
          <w:bCs/>
          <w:sz w:val="30"/>
          <w:szCs w:val="32"/>
        </w:rPr>
        <w:t>）；</w:t>
      </w:r>
    </w:p>
    <w:p w:rsidR="00442A1D">
      <w:pPr>
        <w:pStyle w:val="NoList"/>
        <w:ind w:left="1260" w:leftChars="600"/>
        <w:rPr>
          <w:rFonts w:ascii="宋体" w:hAnsi="宋体" w:hint="eastAsia"/>
          <w:bCs/>
          <w:sz w:val="30"/>
          <w:szCs w:val="32"/>
        </w:rPr>
      </w:pPr>
      <w:r>
        <w:rPr>
          <w:rFonts w:ascii="宋体" w:hAnsi="宋体"/>
          <w:bCs/>
          <w:sz w:val="30"/>
          <w:szCs w:val="32"/>
        </w:rPr>
        <w:t>3</w:t>
      </w:r>
      <w:r>
        <w:rPr>
          <w:rFonts w:ascii="宋体" w:hAnsi="宋体" w:hint="eastAsia"/>
          <w:bCs/>
          <w:sz w:val="30"/>
          <w:szCs w:val="32"/>
        </w:rPr>
        <w:t>、《</w:t>
      </w:r>
      <w:r>
        <w:rPr>
          <w:rFonts w:ascii="宋体" w:hAnsi="宋体" w:hint="eastAsia"/>
          <w:bCs/>
          <w:sz w:val="30"/>
          <w:szCs w:val="32"/>
        </w:rPr>
        <w:t>关于置换货场的商请函》（宁宝总发</w:t>
      </w:r>
      <w:r>
        <w:rPr>
          <w:rFonts w:ascii="宋体" w:hAnsi="宋体"/>
          <w:bCs/>
          <w:sz w:val="30"/>
          <w:szCs w:val="32"/>
        </w:rPr>
        <w:t>[2023  ]79</w:t>
      </w:r>
      <w:r>
        <w:rPr>
          <w:rFonts w:ascii="宋体" w:hAnsi="宋体" w:hint="eastAsia"/>
          <w:bCs/>
          <w:sz w:val="30"/>
          <w:szCs w:val="32"/>
        </w:rPr>
        <w:t>号）；</w:t>
      </w:r>
    </w:p>
    <w:p w:rsidR="00442A1D">
      <w:pPr>
        <w:pStyle w:val="NoList"/>
        <w:ind w:left="1260" w:leftChars="600"/>
        <w:rPr>
          <w:rFonts w:ascii="宋体" w:hAnsi="宋体" w:hint="eastAsia"/>
          <w:bCs/>
          <w:sz w:val="30"/>
          <w:szCs w:val="32"/>
        </w:rPr>
      </w:pPr>
      <w:r>
        <w:rPr>
          <w:rFonts w:ascii="宋体" w:hAnsi="宋体"/>
          <w:bCs/>
          <w:sz w:val="30"/>
          <w:szCs w:val="32"/>
        </w:rPr>
        <w:t>4</w:t>
      </w:r>
      <w:r>
        <w:rPr>
          <w:rFonts w:ascii="宋体" w:hAnsi="宋体" w:hint="eastAsia"/>
          <w:bCs/>
          <w:sz w:val="30"/>
          <w:szCs w:val="32"/>
        </w:rPr>
        <w:t>、《关于宝塔石化集团公</w:t>
      </w:r>
      <w:r>
        <w:rPr>
          <w:rFonts w:ascii="宋体" w:hAnsi="宋体" w:hint="eastAsia"/>
          <w:bCs/>
          <w:sz w:val="30"/>
          <w:szCs w:val="32"/>
        </w:rPr>
        <w:t>司置换货场的复函》（大古铁字</w:t>
      </w:r>
      <w:r>
        <w:rPr>
          <w:rFonts w:ascii="宋体" w:hAnsi="宋体"/>
          <w:bCs/>
          <w:sz w:val="30"/>
          <w:szCs w:val="32"/>
        </w:rPr>
        <w:t>[2023  ]25</w:t>
      </w:r>
      <w:r>
        <w:rPr>
          <w:rFonts w:ascii="宋体" w:hAnsi="宋体" w:hint="eastAsia"/>
          <w:bCs/>
          <w:sz w:val="30"/>
          <w:szCs w:val="32"/>
        </w:rPr>
        <w:t>号）；</w:t>
      </w:r>
    </w:p>
    <w:p w:rsidR="00442A1D">
      <w:pPr>
        <w:pStyle w:val="NoList"/>
        <w:ind w:left="1260" w:leftChars="600"/>
        <w:rPr>
          <w:rFonts w:ascii="宋体" w:hAnsi="宋体" w:hint="eastAsia"/>
          <w:bCs/>
          <w:sz w:val="30"/>
          <w:szCs w:val="32"/>
        </w:rPr>
      </w:pPr>
      <w:r>
        <w:rPr>
          <w:rFonts w:ascii="宋体" w:hAnsi="宋体"/>
          <w:bCs/>
          <w:sz w:val="30"/>
          <w:szCs w:val="32"/>
        </w:rPr>
        <w:t>5</w:t>
      </w:r>
      <w:r>
        <w:rPr>
          <w:rFonts w:ascii="宋体" w:hAnsi="宋体" w:hint="eastAsia"/>
          <w:bCs/>
          <w:sz w:val="30"/>
          <w:szCs w:val="32"/>
        </w:rPr>
        <w:t>、《关于宝塔集团天然气化工项目原料和产品承运和铁路专用线接轨的函》（大古铁字</w:t>
      </w:r>
      <w:r>
        <w:rPr>
          <w:rFonts w:ascii="宋体" w:hAnsi="宋体"/>
          <w:bCs/>
          <w:sz w:val="30"/>
          <w:szCs w:val="32"/>
        </w:rPr>
        <w:t>[2023 ]5</w:t>
      </w:r>
      <w:r>
        <w:rPr>
          <w:rFonts w:ascii="宋体" w:hAnsi="宋体" w:hint="eastAsia"/>
          <w:bCs/>
          <w:sz w:val="30"/>
          <w:szCs w:val="32"/>
        </w:rPr>
        <w:t>号）；</w:t>
      </w:r>
    </w:p>
    <w:p w:rsidR="00442A1D">
      <w:pPr>
        <w:pStyle w:val="NoList"/>
        <w:ind w:left="1260" w:leftChars="600"/>
        <w:rPr>
          <w:rFonts w:ascii="宋体" w:hAnsi="宋体" w:hint="eastAsia"/>
          <w:bCs/>
          <w:sz w:val="30"/>
          <w:szCs w:val="32"/>
        </w:rPr>
      </w:pPr>
      <w:r>
        <w:rPr>
          <w:rFonts w:ascii="宋体" w:hAnsi="宋体"/>
          <w:bCs/>
          <w:sz w:val="30"/>
          <w:szCs w:val="32"/>
        </w:rPr>
        <w:t>6</w:t>
      </w:r>
      <w:r>
        <w:rPr>
          <w:rFonts w:ascii="宋体" w:hAnsi="宋体" w:hint="eastAsia"/>
          <w:bCs/>
          <w:sz w:val="30"/>
          <w:szCs w:val="32"/>
        </w:rPr>
        <w:t>、《宁东化工基地宝塔化工综合项目区（西区）铁路专用线设计委托书》；</w:t>
      </w:r>
    </w:p>
    <w:p w:rsidR="00442A1D">
      <w:pPr>
        <w:pStyle w:val="NoList"/>
        <w:ind w:left="540" w:firstLine="2" w:leftChars="257"/>
        <w:rPr>
          <w:rFonts w:ascii="黑体" w:eastAsia="黑体" w:hAnsi="宋体" w:hint="eastAsia"/>
          <w:bCs/>
          <w:sz w:val="32"/>
          <w:szCs w:val="32"/>
        </w:rPr>
      </w:pPr>
      <w:r>
        <w:rPr>
          <w:rFonts w:ascii="黑体" w:eastAsia="黑体" w:hAnsi="宋体" w:hint="eastAsia"/>
          <w:bCs/>
          <w:sz w:val="32"/>
          <w:szCs w:val="32"/>
        </w:rPr>
        <w:t>附图</w:t>
      </w:r>
      <w:r>
        <w:rPr>
          <w:rFonts w:ascii="黑体" w:eastAsia="黑体" w:hAnsi="宋体" w:hint="eastAsia"/>
          <w:bCs/>
          <w:sz w:val="32"/>
          <w:szCs w:val="32"/>
        </w:rPr>
        <w:t>：</w:t>
      </w:r>
    </w:p>
    <w:p w:rsidR="00442A1D">
      <w:pPr>
        <w:pStyle w:val="NoList"/>
        <w:ind w:left="1241" w:leftChars="591"/>
        <w:rPr>
          <w:rFonts w:ascii="黑体" w:eastAsia="黑体" w:hAnsi="宋体" w:hint="eastAsia"/>
          <w:bCs/>
          <w:color w:val="FF6600"/>
          <w:sz w:val="32"/>
          <w:szCs w:val="32"/>
        </w:rPr>
      </w:pPr>
      <w:r>
        <w:rPr>
          <w:rFonts w:ascii="宋体" w:hAnsi="宋体" w:hint="eastAsia"/>
          <w:bCs/>
          <w:sz w:val="30"/>
          <w:szCs w:val="32"/>
        </w:rPr>
        <w:t>宁东化工基地宝塔化工综合项目区（西区）</w:t>
      </w:r>
      <w:r>
        <w:rPr>
          <w:rFonts w:ascii="宋体" w:hAnsi="宋体" w:hint="eastAsia"/>
          <w:bCs/>
          <w:sz w:val="30"/>
          <w:szCs w:val="32"/>
        </w:rPr>
        <w:t>铁路专用线总平面布置图</w:t>
      </w:r>
    </w:p>
    <w:p w:rsidR="00442A1D">
      <w:pPr>
        <w:pStyle w:val="NoList"/>
        <w:ind w:left="540" w:firstLine="2" w:leftChars="257"/>
        <w:rPr>
          <w:rFonts w:ascii="宋体" w:hAnsi="宋体" w:hint="eastAsia"/>
          <w:bCs/>
          <w:sz w:val="30"/>
          <w:szCs w:val="32"/>
        </w:rPr>
      </w:pPr>
    </w:p>
    <w:p w:rsidR="00442A1D">
      <w:pPr>
        <w:pStyle w:val="NoList"/>
        <w:jc w:val="center"/>
        <w:sectPr>
          <w:type w:val="nextPage"/>
          <w:pgSz w:w="11906" w:h="16838"/>
          <w:pgMar w:top="1701" w:right="1134" w:bottom="1418" w:left="1701" w:header="851" w:footer="992" w:gutter="0"/>
          <w:pgNumType w:fmt="upperRoman" w:start="7"/>
          <w:cols w:space="425"/>
          <w:titlePg w:val="0"/>
          <w:docGrid w:type="lines" w:linePitch="312"/>
        </w:sectPr>
      </w:pPr>
    </w:p>
    <w:p w:rsidR="00442A1D">
      <w:pPr>
        <w:pStyle w:val="Heading1"/>
        <w:rPr>
          <w:rFonts w:hint="eastAsia"/>
        </w:rPr>
      </w:pPr>
      <w:bookmarkStart w:id="1" w:name="_Hlt173837817"/>
      <w:bookmarkEnd w:id="1"/>
      <w:r>
        <w:rPr>
          <w:rFonts w:hint="eastAsia"/>
        </w:rPr>
        <w:t>一、总</w:t>
      </w:r>
      <w:r>
        <w:t xml:space="preserve"> </w:t>
      </w:r>
      <w:r>
        <w:rPr>
          <w:rFonts w:hint="eastAsia"/>
        </w:rPr>
        <w:t>论</w:t>
      </w:r>
    </w:p>
    <w:p w:rsidR="00442A1D">
      <w:pPr>
        <w:pStyle w:val="Heading2"/>
        <w:rPr>
          <w:rFonts w:hint="eastAsia"/>
        </w:rPr>
      </w:pPr>
      <w:r>
        <w:t>1.1</w:t>
      </w:r>
      <w:r>
        <w:rPr>
          <w:rFonts w:hint="eastAsia"/>
        </w:rPr>
        <w:t>项目背景</w:t>
      </w:r>
    </w:p>
    <w:p w:rsidR="00442A1D">
      <w:pPr>
        <w:pStyle w:val="Heading3"/>
        <w:rPr>
          <w:rFonts w:hint="eastAsia"/>
        </w:rPr>
      </w:pPr>
      <w:bookmarkStart w:id="2" w:name="_Hlt173217653"/>
      <w:bookmarkEnd w:id="2"/>
      <w:r>
        <w:t>1.1.1</w:t>
      </w:r>
      <w:r>
        <w:rPr>
          <w:rFonts w:hint="eastAsia"/>
        </w:rPr>
        <w:t>项目名称</w:t>
      </w:r>
    </w:p>
    <w:p w:rsidR="00442A1D">
      <w:pPr>
        <w:pStyle w:val="BodyTextIndent2"/>
        <w:rPr>
          <w:szCs w:val="32"/>
        </w:rPr>
      </w:pPr>
      <w:r>
        <w:rPr>
          <w:rFonts w:hint="eastAsia"/>
          <w:szCs w:val="32"/>
        </w:rPr>
        <w:t>宁东能源化工基地宝</w:t>
      </w:r>
      <w:r>
        <w:rPr>
          <w:rFonts w:hint="eastAsia"/>
          <w:szCs w:val="32"/>
        </w:rPr>
        <w:t>塔石化集团综合项目</w:t>
      </w:r>
      <w:r>
        <w:rPr>
          <w:rFonts w:hint="eastAsia"/>
          <w:szCs w:val="32"/>
        </w:rPr>
        <w:t>区（西区）铁路专用线及附属工程</w:t>
      </w:r>
    </w:p>
    <w:p w:rsidR="00442A1D">
      <w:pPr>
        <w:pStyle w:val="Heading3"/>
        <w:rPr>
          <w:rFonts w:hint="eastAsia"/>
        </w:rPr>
      </w:pPr>
      <w:r>
        <w:t>1.1.2</w:t>
      </w:r>
      <w:r>
        <w:rPr>
          <w:rFonts w:hint="eastAsia"/>
        </w:rPr>
        <w:t>项目地点</w:t>
      </w:r>
    </w:p>
    <w:p w:rsidR="00442A1D">
      <w:pPr>
        <w:pStyle w:val="BodyTextIndent2"/>
        <w:rPr>
          <w:rFonts w:hint="eastAsia"/>
          <w:szCs w:val="32"/>
        </w:rPr>
      </w:pPr>
      <w:r>
        <w:rPr>
          <w:rFonts w:hint="eastAsia"/>
          <w:szCs w:val="32"/>
        </w:rPr>
        <w:t>宁东能源化工基地古窑子车站西</w:t>
      </w:r>
      <w:r>
        <w:rPr>
          <w:szCs w:val="32"/>
        </w:rPr>
        <w:t>1km</w:t>
      </w:r>
      <w:r>
        <w:rPr>
          <w:rFonts w:hint="eastAsia"/>
          <w:szCs w:val="32"/>
        </w:rPr>
        <w:t>处。</w:t>
      </w:r>
    </w:p>
    <w:p w:rsidR="00442A1D">
      <w:pPr>
        <w:pStyle w:val="Heading3"/>
        <w:rPr>
          <w:rFonts w:hint="eastAsia"/>
        </w:rPr>
      </w:pPr>
      <w:r>
        <w:t>1.1.3</w:t>
      </w:r>
      <w:r>
        <w:rPr>
          <w:rFonts w:hint="eastAsia"/>
        </w:rPr>
        <w:t>承办单位概况</w:t>
      </w:r>
    </w:p>
    <w:p w:rsidR="00442A1D">
      <w:pPr>
        <w:pStyle w:val="BodyTextIndent2"/>
        <w:rPr>
          <w:rFonts w:hint="eastAsia"/>
        </w:rPr>
        <w:sectPr>
          <w:pgSz w:w="11906" w:h="16838"/>
          <w:pgMar w:top="1701" w:right="1134" w:bottom="1418" w:left="1701" w:header="851" w:footer="992" w:gutter="0"/>
          <w:pgNumType w:start="1"/>
          <w:cols w:space="425"/>
          <w:docGrid w:type="lines" w:linePitch="312"/>
        </w:sectPr>
      </w:pPr>
      <w:r>
        <w:rPr>
          <w:rFonts w:hint="eastAsia"/>
        </w:rPr>
        <w:t>宁夏宝塔石化集团</w:t>
      </w:r>
      <w:r>
        <w:rPr>
          <w:rFonts w:hint="eastAsia"/>
        </w:rPr>
        <w:t>是宁夏回族自治区民营企业之一，经济效益较好，有一定的抗风险能力。在灵武境内的宝塔宁东能源重化工基地，将发展为一个加工工艺流程齐全配套的燃</w:t>
      </w:r>
      <w:r>
        <w:rPr>
          <w:rFonts w:hint="eastAsia"/>
        </w:rPr>
        <w:t>料</w:t>
      </w:r>
      <w:r>
        <w:rPr>
          <w:rFonts w:hint="eastAsia"/>
        </w:rPr>
        <w:t>—</w:t>
      </w:r>
      <w:r>
        <w:rPr>
          <w:rFonts w:hint="eastAsia"/>
        </w:rPr>
        <w:t>—</w:t>
      </w:r>
      <w:r>
        <w:rPr>
          <w:rFonts w:hint="eastAsia"/>
        </w:rPr>
        <w:t>石油化工型的中型炼油和煤化工企业。其原油加工能力</w:t>
      </w:r>
      <w:r>
        <w:t>210</w:t>
      </w:r>
      <w:r>
        <w:rPr>
          <w:rFonts w:hint="eastAsia"/>
        </w:rPr>
        <w:t>万吨，重油加工能力</w:t>
      </w:r>
      <w:r>
        <w:t>1</w:t>
      </w:r>
      <w:r>
        <w:t>25</w:t>
      </w:r>
      <w:r>
        <w:rPr>
          <w:rFonts w:hint="eastAsia"/>
        </w:rPr>
        <w:t>万吨；</w:t>
      </w:r>
      <w:r>
        <w:t>60</w:t>
      </w:r>
      <w:r>
        <w:rPr>
          <w:rFonts w:hint="eastAsia"/>
        </w:rPr>
        <w:t>万吨重油催化，</w:t>
      </w:r>
      <w:r>
        <w:t>15</w:t>
      </w:r>
      <w:r>
        <w:rPr>
          <w:rFonts w:hint="eastAsia"/>
        </w:rPr>
        <w:t>万吨重整，</w:t>
      </w:r>
      <w:r>
        <w:t>1</w:t>
      </w:r>
      <w:r>
        <w:t>0</w:t>
      </w:r>
      <w:r>
        <w:rPr>
          <w:rFonts w:hint="eastAsia"/>
        </w:rPr>
        <w:t>万吨加氢装置即将建成。炼油化工已形成</w:t>
      </w:r>
      <w:r>
        <w:t>10</w:t>
      </w:r>
      <w:r>
        <w:rPr>
          <w:rFonts w:hint="eastAsia"/>
        </w:rPr>
        <w:t>万吨气分，</w:t>
      </w:r>
      <w:r>
        <w:t>7</w:t>
      </w:r>
      <w:r>
        <w:rPr>
          <w:rFonts w:hint="eastAsia"/>
        </w:rPr>
        <w:t>万吨聚丙烯的生产能力。</w:t>
      </w:r>
      <w:r>
        <w:t>20</w:t>
      </w:r>
      <w:r>
        <w:rPr>
          <w:rFonts w:hint="eastAsia"/>
        </w:rPr>
        <w:t>万吨气分，</w:t>
      </w:r>
      <w:r>
        <w:t>8</w:t>
      </w:r>
      <w:r>
        <w:rPr>
          <w:rFonts w:hint="eastAsia"/>
        </w:rPr>
        <w:t>万</w:t>
      </w:r>
      <w:r>
        <w:rPr>
          <w:rFonts w:hint="eastAsia"/>
        </w:rPr>
        <w:t>吨</w:t>
      </w:r>
      <w:r>
        <w:rPr>
          <w:rFonts w:hint="eastAsia"/>
        </w:rPr>
        <w:t>聚丙烯</w:t>
      </w:r>
      <w:r>
        <w:t>60</w:t>
      </w:r>
      <w:r>
        <w:rPr>
          <w:rFonts w:hint="eastAsia"/>
        </w:rPr>
        <w:t>万吨甲醇，</w:t>
      </w:r>
      <w:r>
        <w:t>10</w:t>
      </w:r>
      <w:r>
        <w:rPr>
          <w:rFonts w:hint="eastAsia"/>
        </w:rPr>
        <w:t>万吨二甲醇煤基化工项目已全面启动。</w:t>
      </w:r>
    </w:p>
    <w:p w:rsidR="00442A1D">
      <w:pPr>
        <w:pStyle w:val="Heading3"/>
        <w:rPr>
          <w:rFonts w:hint="eastAsia"/>
        </w:rPr>
      </w:pPr>
      <w:r>
        <w:t>1.1</w:t>
      </w:r>
      <w:r>
        <w:t>.4</w:t>
      </w:r>
      <w:r>
        <w:rPr>
          <w:rFonts w:hint="eastAsia"/>
        </w:rPr>
        <w:t>报告编制依据</w:t>
      </w:r>
    </w:p>
    <w:p w:rsidR="00442A1D">
      <w:pPr>
        <w:pStyle w:val="NoList"/>
        <w:numPr>
          <w:ilvl w:val="0"/>
          <w:numId w:val="7"/>
        </w:numPr>
        <w:rPr>
          <w:rFonts w:hint="eastAsia"/>
          <w:sz w:val="30"/>
          <w:szCs w:val="32"/>
        </w:rPr>
      </w:pPr>
      <w:r>
        <w:rPr>
          <w:rFonts w:hint="eastAsia"/>
          <w:sz w:val="30"/>
          <w:szCs w:val="32"/>
        </w:rPr>
        <w:t>宁夏发改委文件</w:t>
      </w:r>
      <w:r>
        <w:rPr>
          <w:sz w:val="30"/>
          <w:szCs w:val="32"/>
        </w:rPr>
        <w:t>[2023]238</w:t>
      </w:r>
      <w:r>
        <w:rPr>
          <w:rFonts w:hint="eastAsia"/>
          <w:sz w:val="30"/>
          <w:szCs w:val="32"/>
        </w:rPr>
        <w:t>号《关于宁夏宝塔石化集团</w:t>
      </w:r>
      <w:r>
        <w:rPr>
          <w:rFonts w:hint="eastAsia"/>
          <w:sz w:val="30"/>
          <w:szCs w:val="32"/>
        </w:rPr>
        <w:t>宁东能源重化工基地宝塔综合项目区发展规划的批复》；</w:t>
      </w:r>
    </w:p>
    <w:p w:rsidR="00442A1D">
      <w:pPr>
        <w:pStyle w:val="NoList"/>
        <w:numPr>
          <w:ilvl w:val="0"/>
          <w:numId w:val="7"/>
        </w:numPr>
        <w:rPr>
          <w:rFonts w:hint="eastAsia"/>
          <w:sz w:val="30"/>
          <w:szCs w:val="32"/>
        </w:rPr>
      </w:pPr>
      <w:r>
        <w:rPr>
          <w:rFonts w:hint="eastAsia"/>
          <w:sz w:val="30"/>
          <w:szCs w:val="32"/>
        </w:rPr>
        <w:t>大古铁路有限责任公司文件</w:t>
      </w:r>
      <w:r>
        <w:rPr>
          <w:sz w:val="30"/>
          <w:szCs w:val="32"/>
        </w:rPr>
        <w:t>[2023 ]5</w:t>
      </w:r>
      <w:r>
        <w:rPr>
          <w:rFonts w:hint="eastAsia"/>
          <w:sz w:val="30"/>
          <w:szCs w:val="32"/>
        </w:rPr>
        <w:t>号《关于宝塔集团天然气化工项目原料和产品承运和铁路专用线接轨的函》；</w:t>
      </w:r>
    </w:p>
    <w:p w:rsidR="00442A1D">
      <w:pPr>
        <w:pStyle w:val="NoList"/>
        <w:numPr>
          <w:ilvl w:val="0"/>
          <w:numId w:val="7"/>
        </w:numPr>
        <w:rPr>
          <w:rFonts w:hint="eastAsia"/>
          <w:sz w:val="30"/>
          <w:szCs w:val="32"/>
        </w:rPr>
      </w:pPr>
      <w:r>
        <w:rPr>
          <w:rFonts w:hint="eastAsia"/>
          <w:sz w:val="30"/>
          <w:szCs w:val="32"/>
        </w:rPr>
        <w:t>宝塔石化集团文件</w:t>
      </w:r>
      <w:r>
        <w:rPr>
          <w:sz w:val="30"/>
          <w:szCs w:val="32"/>
        </w:rPr>
        <w:t>[2023  ]79</w:t>
      </w:r>
      <w:r>
        <w:rPr>
          <w:rFonts w:hint="eastAsia"/>
          <w:sz w:val="30"/>
          <w:szCs w:val="32"/>
        </w:rPr>
        <w:t>号《关于置换货场的商请函》；</w:t>
      </w:r>
    </w:p>
    <w:p w:rsidR="00442A1D">
      <w:pPr>
        <w:pStyle w:val="NoList"/>
        <w:numPr>
          <w:ilvl w:val="0"/>
          <w:numId w:val="7"/>
        </w:numPr>
        <w:rPr>
          <w:rFonts w:hint="eastAsia"/>
          <w:sz w:val="30"/>
          <w:szCs w:val="32"/>
        </w:rPr>
      </w:pPr>
      <w:r>
        <w:rPr>
          <w:rFonts w:hint="eastAsia"/>
          <w:sz w:val="30"/>
          <w:szCs w:val="32"/>
        </w:rPr>
        <w:t>大古铁路有限责任公司文件</w:t>
      </w:r>
      <w:r>
        <w:rPr>
          <w:sz w:val="30"/>
          <w:szCs w:val="32"/>
        </w:rPr>
        <w:t>[2023  ]2</w:t>
      </w:r>
      <w:r>
        <w:rPr>
          <w:sz w:val="30"/>
          <w:szCs w:val="32"/>
        </w:rPr>
        <w:t>5</w:t>
      </w:r>
      <w:r>
        <w:rPr>
          <w:rFonts w:hint="eastAsia"/>
          <w:sz w:val="30"/>
          <w:szCs w:val="32"/>
        </w:rPr>
        <w:t>号《关于宝塔石化集团公司置换货场的复函》；</w:t>
      </w:r>
    </w:p>
    <w:p w:rsidR="00442A1D">
      <w:pPr>
        <w:pStyle w:val="NoList"/>
        <w:numPr>
          <w:ilvl w:val="0"/>
          <w:numId w:val="7"/>
        </w:numPr>
        <w:rPr>
          <w:rFonts w:hint="eastAsia"/>
          <w:sz w:val="30"/>
          <w:szCs w:val="32"/>
        </w:rPr>
      </w:pPr>
      <w:r>
        <w:rPr>
          <w:sz w:val="30"/>
          <w:szCs w:val="32"/>
        </w:rPr>
        <w:t xml:space="preserve">2023  </w:t>
      </w:r>
      <w:r>
        <w:rPr>
          <w:rFonts w:hint="eastAsia"/>
          <w:sz w:val="30"/>
          <w:szCs w:val="32"/>
        </w:rPr>
        <w:t>年</w:t>
      </w:r>
      <w:r>
        <w:rPr>
          <w:sz w:val="30"/>
          <w:szCs w:val="32"/>
        </w:rPr>
        <w:t>4</w:t>
      </w:r>
      <w:r>
        <w:rPr>
          <w:rFonts w:hint="eastAsia"/>
          <w:sz w:val="30"/>
          <w:szCs w:val="32"/>
        </w:rPr>
        <w:t>月</w:t>
      </w:r>
      <w:r>
        <w:rPr>
          <w:sz w:val="30"/>
          <w:szCs w:val="32"/>
        </w:rPr>
        <w:t>20</w:t>
      </w:r>
      <w:r>
        <w:rPr>
          <w:rFonts w:hint="eastAsia"/>
          <w:sz w:val="30"/>
          <w:szCs w:val="32"/>
        </w:rPr>
        <w:t>日《宝塔石化集团新建货场方案审</w:t>
      </w:r>
      <w:r>
        <w:rPr>
          <w:rFonts w:hint="eastAsia"/>
          <w:sz w:val="30"/>
          <w:szCs w:val="32"/>
        </w:rPr>
        <w:t>查会会议纪要》；</w:t>
      </w:r>
    </w:p>
    <w:p w:rsidR="00442A1D">
      <w:pPr>
        <w:pStyle w:val="NoList"/>
        <w:numPr>
          <w:ilvl w:val="0"/>
          <w:numId w:val="7"/>
        </w:numPr>
        <w:rPr>
          <w:rFonts w:hint="eastAsia"/>
          <w:sz w:val="30"/>
          <w:szCs w:val="32"/>
        </w:rPr>
      </w:pPr>
      <w:r>
        <w:rPr>
          <w:sz w:val="30"/>
          <w:szCs w:val="32"/>
        </w:rPr>
        <w:t xml:space="preserve">2023  </w:t>
      </w:r>
      <w:r>
        <w:rPr>
          <w:rFonts w:hint="eastAsia"/>
          <w:sz w:val="30"/>
          <w:szCs w:val="32"/>
        </w:rPr>
        <w:t>年</w:t>
      </w:r>
      <w:r>
        <w:rPr>
          <w:sz w:val="30"/>
          <w:szCs w:val="32"/>
        </w:rPr>
        <w:t>5</w:t>
      </w:r>
      <w:r>
        <w:rPr>
          <w:rFonts w:hint="eastAsia"/>
          <w:sz w:val="30"/>
          <w:szCs w:val="32"/>
        </w:rPr>
        <w:t>月</w:t>
      </w:r>
      <w:r>
        <w:rPr>
          <w:sz w:val="30"/>
          <w:szCs w:val="32"/>
        </w:rPr>
        <w:t>21</w:t>
      </w:r>
      <w:r>
        <w:rPr>
          <w:rFonts w:hint="eastAsia"/>
          <w:sz w:val="30"/>
          <w:szCs w:val="32"/>
        </w:rPr>
        <w:t>日《宁东化工基地宝塔石化综合项目区（西区）铁路专用线设计》委托书</w:t>
      </w:r>
      <w:r>
        <w:rPr>
          <w:rFonts w:hint="eastAsia"/>
          <w:sz w:val="30"/>
          <w:szCs w:val="32"/>
        </w:rPr>
        <w:t>；</w:t>
      </w:r>
    </w:p>
    <w:p w:rsidR="00442A1D">
      <w:pPr>
        <w:pStyle w:val="NoList"/>
        <w:numPr>
          <w:ilvl w:val="0"/>
          <w:numId w:val="7"/>
        </w:numPr>
        <w:rPr>
          <w:rFonts w:hint="eastAsia"/>
          <w:sz w:val="30"/>
          <w:szCs w:val="32"/>
        </w:rPr>
      </w:pPr>
      <w:r>
        <w:rPr>
          <w:rFonts w:hint="eastAsia"/>
          <w:sz w:val="30"/>
          <w:szCs w:val="32"/>
        </w:rPr>
        <w:t>宁夏宝塔石化集团提供的项目区位置布置图</w:t>
      </w:r>
      <w:r>
        <w:rPr>
          <w:rFonts w:hint="eastAsia"/>
          <w:sz w:val="30"/>
          <w:szCs w:val="32"/>
        </w:rPr>
        <w:t>；</w:t>
      </w:r>
    </w:p>
    <w:p w:rsidR="00442A1D">
      <w:pPr>
        <w:pStyle w:val="Heading3"/>
        <w:rPr>
          <w:rFonts w:hint="eastAsia"/>
        </w:rPr>
      </w:pPr>
      <w:r>
        <w:t>1.1.5</w:t>
      </w:r>
      <w:r>
        <w:rPr>
          <w:rFonts w:hint="eastAsia"/>
        </w:rPr>
        <w:t>项目提出的过程，理由及意义</w:t>
      </w:r>
    </w:p>
    <w:p w:rsidR="00442A1D">
      <w:pPr>
        <w:pStyle w:val="NoList"/>
        <w:ind w:firstLine="600" w:firstLineChars="200"/>
        <w:rPr>
          <w:rFonts w:hint="eastAsia"/>
          <w:sz w:val="30"/>
          <w:szCs w:val="32"/>
        </w:rPr>
        <w:sectPr>
          <w:type w:val="nextPage"/>
          <w:pgSz w:w="11906" w:h="16838"/>
          <w:pgMar w:top="1701" w:right="1134" w:bottom="1418" w:left="1701" w:header="851" w:footer="992" w:gutter="0"/>
          <w:pgNumType w:start="2"/>
          <w:cols w:space="425"/>
          <w:titlePg w:val="0"/>
          <w:docGrid w:type="lines" w:linePitch="312"/>
        </w:sectPr>
      </w:pPr>
      <w:r>
        <w:rPr>
          <w:rFonts w:hint="eastAsia"/>
          <w:sz w:val="30"/>
          <w:szCs w:val="32"/>
        </w:rPr>
        <w:t>早在</w:t>
      </w:r>
      <w:r>
        <w:rPr>
          <w:sz w:val="30"/>
          <w:szCs w:val="32"/>
        </w:rPr>
        <w:t>2023</w:t>
      </w:r>
      <w:r>
        <w:rPr>
          <w:rFonts w:hint="eastAsia"/>
          <w:sz w:val="30"/>
          <w:szCs w:val="32"/>
        </w:rPr>
        <w:t>年初，宁夏宝塔石化集团向自治区发改委递交了《宁东能源重化工基地宝塔综合项目区发展规划》的申请，同年</w:t>
      </w:r>
      <w:r>
        <w:rPr>
          <w:sz w:val="30"/>
          <w:szCs w:val="32"/>
        </w:rPr>
        <w:t>4</w:t>
      </w:r>
      <w:r>
        <w:rPr>
          <w:rFonts w:hint="eastAsia"/>
          <w:sz w:val="30"/>
          <w:szCs w:val="32"/>
        </w:rPr>
        <w:t>月</w:t>
      </w:r>
      <w:r>
        <w:rPr>
          <w:sz w:val="30"/>
          <w:szCs w:val="32"/>
        </w:rPr>
        <w:t>27</w:t>
      </w:r>
      <w:r>
        <w:rPr>
          <w:rFonts w:hint="eastAsia"/>
          <w:sz w:val="30"/>
          <w:szCs w:val="32"/>
        </w:rPr>
        <w:t>日得到自治区发改委的批复。规划项目期为</w:t>
      </w:r>
      <w:r>
        <w:rPr>
          <w:sz w:val="30"/>
          <w:szCs w:val="32"/>
        </w:rPr>
        <w:t>2023</w:t>
      </w:r>
      <w:r>
        <w:rPr>
          <w:rFonts w:hint="eastAsia"/>
          <w:sz w:val="30"/>
          <w:szCs w:val="32"/>
        </w:rPr>
        <w:t>年</w:t>
      </w:r>
      <w:r>
        <w:rPr>
          <w:rFonts w:hint="eastAsia"/>
          <w:sz w:val="30"/>
          <w:szCs w:val="32"/>
        </w:rPr>
        <w:t>——</w:t>
      </w:r>
      <w:r>
        <w:rPr>
          <w:sz w:val="30"/>
          <w:szCs w:val="32"/>
        </w:rPr>
        <w:t>2023</w:t>
      </w:r>
      <w:r>
        <w:rPr>
          <w:rFonts w:hint="eastAsia"/>
          <w:sz w:val="30"/>
          <w:szCs w:val="32"/>
        </w:rPr>
        <w:t>年，规划项目完成后，企业将发展为一个加工</w:t>
      </w:r>
      <w:r>
        <w:rPr>
          <w:rFonts w:hint="eastAsia"/>
          <w:sz w:val="30"/>
          <w:szCs w:val="32"/>
        </w:rPr>
        <w:t>工艺流程齐全配套的燃</w:t>
      </w:r>
      <w:r>
        <w:rPr>
          <w:rFonts w:hint="eastAsia"/>
          <w:sz w:val="30"/>
          <w:szCs w:val="32"/>
        </w:rPr>
        <w:t>料</w:t>
      </w:r>
      <w:r>
        <w:rPr>
          <w:rFonts w:hint="eastAsia"/>
          <w:sz w:val="30"/>
          <w:szCs w:val="32"/>
        </w:rPr>
        <w:t>—</w:t>
      </w:r>
      <w:r>
        <w:rPr>
          <w:rFonts w:hint="eastAsia"/>
          <w:sz w:val="30"/>
          <w:szCs w:val="32"/>
        </w:rPr>
        <w:t>—</w:t>
      </w:r>
      <w:r>
        <w:rPr>
          <w:rFonts w:hint="eastAsia"/>
          <w:sz w:val="30"/>
          <w:szCs w:val="32"/>
        </w:rPr>
        <w:t>石油化工型的中型炼油和煤化工企业。</w:t>
      </w:r>
    </w:p>
    <w:p w:rsidR="00442A1D">
      <w:pPr>
        <w:pStyle w:val="NoList"/>
        <w:ind w:firstLine="600" w:firstLineChars="200"/>
        <w:rPr>
          <w:rFonts w:hint="eastAsia"/>
          <w:sz w:val="30"/>
          <w:szCs w:val="32"/>
        </w:rPr>
      </w:pPr>
      <w:r>
        <w:rPr>
          <w:rFonts w:hint="eastAsia"/>
          <w:sz w:val="30"/>
          <w:szCs w:val="32"/>
        </w:rPr>
        <w:t>至</w:t>
      </w:r>
      <w:r>
        <w:rPr>
          <w:sz w:val="30"/>
          <w:szCs w:val="32"/>
        </w:rPr>
        <w:t>2023</w:t>
      </w:r>
      <w:r>
        <w:rPr>
          <w:rFonts w:hint="eastAsia"/>
          <w:sz w:val="30"/>
          <w:szCs w:val="32"/>
        </w:rPr>
        <w:t>年以上项目投产后，年加</w:t>
      </w:r>
      <w:r>
        <w:rPr>
          <w:rFonts w:hint="eastAsia"/>
          <w:sz w:val="30"/>
          <w:szCs w:val="32"/>
        </w:rPr>
        <w:t>工量达到</w:t>
      </w:r>
      <w:r>
        <w:rPr>
          <w:sz w:val="30"/>
          <w:szCs w:val="32"/>
        </w:rPr>
        <w:t>300</w:t>
      </w:r>
      <w:r>
        <w:rPr>
          <w:rFonts w:hint="eastAsia"/>
          <w:sz w:val="30"/>
          <w:szCs w:val="32"/>
        </w:rPr>
        <w:t>万吨，铁路运输量达到</w:t>
      </w:r>
      <w:r>
        <w:rPr>
          <w:sz w:val="30"/>
          <w:szCs w:val="32"/>
        </w:rPr>
        <w:t>150</w:t>
      </w:r>
      <w:r>
        <w:rPr>
          <w:rFonts w:hint="eastAsia"/>
          <w:sz w:val="30"/>
          <w:szCs w:val="32"/>
        </w:rPr>
        <w:t>万吨。根据宝塔石化集团提供的铁路运量预期表，在</w:t>
      </w:r>
      <w:r>
        <w:rPr>
          <w:sz w:val="30"/>
          <w:szCs w:val="32"/>
        </w:rPr>
        <w:t>2023</w:t>
      </w:r>
      <w:r>
        <w:rPr>
          <w:rFonts w:hint="eastAsia"/>
          <w:sz w:val="30"/>
          <w:szCs w:val="32"/>
        </w:rPr>
        <w:t>年和</w:t>
      </w:r>
      <w:r>
        <w:rPr>
          <w:sz w:val="30"/>
          <w:szCs w:val="32"/>
        </w:rPr>
        <w:t>2023</w:t>
      </w:r>
      <w:r>
        <w:rPr>
          <w:rFonts w:hint="eastAsia"/>
          <w:sz w:val="30"/>
          <w:szCs w:val="32"/>
        </w:rPr>
        <w:t>年其可能发生的铁路运量分别达到</w:t>
      </w:r>
      <w:r>
        <w:rPr>
          <w:sz w:val="30"/>
          <w:szCs w:val="32"/>
        </w:rPr>
        <w:t>265</w:t>
      </w:r>
      <w:r>
        <w:rPr>
          <w:rFonts w:hint="eastAsia"/>
          <w:sz w:val="30"/>
          <w:szCs w:val="32"/>
        </w:rPr>
        <w:t>万吨和</w:t>
      </w:r>
      <w:r>
        <w:rPr>
          <w:sz w:val="30"/>
          <w:szCs w:val="32"/>
        </w:rPr>
        <w:t>440</w:t>
      </w:r>
      <w:r>
        <w:rPr>
          <w:rFonts w:hint="eastAsia"/>
          <w:sz w:val="30"/>
          <w:szCs w:val="32"/>
        </w:rPr>
        <w:t>万吨。而</w:t>
      </w:r>
      <w:r>
        <w:rPr>
          <w:sz w:val="30"/>
          <w:szCs w:val="32"/>
        </w:rPr>
        <w:t xml:space="preserve">2023 </w:t>
      </w:r>
      <w:r>
        <w:rPr>
          <w:rFonts w:hint="eastAsia"/>
          <w:sz w:val="30"/>
          <w:szCs w:val="32"/>
        </w:rPr>
        <w:t>年租用的大古铁路有限责任公司古窑子车站旧货场运输能力仅为</w:t>
      </w:r>
      <w:r>
        <w:rPr>
          <w:sz w:val="30"/>
          <w:szCs w:val="32"/>
        </w:rPr>
        <w:t>30</w:t>
      </w:r>
      <w:r>
        <w:rPr>
          <w:rFonts w:hint="eastAsia"/>
          <w:sz w:val="30"/>
          <w:szCs w:val="32"/>
        </w:rPr>
        <w:t>万吨</w:t>
      </w:r>
      <w:r>
        <w:rPr>
          <w:sz w:val="30"/>
          <w:szCs w:val="32"/>
        </w:rPr>
        <w:t>/</w:t>
      </w:r>
      <w:r>
        <w:rPr>
          <w:rFonts w:hint="eastAsia"/>
          <w:sz w:val="30"/>
          <w:szCs w:val="32"/>
        </w:rPr>
        <w:t>年，已远远不能满足宁夏宝塔石化集团铁路运输运量需求，而且租用期限已到。</w:t>
      </w:r>
    </w:p>
    <w:p w:rsidR="00442A1D">
      <w:pPr>
        <w:pStyle w:val="NoList"/>
        <w:ind w:firstLine="450" w:firstLineChars="150"/>
        <w:rPr>
          <w:rFonts w:hint="eastAsia"/>
          <w:sz w:val="30"/>
          <w:szCs w:val="32"/>
        </w:rPr>
      </w:pPr>
      <w:r>
        <w:rPr>
          <w:rFonts w:hint="eastAsia"/>
          <w:sz w:val="30"/>
          <w:szCs w:val="32"/>
        </w:rPr>
        <w:t>在此情况下，宁夏宝塔石化集团从本公司和大古铁路公司双方利益及企业当前和今后发展的角度考</w:t>
      </w:r>
      <w:r>
        <w:rPr>
          <w:rFonts w:hint="eastAsia"/>
          <w:sz w:val="30"/>
          <w:szCs w:val="32"/>
        </w:rPr>
        <w:t>虑，本着有利于大古铁路公司直通运输业务的开展，有利于站场改造，有利于今后长远发展，同时有利于宁</w:t>
      </w:r>
      <w:r>
        <w:rPr>
          <w:rFonts w:hint="eastAsia"/>
          <w:sz w:val="30"/>
          <w:szCs w:val="32"/>
        </w:rPr>
        <w:t>夏宝塔石化集团铁路运输需求，由宁夏宝塔石化集团出资在大古铁路古窑子车站新建铁路</w:t>
      </w:r>
      <w:r>
        <w:rPr>
          <w:rFonts w:hint="eastAsia"/>
          <w:sz w:val="30"/>
          <w:szCs w:val="32"/>
        </w:rPr>
        <w:t>专用线及相关工程。提出在与旧货场同等规模的前提下进行置换</w:t>
      </w:r>
      <w:r>
        <w:rPr>
          <w:rFonts w:hint="eastAsia"/>
          <w:sz w:val="30"/>
          <w:szCs w:val="32"/>
        </w:rPr>
        <w:t>，新建一货场及配套的设备和设施，来满足完全替代现租用的大古铁路公司货场的装卸能力的需求，满足近期</w:t>
      </w:r>
      <w:r>
        <w:rPr>
          <w:sz w:val="30"/>
          <w:szCs w:val="32"/>
        </w:rPr>
        <w:t>265</w:t>
      </w:r>
      <w:r>
        <w:rPr>
          <w:rFonts w:hint="eastAsia"/>
          <w:sz w:val="30"/>
          <w:szCs w:val="32"/>
        </w:rPr>
        <w:t>万吨和远期</w:t>
      </w:r>
      <w:r>
        <w:rPr>
          <w:sz w:val="30"/>
          <w:szCs w:val="32"/>
        </w:rPr>
        <w:t>440</w:t>
      </w:r>
      <w:r>
        <w:rPr>
          <w:rFonts w:hint="eastAsia"/>
          <w:sz w:val="30"/>
          <w:szCs w:val="32"/>
        </w:rPr>
        <w:t>万吨装卸能力的需求。</w:t>
      </w:r>
    </w:p>
    <w:p w:rsidR="00442A1D">
      <w:pPr>
        <w:pStyle w:val="NoList"/>
        <w:ind w:firstLine="600" w:firstLineChars="200"/>
        <w:rPr>
          <w:rFonts w:hint="eastAsia"/>
          <w:sz w:val="30"/>
          <w:szCs w:val="32"/>
        </w:rPr>
      </w:pPr>
      <w:r>
        <w:rPr>
          <w:rFonts w:hint="eastAsia"/>
          <w:sz w:val="30"/>
          <w:szCs w:val="32"/>
        </w:rPr>
        <w:t>项目区东面紧邻古窑子车站，大古铁路和拟建的古黎铁路支线从规划区域通过，使规划项目区与煤矿及包兰铁路紧密相连；规划中的太（原</w:t>
      </w:r>
      <w:r>
        <w:rPr>
          <w:rFonts w:hint="eastAsia"/>
          <w:sz w:val="30"/>
          <w:szCs w:val="32"/>
        </w:rPr>
        <w:t>）</w:t>
      </w:r>
      <w:r>
        <w:rPr>
          <w:rFonts w:hint="eastAsia"/>
          <w:sz w:val="30"/>
          <w:szCs w:val="32"/>
        </w:rPr>
        <w:t>——</w:t>
      </w:r>
      <w:r>
        <w:rPr>
          <w:rFonts w:hint="eastAsia"/>
          <w:sz w:val="30"/>
          <w:szCs w:val="32"/>
        </w:rPr>
        <w:t>中（卫）铁路东接石太线，西接干武铁路至兰新线，是宁夏对外交通运输新增的东西向大通道。项目区东西</w:t>
      </w:r>
      <w:r>
        <w:rPr>
          <w:rFonts w:hint="eastAsia"/>
          <w:sz w:val="30"/>
          <w:szCs w:val="32"/>
        </w:rPr>
        <w:t>和南面与黎羊公路相邻，北临</w:t>
      </w:r>
      <w:r>
        <w:rPr>
          <w:sz w:val="30"/>
          <w:szCs w:val="32"/>
        </w:rPr>
        <w:t>307</w:t>
      </w:r>
      <w:r>
        <w:rPr>
          <w:rFonts w:hint="eastAsia"/>
          <w:sz w:val="30"/>
          <w:szCs w:val="32"/>
        </w:rPr>
        <w:t>国道，邻近银古高速公路，距银（川）青（岛）高速公路</w:t>
      </w:r>
      <w:r>
        <w:rPr>
          <w:sz w:val="30"/>
          <w:szCs w:val="32"/>
        </w:rPr>
        <w:t>3</w:t>
      </w:r>
      <w:r>
        <w:rPr>
          <w:rFonts w:hint="eastAsia"/>
          <w:sz w:val="30"/>
          <w:szCs w:val="32"/>
        </w:rPr>
        <w:t>公里，公路交通比较便利。</w:t>
      </w:r>
    </w:p>
    <w:p w:rsidR="00442A1D">
      <w:pPr>
        <w:pStyle w:val="NoList"/>
        <w:ind w:firstLine="600" w:firstLineChars="200"/>
        <w:rPr>
          <w:rFonts w:hint="eastAsia"/>
          <w:sz w:val="30"/>
          <w:szCs w:val="32"/>
        </w:rPr>
        <w:sectPr>
          <w:type w:val="nextPage"/>
          <w:pgSz w:w="11906" w:h="16838"/>
          <w:pgMar w:top="1701" w:right="1134" w:bottom="1418" w:left="1701" w:header="851" w:footer="992" w:gutter="0"/>
          <w:pgNumType w:start="3"/>
          <w:cols w:space="425"/>
          <w:titlePg w:val="0"/>
          <w:docGrid w:type="lines" w:linePitch="312"/>
        </w:sectPr>
      </w:pPr>
      <w:r>
        <w:rPr>
          <w:rFonts w:hint="eastAsia"/>
          <w:sz w:val="30"/>
          <w:szCs w:val="32"/>
        </w:rPr>
        <w:t>本方案仅考虑的重点是现期对原专用线及货场</w:t>
      </w:r>
    </w:p>
    <w:p w:rsidR="00442A1D">
      <w:pPr>
        <w:pStyle w:val="NoList"/>
        <w:ind w:firstLine="600" w:firstLineChars="200"/>
        <w:rPr>
          <w:rFonts w:hint="eastAsia"/>
          <w:sz w:val="30"/>
          <w:szCs w:val="32"/>
        </w:rPr>
      </w:pPr>
      <w:r>
        <w:rPr>
          <w:rFonts w:hint="eastAsia"/>
          <w:sz w:val="30"/>
          <w:szCs w:val="32"/>
        </w:rPr>
        <w:t>进行置换并满足现期需求的可能性，同时，本着一次建设到位的精神，为近期和远期的需求储备足够的能力。近年来，随着国</w:t>
      </w:r>
      <w:r>
        <w:rPr>
          <w:rFonts w:hint="eastAsia"/>
          <w:sz w:val="30"/>
          <w:szCs w:val="32"/>
        </w:rPr>
        <w:t>家</w:t>
      </w:r>
      <w:r>
        <w:rPr>
          <w:rFonts w:hint="eastAsia"/>
          <w:sz w:val="30"/>
          <w:szCs w:val="32"/>
        </w:rPr>
        <w:t>“</w:t>
      </w:r>
      <w:r>
        <w:rPr>
          <w:rFonts w:hint="eastAsia"/>
          <w:sz w:val="30"/>
          <w:szCs w:val="32"/>
        </w:rPr>
        <w:t>西部大开</w:t>
      </w:r>
      <w:r>
        <w:rPr>
          <w:rFonts w:hint="eastAsia"/>
          <w:sz w:val="30"/>
          <w:szCs w:val="32"/>
        </w:rPr>
        <w:t>发</w:t>
      </w:r>
      <w:r>
        <w:rPr>
          <w:rFonts w:hint="eastAsia"/>
          <w:sz w:val="30"/>
          <w:szCs w:val="32"/>
        </w:rPr>
        <w:t>”</w:t>
      </w:r>
      <w:r>
        <w:rPr>
          <w:rFonts w:hint="eastAsia"/>
          <w:sz w:val="30"/>
          <w:szCs w:val="32"/>
        </w:rPr>
        <w:t>政策的实施，以及本项目区经济强劲的增长态势，对铁路局运输能源的需求也快速增长，本项目的实施对促进宁东宝塔综合项目的经济发展，具有十分必要和重要</w:t>
      </w:r>
      <w:r>
        <w:rPr>
          <w:rFonts w:hint="eastAsia"/>
          <w:sz w:val="30"/>
          <w:szCs w:val="32"/>
        </w:rPr>
        <w:t>的意义。特此申请核准。</w:t>
      </w:r>
    </w:p>
    <w:p w:rsidR="00442A1D">
      <w:pPr>
        <w:pStyle w:val="Heading2"/>
        <w:rPr>
          <w:rFonts w:hint="eastAsia"/>
        </w:rPr>
      </w:pPr>
      <w:bookmarkStart w:id="3" w:name="_Hlt173837819"/>
      <w:bookmarkEnd w:id="3"/>
      <w:r>
        <w:t>1.2</w:t>
      </w:r>
      <w:r>
        <w:rPr>
          <w:rFonts w:hint="eastAsia"/>
        </w:rPr>
        <w:t>项目概况</w:t>
      </w:r>
    </w:p>
    <w:p w:rsidR="00442A1D">
      <w:pPr>
        <w:pStyle w:val="Heading3"/>
        <w:rPr>
          <w:rFonts w:hint="eastAsia"/>
        </w:rPr>
      </w:pPr>
      <w:r>
        <w:t>1.2.1</w:t>
      </w:r>
      <w:r>
        <w:rPr>
          <w:rFonts w:hint="eastAsia"/>
        </w:rPr>
        <w:t>线路起止点、经由</w:t>
      </w:r>
    </w:p>
    <w:p w:rsidR="00442A1D">
      <w:pPr>
        <w:pStyle w:val="NoList"/>
        <w:numPr>
          <w:ilvl w:val="0"/>
          <w:numId w:val="8"/>
        </w:numPr>
        <w:rPr>
          <w:rFonts w:hint="eastAsia"/>
          <w:sz w:val="30"/>
          <w:szCs w:val="32"/>
        </w:rPr>
      </w:pPr>
      <w:r>
        <w:rPr>
          <w:rFonts w:hint="eastAsia"/>
          <w:sz w:val="30"/>
          <w:szCs w:val="32"/>
        </w:rPr>
        <w:t>线路起</w:t>
      </w:r>
      <w:r>
        <w:rPr>
          <w:rFonts w:hint="eastAsia"/>
          <w:sz w:val="30"/>
          <w:szCs w:val="32"/>
        </w:rPr>
        <w:t>点</w:t>
      </w:r>
      <w:r>
        <w:rPr>
          <w:rFonts w:hint="eastAsia"/>
          <w:sz w:val="30"/>
          <w:szCs w:val="32"/>
        </w:rPr>
        <w:t>—</w:t>
      </w:r>
      <w:r>
        <w:rPr>
          <w:rFonts w:hint="eastAsia"/>
          <w:sz w:val="30"/>
          <w:szCs w:val="32"/>
        </w:rPr>
        <w:t>—</w:t>
      </w:r>
      <w:r>
        <w:rPr>
          <w:rFonts w:hint="eastAsia"/>
          <w:sz w:val="30"/>
          <w:szCs w:val="32"/>
        </w:rPr>
        <w:t>即接轨点，为大</w:t>
      </w:r>
      <w:r>
        <w:rPr>
          <w:rFonts w:hint="eastAsia"/>
          <w:sz w:val="30"/>
          <w:szCs w:val="32"/>
        </w:rPr>
        <w:t>古铁路古窑子车</w:t>
      </w:r>
      <w:r>
        <w:rPr>
          <w:rFonts w:hint="eastAsia"/>
          <w:sz w:val="30"/>
          <w:szCs w:val="32"/>
        </w:rPr>
        <w:t>站西牵出线距车挡</w:t>
      </w:r>
      <w:r>
        <w:rPr>
          <w:sz w:val="30"/>
          <w:szCs w:val="32"/>
        </w:rPr>
        <w:t>400m</w:t>
      </w:r>
      <w:r>
        <w:rPr>
          <w:rFonts w:hint="eastAsia"/>
          <w:sz w:val="30"/>
          <w:szCs w:val="32"/>
        </w:rPr>
        <w:t>处，里程为</w:t>
      </w:r>
      <w:r>
        <w:rPr>
          <w:sz w:val="30"/>
          <w:szCs w:val="32"/>
        </w:rPr>
        <w:t>K0+000</w:t>
      </w:r>
      <w:r>
        <w:rPr>
          <w:rFonts w:hint="eastAsia"/>
          <w:sz w:val="30"/>
          <w:szCs w:val="32"/>
        </w:rPr>
        <w:t>、即大古铁路</w:t>
      </w:r>
      <w:r>
        <w:rPr>
          <w:sz w:val="30"/>
          <w:szCs w:val="32"/>
        </w:rPr>
        <w:t>K68+775</w:t>
      </w:r>
      <w:r>
        <w:rPr>
          <w:rFonts w:hint="eastAsia"/>
          <w:sz w:val="30"/>
          <w:szCs w:val="32"/>
        </w:rPr>
        <w:t>处；</w:t>
      </w:r>
    </w:p>
    <w:p w:rsidR="00442A1D">
      <w:pPr>
        <w:pStyle w:val="NoList"/>
        <w:numPr>
          <w:ilvl w:val="0"/>
          <w:numId w:val="8"/>
        </w:numPr>
        <w:rPr>
          <w:rFonts w:hint="eastAsia"/>
          <w:sz w:val="30"/>
          <w:szCs w:val="32"/>
        </w:rPr>
      </w:pPr>
      <w:r>
        <w:rPr>
          <w:rFonts w:hint="eastAsia"/>
          <w:sz w:val="30"/>
          <w:szCs w:val="32"/>
        </w:rPr>
        <w:t>线路终</w:t>
      </w:r>
      <w:r>
        <w:rPr>
          <w:rFonts w:hint="eastAsia"/>
          <w:sz w:val="30"/>
          <w:szCs w:val="32"/>
        </w:rPr>
        <w:t>点</w:t>
      </w:r>
      <w:r>
        <w:rPr>
          <w:rFonts w:hint="eastAsia"/>
          <w:sz w:val="30"/>
          <w:szCs w:val="32"/>
        </w:rPr>
        <w:t>—</w:t>
      </w:r>
      <w:r>
        <w:rPr>
          <w:rFonts w:hint="eastAsia"/>
          <w:sz w:val="30"/>
          <w:szCs w:val="32"/>
        </w:rPr>
        <w:t>—</w:t>
      </w:r>
      <w:r>
        <w:rPr>
          <w:rFonts w:hint="eastAsia"/>
          <w:sz w:val="30"/>
          <w:szCs w:val="32"/>
        </w:rPr>
        <w:t>为货四线终点，即车挡位置货物线</w:t>
      </w:r>
      <w:r>
        <w:rPr>
          <w:sz w:val="30"/>
          <w:szCs w:val="32"/>
        </w:rPr>
        <w:t>K1+413.7</w:t>
      </w:r>
      <w:r>
        <w:rPr>
          <w:rFonts w:hint="eastAsia"/>
          <w:sz w:val="30"/>
          <w:szCs w:val="32"/>
        </w:rPr>
        <w:t>处；</w:t>
      </w:r>
    </w:p>
    <w:p w:rsidR="00442A1D">
      <w:pPr>
        <w:pStyle w:val="NoList"/>
        <w:numPr>
          <w:ilvl w:val="0"/>
          <w:numId w:val="8"/>
        </w:numPr>
        <w:rPr>
          <w:rFonts w:hint="eastAsia"/>
          <w:sz w:val="30"/>
          <w:szCs w:val="32"/>
        </w:rPr>
      </w:pPr>
      <w:r>
        <w:rPr>
          <w:rFonts w:hint="eastAsia"/>
          <w:sz w:val="30"/>
          <w:szCs w:val="32"/>
        </w:rPr>
        <w:t>接轨</w:t>
      </w:r>
      <w:r>
        <w:rPr>
          <w:rFonts w:hint="eastAsia"/>
          <w:sz w:val="30"/>
          <w:szCs w:val="32"/>
        </w:rPr>
        <w:t>点</w:t>
      </w:r>
      <w:r>
        <w:rPr>
          <w:rFonts w:hint="eastAsia"/>
          <w:sz w:val="30"/>
          <w:szCs w:val="32"/>
        </w:rPr>
        <w:t>—</w:t>
      </w:r>
      <w:r>
        <w:rPr>
          <w:rFonts w:hint="eastAsia"/>
          <w:sz w:val="30"/>
          <w:szCs w:val="32"/>
        </w:rPr>
        <w:t>—</w:t>
      </w:r>
      <w:r>
        <w:rPr>
          <w:rFonts w:hint="eastAsia"/>
          <w:sz w:val="30"/>
          <w:szCs w:val="32"/>
        </w:rPr>
        <w:t>选在现有古窑子车站西牵出线距车挡</w:t>
      </w:r>
      <w:r>
        <w:rPr>
          <w:sz w:val="30"/>
          <w:szCs w:val="32"/>
        </w:rPr>
        <w:t>400m</w:t>
      </w:r>
      <w:r>
        <w:rPr>
          <w:rFonts w:hint="eastAsia"/>
          <w:sz w:val="30"/>
          <w:szCs w:val="32"/>
        </w:rPr>
        <w:t>位置；</w:t>
      </w:r>
    </w:p>
    <w:p w:rsidR="00442A1D">
      <w:pPr>
        <w:pStyle w:val="NoList"/>
        <w:numPr>
          <w:ilvl w:val="0"/>
          <w:numId w:val="8"/>
        </w:numPr>
        <w:rPr>
          <w:rFonts w:hint="eastAsia"/>
          <w:sz w:val="30"/>
          <w:szCs w:val="32"/>
        </w:rPr>
      </w:pPr>
      <w:r>
        <w:rPr>
          <w:rFonts w:hint="eastAsia"/>
          <w:sz w:val="30"/>
          <w:szCs w:val="32"/>
        </w:rPr>
        <w:t>予留接轨</w:t>
      </w:r>
      <w:r>
        <w:rPr>
          <w:rFonts w:hint="eastAsia"/>
          <w:sz w:val="30"/>
          <w:szCs w:val="32"/>
        </w:rPr>
        <w:t>点</w:t>
      </w:r>
      <w:r>
        <w:rPr>
          <w:rFonts w:hint="eastAsia"/>
          <w:sz w:val="30"/>
          <w:szCs w:val="32"/>
        </w:rPr>
        <w:t>—</w:t>
      </w:r>
      <w:r>
        <w:rPr>
          <w:rFonts w:hint="eastAsia"/>
          <w:sz w:val="30"/>
          <w:szCs w:val="32"/>
        </w:rPr>
        <w:t>—</w:t>
      </w:r>
      <w:r>
        <w:rPr>
          <w:rFonts w:hint="eastAsia"/>
          <w:sz w:val="30"/>
          <w:szCs w:val="32"/>
        </w:rPr>
        <w:t>机务线在北端接入大古线；</w:t>
      </w:r>
    </w:p>
    <w:p w:rsidR="00442A1D">
      <w:pPr>
        <w:pStyle w:val="Heading3"/>
        <w:rPr>
          <w:rFonts w:hint="eastAsia"/>
        </w:rPr>
      </w:pPr>
      <w:r>
        <w:t>1.2.2</w:t>
      </w:r>
      <w:r>
        <w:rPr>
          <w:rFonts w:hint="eastAsia"/>
        </w:rPr>
        <w:t>货物线的方位、长度及线间距设计</w:t>
      </w:r>
    </w:p>
    <w:p w:rsidR="00442A1D">
      <w:pPr>
        <w:pStyle w:val="NoList"/>
        <w:numPr>
          <w:ilvl w:val="0"/>
          <w:numId w:val="8"/>
        </w:numPr>
        <w:rPr>
          <w:rFonts w:hint="eastAsia"/>
          <w:sz w:val="30"/>
          <w:szCs w:val="32"/>
        </w:rPr>
      </w:pPr>
      <w:r>
        <w:rPr>
          <w:rFonts w:hint="eastAsia"/>
          <w:sz w:val="30"/>
        </w:rPr>
        <w:t>货物线方</w:t>
      </w:r>
      <w:r>
        <w:rPr>
          <w:rFonts w:hint="eastAsia"/>
          <w:sz w:val="30"/>
        </w:rPr>
        <w:t>位</w:t>
      </w:r>
      <w:r>
        <w:rPr>
          <w:rFonts w:hint="eastAsia"/>
          <w:sz w:val="30"/>
        </w:rPr>
        <w:t>—</w:t>
      </w:r>
      <w:r>
        <w:rPr>
          <w:rFonts w:hint="eastAsia"/>
          <w:sz w:val="30"/>
        </w:rPr>
        <w:t>—</w:t>
      </w:r>
      <w:r>
        <w:rPr>
          <w:rFonts w:hint="eastAsia"/>
          <w:sz w:val="30"/>
        </w:rPr>
        <w:t>连接</w:t>
      </w:r>
      <w:r>
        <w:rPr>
          <w:sz w:val="30"/>
        </w:rPr>
        <w:t>191.47m</w:t>
      </w:r>
      <w:r>
        <w:rPr>
          <w:rFonts w:hint="eastAsia"/>
          <w:sz w:val="30"/>
        </w:rPr>
        <w:t>的夹直线，之后设计</w:t>
      </w:r>
      <w:r>
        <w:rPr>
          <w:sz w:val="30"/>
        </w:rPr>
        <w:t>300m</w:t>
      </w:r>
      <w:r>
        <w:rPr>
          <w:rFonts w:hint="eastAsia"/>
          <w:sz w:val="30"/>
        </w:rPr>
        <w:t>小半径曲线，由曲线尾直接进入货</w:t>
      </w:r>
      <w:r>
        <w:rPr>
          <w:sz w:val="30"/>
        </w:rPr>
        <w:t>4</w:t>
      </w:r>
      <w:r>
        <w:rPr>
          <w:rFonts w:hint="eastAsia"/>
          <w:sz w:val="30"/>
        </w:rPr>
        <w:t>线；</w:t>
      </w:r>
    </w:p>
    <w:p w:rsidR="00442A1D">
      <w:pPr>
        <w:pStyle w:val="NoList"/>
        <w:numPr>
          <w:ilvl w:val="0"/>
          <w:numId w:val="8"/>
        </w:numPr>
        <w:rPr>
          <w:rFonts w:hint="eastAsia"/>
          <w:sz w:val="30"/>
          <w:szCs w:val="32"/>
        </w:rPr>
      </w:pPr>
      <w:r>
        <w:rPr>
          <w:rFonts w:hint="eastAsia"/>
          <w:sz w:val="30"/>
        </w:rPr>
        <w:t>货物线长</w:t>
      </w:r>
      <w:r>
        <w:rPr>
          <w:rFonts w:hint="eastAsia"/>
          <w:sz w:val="30"/>
        </w:rPr>
        <w:t>度</w:t>
      </w:r>
      <w:r>
        <w:rPr>
          <w:rFonts w:hint="eastAsia"/>
          <w:sz w:val="30"/>
        </w:rPr>
        <w:t>—</w:t>
      </w:r>
      <w:r>
        <w:rPr>
          <w:rFonts w:hint="eastAsia"/>
          <w:sz w:val="30"/>
        </w:rPr>
        <w:t>—</w:t>
      </w:r>
      <w:r>
        <w:rPr>
          <w:rFonts w:hint="eastAsia"/>
          <w:sz w:val="30"/>
        </w:rPr>
        <w:t>设计货物线五</w:t>
      </w:r>
      <w:r>
        <w:rPr>
          <w:rFonts w:hint="eastAsia"/>
          <w:sz w:val="30"/>
        </w:rPr>
        <w:t>股，其中</w:t>
      </w:r>
      <w:r>
        <w:rPr>
          <w:sz w:val="30"/>
        </w:rPr>
        <w:t>1</w:t>
      </w:r>
      <w:r>
        <w:rPr>
          <w:rFonts w:hint="eastAsia"/>
          <w:sz w:val="30"/>
        </w:rPr>
        <w:t>道有效长度为</w:t>
      </w:r>
      <w:r>
        <w:rPr>
          <w:sz w:val="30"/>
        </w:rPr>
        <w:t>400m</w:t>
      </w:r>
      <w:r>
        <w:rPr>
          <w:rFonts w:hint="eastAsia"/>
          <w:sz w:val="30"/>
        </w:rPr>
        <w:t>、</w:t>
      </w:r>
      <w:r>
        <w:rPr>
          <w:sz w:val="30"/>
        </w:rPr>
        <w:t>2</w:t>
      </w:r>
      <w:r>
        <w:rPr>
          <w:rFonts w:hint="eastAsia"/>
          <w:sz w:val="30"/>
        </w:rPr>
        <w:t>道有效长度为</w:t>
      </w:r>
      <w:r>
        <w:rPr>
          <w:sz w:val="30"/>
        </w:rPr>
        <w:t>400m</w:t>
      </w:r>
      <w:r>
        <w:rPr>
          <w:rFonts w:hint="eastAsia"/>
          <w:sz w:val="30"/>
        </w:rPr>
        <w:t>、</w:t>
      </w:r>
      <w:r>
        <w:rPr>
          <w:sz w:val="30"/>
        </w:rPr>
        <w:t>3</w:t>
      </w:r>
      <w:r>
        <w:rPr>
          <w:rFonts w:hint="eastAsia"/>
          <w:sz w:val="30"/>
        </w:rPr>
        <w:t>道有效长度为</w:t>
      </w:r>
      <w:r>
        <w:rPr>
          <w:sz w:val="30"/>
        </w:rPr>
        <w:t>400m</w:t>
      </w:r>
      <w:r>
        <w:rPr>
          <w:rFonts w:hint="eastAsia"/>
          <w:sz w:val="30"/>
        </w:rPr>
        <w:t>、</w:t>
      </w:r>
      <w:r>
        <w:rPr>
          <w:sz w:val="30"/>
        </w:rPr>
        <w:t>4</w:t>
      </w:r>
      <w:r>
        <w:rPr>
          <w:rFonts w:hint="eastAsia"/>
          <w:sz w:val="30"/>
        </w:rPr>
        <w:t>道有效长度为</w:t>
      </w:r>
      <w:r>
        <w:rPr>
          <w:sz w:val="30"/>
        </w:rPr>
        <w:t>550m</w:t>
      </w:r>
      <w:r>
        <w:rPr>
          <w:rFonts w:hint="eastAsia"/>
          <w:sz w:val="30"/>
        </w:rPr>
        <w:t>、</w:t>
      </w:r>
      <w:r>
        <w:rPr>
          <w:sz w:val="30"/>
        </w:rPr>
        <w:t>5</w:t>
      </w:r>
      <w:r>
        <w:rPr>
          <w:rFonts w:hint="eastAsia"/>
          <w:sz w:val="30"/>
        </w:rPr>
        <w:t>道有效长度为</w:t>
      </w:r>
      <w:r>
        <w:rPr>
          <w:sz w:val="30"/>
        </w:rPr>
        <w:t>550m</w:t>
      </w:r>
      <w:r>
        <w:rPr>
          <w:rFonts w:hint="eastAsia"/>
          <w:sz w:val="30"/>
        </w:rPr>
        <w:t>；</w:t>
      </w:r>
    </w:p>
    <w:p w:rsidR="00442A1D">
      <w:pPr>
        <w:pStyle w:val="NoList"/>
        <w:numPr>
          <w:ilvl w:val="0"/>
          <w:numId w:val="8"/>
        </w:numPr>
        <w:rPr>
          <w:rFonts w:hint="eastAsia"/>
          <w:sz w:val="30"/>
          <w:szCs w:val="32"/>
        </w:rPr>
        <w:sectPr>
          <w:type w:val="nextPage"/>
          <w:pgSz w:w="11906" w:h="16838"/>
          <w:pgMar w:top="1701" w:right="1134" w:bottom="1418" w:left="1701" w:header="851" w:footer="992" w:gutter="0"/>
          <w:pgNumType w:start="4"/>
          <w:cols w:space="425"/>
          <w:titlePg w:val="0"/>
          <w:docGrid w:type="lines" w:linePitch="312"/>
        </w:sectPr>
      </w:pPr>
      <w:r>
        <w:rPr>
          <w:rFonts w:hint="eastAsia"/>
          <w:sz w:val="30"/>
        </w:rPr>
        <w:t>线间</w:t>
      </w:r>
      <w:r>
        <w:rPr>
          <w:rFonts w:hint="eastAsia"/>
          <w:sz w:val="30"/>
        </w:rPr>
        <w:t>距</w:t>
      </w:r>
      <w:r>
        <w:rPr>
          <w:rFonts w:hint="eastAsia"/>
          <w:sz w:val="30"/>
        </w:rPr>
        <w:t>—</w:t>
      </w:r>
      <w:r>
        <w:rPr>
          <w:rFonts w:hint="eastAsia"/>
          <w:sz w:val="30"/>
        </w:rPr>
        <w:t>—</w:t>
      </w:r>
      <w:r>
        <w:rPr>
          <w:rFonts w:hint="eastAsia"/>
          <w:sz w:val="30"/>
        </w:rPr>
        <w:t>货</w:t>
      </w:r>
      <w:r>
        <w:rPr>
          <w:sz w:val="30"/>
        </w:rPr>
        <w:t>1</w:t>
      </w:r>
      <w:r>
        <w:rPr>
          <w:rFonts w:hint="eastAsia"/>
          <w:sz w:val="30"/>
        </w:rPr>
        <w:t>与货</w:t>
      </w:r>
      <w:r>
        <w:rPr>
          <w:sz w:val="30"/>
        </w:rPr>
        <w:t>2</w:t>
      </w:r>
      <w:r>
        <w:rPr>
          <w:rFonts w:hint="eastAsia"/>
          <w:sz w:val="30"/>
        </w:rPr>
        <w:t>线间距</w:t>
      </w:r>
      <w:r>
        <w:rPr>
          <w:sz w:val="30"/>
        </w:rPr>
        <w:t>32m</w:t>
      </w:r>
      <w:r>
        <w:rPr>
          <w:rFonts w:hint="eastAsia"/>
          <w:sz w:val="30"/>
        </w:rPr>
        <w:t>、货</w:t>
      </w:r>
      <w:r>
        <w:rPr>
          <w:sz w:val="30"/>
        </w:rPr>
        <w:t>2</w:t>
      </w:r>
      <w:r>
        <w:rPr>
          <w:rFonts w:hint="eastAsia"/>
          <w:sz w:val="30"/>
        </w:rPr>
        <w:t>与货</w:t>
      </w:r>
      <w:r>
        <w:rPr>
          <w:sz w:val="30"/>
        </w:rPr>
        <w:t>3</w:t>
      </w:r>
      <w:r>
        <w:rPr>
          <w:rFonts w:hint="eastAsia"/>
          <w:sz w:val="30"/>
        </w:rPr>
        <w:t>线间距</w:t>
      </w:r>
      <w:r>
        <w:rPr>
          <w:sz w:val="30"/>
        </w:rPr>
        <w:t>30m</w:t>
      </w:r>
      <w:r>
        <w:rPr>
          <w:rFonts w:hint="eastAsia"/>
          <w:sz w:val="30"/>
        </w:rPr>
        <w:t>、货</w:t>
      </w:r>
      <w:r>
        <w:rPr>
          <w:sz w:val="30"/>
        </w:rPr>
        <w:t>3</w:t>
      </w:r>
      <w:r>
        <w:rPr>
          <w:rFonts w:hint="eastAsia"/>
          <w:sz w:val="30"/>
        </w:rPr>
        <w:t>与货</w:t>
      </w:r>
      <w:r>
        <w:rPr>
          <w:sz w:val="30"/>
        </w:rPr>
        <w:t>4</w:t>
      </w:r>
      <w:r>
        <w:rPr>
          <w:rFonts w:hint="eastAsia"/>
          <w:sz w:val="30"/>
        </w:rPr>
        <w:t>线间距</w:t>
      </w:r>
      <w:r>
        <w:rPr>
          <w:sz w:val="30"/>
        </w:rPr>
        <w:t>18m</w:t>
      </w:r>
      <w:r>
        <w:rPr>
          <w:rFonts w:hint="eastAsia"/>
          <w:sz w:val="30"/>
        </w:rPr>
        <w:t>、货</w:t>
      </w:r>
      <w:r>
        <w:rPr>
          <w:sz w:val="30"/>
        </w:rPr>
        <w:t>4</w:t>
      </w:r>
      <w:r>
        <w:rPr>
          <w:rFonts w:hint="eastAsia"/>
          <w:sz w:val="30"/>
        </w:rPr>
        <w:t>与货</w:t>
      </w:r>
      <w:r>
        <w:rPr>
          <w:sz w:val="30"/>
        </w:rPr>
        <w:t>5</w:t>
      </w:r>
      <w:r>
        <w:rPr>
          <w:rFonts w:hint="eastAsia"/>
          <w:sz w:val="30"/>
        </w:rPr>
        <w:t>线间距</w:t>
      </w:r>
      <w:r>
        <w:rPr>
          <w:sz w:val="30"/>
        </w:rPr>
        <w:t>6.5m</w:t>
      </w:r>
      <w:r>
        <w:rPr>
          <w:rFonts w:hint="eastAsia"/>
          <w:sz w:val="30"/>
        </w:rPr>
        <w:t>；</w:t>
      </w:r>
    </w:p>
    <w:p w:rsidR="00442A1D">
      <w:pPr>
        <w:pStyle w:val="Heading3"/>
        <w:rPr>
          <w:rFonts w:hint="eastAsia"/>
        </w:rPr>
      </w:pPr>
      <w:bookmarkStart w:id="4" w:name="_Hlt173837828"/>
      <w:bookmarkEnd w:id="4"/>
      <w:r>
        <w:t>1.</w:t>
      </w:r>
      <w:r>
        <w:t>2.3</w:t>
      </w:r>
      <w:r>
        <w:rPr>
          <w:rFonts w:hint="eastAsia"/>
        </w:rPr>
        <w:t>建设规模与目标</w:t>
      </w:r>
    </w:p>
    <w:p w:rsidR="00442A1D">
      <w:pPr>
        <w:pStyle w:val="NoList"/>
        <w:numPr>
          <w:ilvl w:val="0"/>
          <w:numId w:val="9"/>
        </w:numPr>
        <w:rPr>
          <w:rFonts w:hint="eastAsia"/>
          <w:sz w:val="30"/>
        </w:rPr>
      </w:pPr>
      <w:r>
        <w:rPr>
          <w:rFonts w:hint="eastAsia"/>
          <w:sz w:val="30"/>
        </w:rPr>
        <w:t>线路等</w:t>
      </w:r>
      <w:r>
        <w:rPr>
          <w:rFonts w:hint="eastAsia"/>
          <w:sz w:val="30"/>
        </w:rPr>
        <w:t>级</w:t>
      </w:r>
      <w:r>
        <w:rPr>
          <w:rFonts w:hint="eastAsia"/>
          <w:sz w:val="30"/>
        </w:rPr>
        <w:t>——</w:t>
      </w:r>
      <w:r>
        <w:rPr>
          <w:rFonts w:hint="eastAsia"/>
          <w:sz w:val="30"/>
          <w:szCs w:val="32"/>
        </w:rPr>
        <w:t>为工</w:t>
      </w:r>
      <w:r>
        <w:rPr>
          <w:rFonts w:hint="eastAsia"/>
          <w:sz w:val="30"/>
          <w:szCs w:val="32"/>
        </w:rPr>
        <w:t>企</w:t>
      </w:r>
      <w:r>
        <w:rPr>
          <w:rFonts w:hint="eastAsia"/>
          <w:sz w:val="30"/>
          <w:szCs w:val="32"/>
        </w:rPr>
        <w:t>Ⅰ</w:t>
      </w:r>
      <w:r>
        <w:rPr>
          <w:rFonts w:hint="eastAsia"/>
          <w:sz w:val="30"/>
          <w:szCs w:val="32"/>
        </w:rPr>
        <w:t>级；</w:t>
      </w:r>
    </w:p>
    <w:p w:rsidR="00442A1D">
      <w:pPr>
        <w:pStyle w:val="NoList"/>
        <w:numPr>
          <w:ilvl w:val="0"/>
          <w:numId w:val="9"/>
        </w:numPr>
        <w:rPr>
          <w:rFonts w:hint="eastAsia"/>
          <w:sz w:val="30"/>
        </w:rPr>
      </w:pPr>
      <w:r>
        <w:rPr>
          <w:rFonts w:hint="eastAsia"/>
          <w:sz w:val="30"/>
          <w:szCs w:val="32"/>
        </w:rPr>
        <w:t>线路长</w:t>
      </w:r>
      <w:r>
        <w:rPr>
          <w:rFonts w:hint="eastAsia"/>
          <w:sz w:val="30"/>
          <w:szCs w:val="32"/>
        </w:rPr>
        <w:t>度</w:t>
      </w:r>
      <w:r>
        <w:rPr>
          <w:rFonts w:hint="eastAsia"/>
          <w:sz w:val="30"/>
          <w:szCs w:val="32"/>
        </w:rPr>
        <w:t>—</w:t>
      </w:r>
      <w:r>
        <w:rPr>
          <w:rFonts w:hint="eastAsia"/>
          <w:sz w:val="30"/>
          <w:szCs w:val="32"/>
        </w:rPr>
        <w:t>—</w:t>
      </w:r>
      <w:r>
        <w:rPr>
          <w:rFonts w:hint="eastAsia"/>
          <w:sz w:val="30"/>
          <w:szCs w:val="32"/>
        </w:rPr>
        <w:t>总长度为</w:t>
      </w:r>
      <w:r>
        <w:rPr>
          <w:sz w:val="30"/>
          <w:szCs w:val="32"/>
        </w:rPr>
        <w:t>3.17km</w:t>
      </w:r>
      <w:r>
        <w:rPr>
          <w:rFonts w:hint="eastAsia"/>
          <w:sz w:val="30"/>
          <w:szCs w:val="32"/>
        </w:rPr>
        <w:t>；</w:t>
      </w:r>
    </w:p>
    <w:p w:rsidR="00442A1D">
      <w:pPr>
        <w:pStyle w:val="NoList"/>
        <w:numPr>
          <w:ilvl w:val="0"/>
          <w:numId w:val="9"/>
        </w:numPr>
        <w:rPr>
          <w:rFonts w:hint="eastAsia"/>
          <w:sz w:val="30"/>
        </w:rPr>
      </w:pPr>
      <w:r>
        <w:rPr>
          <w:rFonts w:hint="eastAsia"/>
          <w:sz w:val="30"/>
          <w:szCs w:val="32"/>
        </w:rPr>
        <w:t>运输能</w:t>
      </w:r>
      <w:r>
        <w:rPr>
          <w:rFonts w:hint="eastAsia"/>
          <w:sz w:val="30"/>
          <w:szCs w:val="32"/>
        </w:rPr>
        <w:t>力</w:t>
      </w:r>
      <w:r>
        <w:rPr>
          <w:rFonts w:hint="eastAsia"/>
          <w:sz w:val="30"/>
          <w:szCs w:val="32"/>
        </w:rPr>
        <w:t>——</w:t>
      </w:r>
      <w:r>
        <w:rPr>
          <w:sz w:val="30"/>
          <w:szCs w:val="32"/>
        </w:rPr>
        <w:t>2023</w:t>
      </w:r>
      <w:r>
        <w:rPr>
          <w:rFonts w:hint="eastAsia"/>
          <w:sz w:val="30"/>
          <w:szCs w:val="32"/>
        </w:rPr>
        <w:t>年铁路年运量达到</w:t>
      </w:r>
      <w:r>
        <w:rPr>
          <w:sz w:val="30"/>
          <w:szCs w:val="32"/>
        </w:rPr>
        <w:t>265</w:t>
      </w:r>
      <w:r>
        <w:rPr>
          <w:rFonts w:hint="eastAsia"/>
          <w:sz w:val="30"/>
          <w:szCs w:val="32"/>
        </w:rPr>
        <w:t>万</w:t>
      </w:r>
      <w:r>
        <w:rPr>
          <w:sz w:val="30"/>
          <w:szCs w:val="32"/>
        </w:rPr>
        <w:t>t</w:t>
      </w:r>
      <w:r>
        <w:rPr>
          <w:rFonts w:hint="eastAsia"/>
          <w:sz w:val="30"/>
          <w:szCs w:val="32"/>
        </w:rPr>
        <w:t>、</w:t>
      </w:r>
      <w:r>
        <w:rPr>
          <w:sz w:val="30"/>
          <w:szCs w:val="32"/>
        </w:rPr>
        <w:t>2023</w:t>
      </w:r>
      <w:r>
        <w:rPr>
          <w:rFonts w:hint="eastAsia"/>
          <w:sz w:val="30"/>
          <w:szCs w:val="32"/>
        </w:rPr>
        <w:t>年可能达到</w:t>
      </w:r>
      <w:r>
        <w:rPr>
          <w:sz w:val="30"/>
          <w:szCs w:val="32"/>
        </w:rPr>
        <w:t>440</w:t>
      </w:r>
      <w:r>
        <w:rPr>
          <w:rFonts w:hint="eastAsia"/>
          <w:sz w:val="30"/>
          <w:szCs w:val="32"/>
        </w:rPr>
        <w:t>万</w:t>
      </w:r>
      <w:r>
        <w:rPr>
          <w:sz w:val="30"/>
          <w:szCs w:val="32"/>
        </w:rPr>
        <w:t>t</w:t>
      </w:r>
      <w:r>
        <w:rPr>
          <w:rFonts w:hint="eastAsia"/>
          <w:sz w:val="30"/>
          <w:szCs w:val="32"/>
        </w:rPr>
        <w:t>，本线近、远期货物运输总量</w:t>
      </w:r>
      <w:r>
        <w:rPr>
          <w:sz w:val="30"/>
          <w:szCs w:val="32"/>
        </w:rPr>
        <w:t>1000</w:t>
      </w:r>
      <w:r>
        <w:rPr>
          <w:rFonts w:hint="eastAsia"/>
          <w:sz w:val="30"/>
          <w:szCs w:val="32"/>
        </w:rPr>
        <w:t>万</w:t>
      </w:r>
      <w:r>
        <w:rPr>
          <w:sz w:val="30"/>
          <w:szCs w:val="32"/>
        </w:rPr>
        <w:t>t/a</w:t>
      </w:r>
      <w:r>
        <w:rPr>
          <w:rFonts w:hint="eastAsia"/>
          <w:sz w:val="30"/>
          <w:szCs w:val="32"/>
        </w:rPr>
        <w:t>；</w:t>
      </w:r>
    </w:p>
    <w:p w:rsidR="00442A1D">
      <w:pPr>
        <w:pStyle w:val="NoList"/>
        <w:numPr>
          <w:ilvl w:val="0"/>
          <w:numId w:val="9"/>
        </w:numPr>
        <w:rPr>
          <w:rFonts w:hint="eastAsia"/>
          <w:sz w:val="30"/>
        </w:rPr>
      </w:pPr>
      <w:r>
        <w:rPr>
          <w:rFonts w:hint="eastAsia"/>
          <w:sz w:val="30"/>
          <w:szCs w:val="32"/>
        </w:rPr>
        <w:t>建设目</w:t>
      </w:r>
      <w:r>
        <w:rPr>
          <w:rFonts w:hint="eastAsia"/>
          <w:sz w:val="30"/>
          <w:szCs w:val="32"/>
        </w:rPr>
        <w:t>标</w:t>
      </w:r>
      <w:r>
        <w:rPr>
          <w:rFonts w:hint="eastAsia"/>
          <w:sz w:val="30"/>
          <w:szCs w:val="32"/>
        </w:rPr>
        <w:t>—</w:t>
      </w:r>
      <w:r>
        <w:rPr>
          <w:rFonts w:hint="eastAsia"/>
          <w:sz w:val="30"/>
          <w:szCs w:val="32"/>
        </w:rPr>
        <w:t>—</w:t>
      </w:r>
      <w:r>
        <w:rPr>
          <w:rFonts w:hint="eastAsia"/>
          <w:sz w:val="30"/>
          <w:szCs w:val="32"/>
        </w:rPr>
        <w:t>满足完全替代现租用的大古</w:t>
      </w:r>
      <w:r>
        <w:rPr>
          <w:rFonts w:hint="eastAsia"/>
          <w:sz w:val="30"/>
          <w:szCs w:val="32"/>
        </w:rPr>
        <w:t>铁路公司货场的装卸能力的需</w:t>
      </w:r>
      <w:r>
        <w:rPr>
          <w:rFonts w:hint="eastAsia"/>
          <w:sz w:val="30"/>
          <w:szCs w:val="32"/>
        </w:rPr>
        <w:t>求。满足近期</w:t>
      </w:r>
      <w:r>
        <w:rPr>
          <w:sz w:val="30"/>
          <w:szCs w:val="32"/>
        </w:rPr>
        <w:t>265</w:t>
      </w:r>
      <w:r>
        <w:rPr>
          <w:rFonts w:hint="eastAsia"/>
          <w:sz w:val="30"/>
          <w:szCs w:val="32"/>
        </w:rPr>
        <w:t>万</w:t>
      </w:r>
      <w:r>
        <w:rPr>
          <w:sz w:val="30"/>
          <w:szCs w:val="32"/>
        </w:rPr>
        <w:t>t</w:t>
      </w:r>
      <w:r>
        <w:rPr>
          <w:rFonts w:hint="eastAsia"/>
          <w:sz w:val="30"/>
          <w:szCs w:val="32"/>
        </w:rPr>
        <w:t>和远期</w:t>
      </w:r>
      <w:r>
        <w:rPr>
          <w:sz w:val="30"/>
          <w:szCs w:val="32"/>
        </w:rPr>
        <w:t>440</w:t>
      </w:r>
      <w:r>
        <w:rPr>
          <w:rFonts w:hint="eastAsia"/>
          <w:sz w:val="30"/>
          <w:szCs w:val="32"/>
        </w:rPr>
        <w:t>万</w:t>
      </w:r>
      <w:r>
        <w:rPr>
          <w:sz w:val="30"/>
          <w:szCs w:val="32"/>
        </w:rPr>
        <w:t>t</w:t>
      </w:r>
      <w:r>
        <w:rPr>
          <w:rFonts w:hint="eastAsia"/>
          <w:sz w:val="30"/>
          <w:szCs w:val="32"/>
        </w:rPr>
        <w:t>装卸能力的需求。</w:t>
      </w:r>
    </w:p>
    <w:p w:rsidR="00442A1D">
      <w:pPr>
        <w:pStyle w:val="Heading3"/>
        <w:rPr>
          <w:rFonts w:hint="eastAsia"/>
        </w:rPr>
      </w:pPr>
      <w:r>
        <w:t>1.2.4</w:t>
      </w:r>
      <w:r>
        <w:rPr>
          <w:rFonts w:hint="eastAsia"/>
        </w:rPr>
        <w:t>主要建设条件</w:t>
      </w:r>
    </w:p>
    <w:p w:rsidR="00442A1D">
      <w:pPr>
        <w:pStyle w:val="NoList"/>
        <w:numPr>
          <w:ilvl w:val="0"/>
          <w:numId w:val="9"/>
        </w:numPr>
        <w:rPr>
          <w:rFonts w:hint="eastAsia"/>
          <w:sz w:val="30"/>
          <w:szCs w:val="32"/>
        </w:rPr>
      </w:pPr>
      <w:r>
        <w:rPr>
          <w:rFonts w:hint="eastAsia"/>
          <w:sz w:val="30"/>
          <w:szCs w:val="32"/>
        </w:rPr>
        <w:t>交通条</w:t>
      </w:r>
      <w:r>
        <w:rPr>
          <w:rFonts w:hint="eastAsia"/>
          <w:sz w:val="30"/>
          <w:szCs w:val="32"/>
        </w:rPr>
        <w:t>件</w:t>
      </w:r>
      <w:r>
        <w:rPr>
          <w:rFonts w:hint="eastAsia"/>
          <w:sz w:val="30"/>
          <w:szCs w:val="32"/>
        </w:rPr>
        <w:t>—</w:t>
      </w:r>
      <w:r>
        <w:rPr>
          <w:rFonts w:hint="eastAsia"/>
          <w:sz w:val="30"/>
          <w:szCs w:val="32"/>
        </w:rPr>
        <w:t>—</w:t>
      </w:r>
      <w:r>
        <w:rPr>
          <w:rFonts w:hint="eastAsia"/>
          <w:sz w:val="30"/>
          <w:szCs w:val="32"/>
        </w:rPr>
        <w:t>项</w:t>
      </w:r>
      <w:r>
        <w:rPr>
          <w:rFonts w:hint="eastAsia"/>
          <w:sz w:val="30"/>
          <w:szCs w:val="32"/>
        </w:rPr>
        <w:t>目</w:t>
      </w:r>
      <w:r>
        <w:rPr>
          <w:rFonts w:hint="eastAsia"/>
          <w:sz w:val="30"/>
          <w:szCs w:val="32"/>
        </w:rPr>
        <w:t>区东邻古窑子车站，大古铁路和拟建的古黎铁路支线从项目区通过，使项目区与煤矿及包兰铁路紧密相连；项目区南与黎羊公路相邻、北临</w:t>
      </w:r>
      <w:r>
        <w:rPr>
          <w:sz w:val="30"/>
          <w:szCs w:val="32"/>
        </w:rPr>
        <w:t>307</w:t>
      </w:r>
      <w:r>
        <w:rPr>
          <w:rFonts w:hint="eastAsia"/>
          <w:sz w:val="30"/>
          <w:szCs w:val="32"/>
        </w:rPr>
        <w:t>国道与银古高速公路，</w:t>
      </w:r>
      <w:r>
        <w:rPr>
          <w:rFonts w:hint="eastAsia"/>
          <w:sz w:val="30"/>
          <w:szCs w:val="32"/>
        </w:rPr>
        <w:t>距银（川）青（岛）高速公路</w:t>
      </w:r>
      <w:r>
        <w:rPr>
          <w:sz w:val="30"/>
          <w:szCs w:val="32"/>
        </w:rPr>
        <w:t>3</w:t>
      </w:r>
      <w:r>
        <w:rPr>
          <w:rFonts w:hint="eastAsia"/>
          <w:sz w:val="30"/>
          <w:szCs w:val="32"/>
        </w:rPr>
        <w:t>公里，公路交通亦十分便利；</w:t>
      </w:r>
    </w:p>
    <w:p w:rsidR="00442A1D">
      <w:pPr>
        <w:pStyle w:val="NoList"/>
        <w:numPr>
          <w:ilvl w:val="0"/>
          <w:numId w:val="9"/>
        </w:numPr>
        <w:rPr>
          <w:rFonts w:hint="eastAsia"/>
          <w:sz w:val="30"/>
          <w:szCs w:val="32"/>
        </w:rPr>
      </w:pPr>
      <w:r>
        <w:rPr>
          <w:rFonts w:hint="eastAsia"/>
          <w:sz w:val="30"/>
          <w:szCs w:val="32"/>
        </w:rPr>
        <w:t>资源条</w:t>
      </w:r>
      <w:r>
        <w:rPr>
          <w:rFonts w:hint="eastAsia"/>
          <w:sz w:val="30"/>
          <w:szCs w:val="32"/>
        </w:rPr>
        <w:t>件</w:t>
      </w:r>
      <w:r>
        <w:rPr>
          <w:rFonts w:hint="eastAsia"/>
          <w:sz w:val="30"/>
          <w:szCs w:val="32"/>
        </w:rPr>
        <w:t>—</w:t>
      </w:r>
      <w:r>
        <w:rPr>
          <w:rFonts w:hint="eastAsia"/>
          <w:sz w:val="30"/>
          <w:szCs w:val="32"/>
        </w:rPr>
        <w:t>—</w:t>
      </w:r>
      <w:r>
        <w:rPr>
          <w:rFonts w:hint="eastAsia"/>
          <w:sz w:val="30"/>
          <w:szCs w:val="32"/>
        </w:rPr>
        <w:t>大古支线在货流构成中以煤炭为主，因此，本专用线路建成以后，具有丰富的煤炭资源条件；</w:t>
      </w:r>
    </w:p>
    <w:p w:rsidR="00442A1D">
      <w:pPr>
        <w:pStyle w:val="NoList"/>
        <w:numPr>
          <w:ilvl w:val="0"/>
          <w:numId w:val="9"/>
        </w:numPr>
        <w:rPr>
          <w:rFonts w:hint="eastAsia"/>
          <w:sz w:val="30"/>
          <w:szCs w:val="32"/>
        </w:rPr>
      </w:pPr>
      <w:r>
        <w:rPr>
          <w:rFonts w:hint="eastAsia"/>
          <w:sz w:val="30"/>
          <w:szCs w:val="32"/>
        </w:rPr>
        <w:t>技术条</w:t>
      </w:r>
      <w:r>
        <w:rPr>
          <w:rFonts w:hint="eastAsia"/>
          <w:sz w:val="30"/>
          <w:szCs w:val="32"/>
        </w:rPr>
        <w:t>件</w:t>
      </w:r>
      <w:r>
        <w:rPr>
          <w:rFonts w:hint="eastAsia"/>
          <w:sz w:val="30"/>
          <w:szCs w:val="32"/>
        </w:rPr>
        <w:t>—</w:t>
      </w:r>
      <w:r>
        <w:rPr>
          <w:rFonts w:hint="eastAsia"/>
          <w:sz w:val="30"/>
          <w:szCs w:val="32"/>
        </w:rPr>
        <w:t>—</w:t>
      </w:r>
      <w:r>
        <w:rPr>
          <w:rFonts w:hint="eastAsia"/>
          <w:sz w:val="30"/>
          <w:szCs w:val="32"/>
        </w:rPr>
        <w:t>本建设项目，委托大古铁路有关部门进行货场铁路的经营管理、养护维修、运输、行车组织、机车车辆等，具备雄厚的</w:t>
      </w:r>
      <w:r>
        <w:rPr>
          <w:rFonts w:hint="eastAsia"/>
          <w:sz w:val="30"/>
          <w:szCs w:val="32"/>
        </w:rPr>
        <w:t>技术条件；</w:t>
      </w:r>
    </w:p>
    <w:p w:rsidR="00442A1D">
      <w:pPr>
        <w:pStyle w:val="NoList"/>
        <w:numPr>
          <w:ilvl w:val="0"/>
          <w:numId w:val="9"/>
        </w:numPr>
        <w:rPr>
          <w:rFonts w:hint="eastAsia"/>
          <w:sz w:val="30"/>
          <w:szCs w:val="32"/>
        </w:rPr>
        <w:sectPr>
          <w:type w:val="nextPage"/>
          <w:pgSz w:w="11906" w:h="16838"/>
          <w:pgMar w:top="1701" w:right="1134" w:bottom="1418" w:left="1701" w:header="851" w:footer="992" w:gutter="0"/>
          <w:pgNumType w:start="5"/>
          <w:cols w:space="425"/>
          <w:titlePg w:val="0"/>
          <w:docGrid w:type="lines" w:linePitch="312"/>
        </w:sectPr>
      </w:pPr>
      <w:r>
        <w:rPr>
          <w:rFonts w:hint="eastAsia"/>
          <w:sz w:val="30"/>
          <w:szCs w:val="32"/>
        </w:rPr>
        <w:t>资金条</w:t>
      </w:r>
      <w:r>
        <w:rPr>
          <w:rFonts w:hint="eastAsia"/>
          <w:sz w:val="30"/>
          <w:szCs w:val="32"/>
        </w:rPr>
        <w:t>件</w:t>
      </w:r>
      <w:r>
        <w:rPr>
          <w:rFonts w:hint="eastAsia"/>
          <w:sz w:val="30"/>
          <w:szCs w:val="32"/>
        </w:rPr>
        <w:t>—</w:t>
      </w:r>
      <w:r>
        <w:rPr>
          <w:rFonts w:hint="eastAsia"/>
          <w:sz w:val="30"/>
          <w:szCs w:val="32"/>
        </w:rPr>
        <w:t>—</w:t>
      </w:r>
      <w:r>
        <w:rPr>
          <w:rFonts w:hint="eastAsia"/>
          <w:sz w:val="30"/>
          <w:szCs w:val="32"/>
        </w:rPr>
        <w:t>由业主自筹和利用国内短期银行贷款；</w:t>
      </w:r>
    </w:p>
    <w:p w:rsidR="00442A1D">
      <w:pPr>
        <w:pStyle w:val="NoList"/>
        <w:numPr>
          <w:ilvl w:val="0"/>
          <w:numId w:val="2"/>
        </w:numPr>
        <w:rPr>
          <w:rFonts w:hint="eastAsia"/>
          <w:sz w:val="30"/>
          <w:szCs w:val="32"/>
        </w:rPr>
      </w:pPr>
      <w:r>
        <w:rPr>
          <w:rFonts w:hint="eastAsia"/>
          <w:sz w:val="30"/>
          <w:szCs w:val="32"/>
        </w:rPr>
        <w:t>社会条</w:t>
      </w:r>
      <w:r>
        <w:rPr>
          <w:rFonts w:hint="eastAsia"/>
          <w:sz w:val="30"/>
          <w:szCs w:val="32"/>
        </w:rPr>
        <w:t>件</w:t>
      </w:r>
      <w:r>
        <w:rPr>
          <w:rFonts w:hint="eastAsia"/>
          <w:sz w:val="30"/>
          <w:szCs w:val="32"/>
        </w:rPr>
        <w:t>—</w:t>
      </w:r>
      <w:r>
        <w:rPr>
          <w:rFonts w:hint="eastAsia"/>
          <w:sz w:val="30"/>
          <w:szCs w:val="32"/>
        </w:rPr>
        <w:t>—</w:t>
      </w:r>
      <w:r>
        <w:rPr>
          <w:rFonts w:hint="eastAsia"/>
          <w:sz w:val="30"/>
          <w:szCs w:val="32"/>
        </w:rPr>
        <w:t>项目铁路货场范围内的征</w:t>
      </w:r>
      <w:r>
        <w:rPr>
          <w:rFonts w:hint="eastAsia"/>
          <w:sz w:val="30"/>
          <w:szCs w:val="32"/>
        </w:rPr>
        <w:t>地，已征得当地政府的同</w:t>
      </w:r>
      <w:r>
        <w:rPr>
          <w:rFonts w:hint="eastAsia"/>
          <w:sz w:val="30"/>
          <w:szCs w:val="32"/>
        </w:rPr>
        <w:t>意；</w:t>
      </w:r>
    </w:p>
    <w:p w:rsidR="00442A1D">
      <w:pPr>
        <w:pStyle w:val="NoList"/>
        <w:numPr>
          <w:ilvl w:val="0"/>
          <w:numId w:val="2"/>
        </w:numPr>
        <w:rPr>
          <w:rFonts w:hint="eastAsia"/>
          <w:sz w:val="30"/>
          <w:szCs w:val="32"/>
        </w:rPr>
      </w:pPr>
      <w:r>
        <w:rPr>
          <w:rFonts w:hint="eastAsia"/>
          <w:sz w:val="30"/>
          <w:szCs w:val="32"/>
        </w:rPr>
        <w:t>环境条</w:t>
      </w:r>
      <w:r>
        <w:rPr>
          <w:rFonts w:hint="eastAsia"/>
          <w:sz w:val="30"/>
          <w:szCs w:val="32"/>
        </w:rPr>
        <w:t>件</w:t>
      </w:r>
      <w:r>
        <w:rPr>
          <w:rFonts w:hint="eastAsia"/>
          <w:sz w:val="30"/>
          <w:szCs w:val="32"/>
        </w:rPr>
        <w:t>—</w:t>
      </w:r>
      <w:r>
        <w:rPr>
          <w:rFonts w:hint="eastAsia"/>
          <w:sz w:val="30"/>
          <w:szCs w:val="32"/>
        </w:rPr>
        <w:t>—</w:t>
      </w:r>
      <w:r>
        <w:rPr>
          <w:rFonts w:hint="eastAsia"/>
          <w:sz w:val="30"/>
          <w:szCs w:val="32"/>
        </w:rPr>
        <w:t>拟建站场位置原为荒漠生态环境，工程实施后，可对局地生态环</w:t>
      </w:r>
      <w:r>
        <w:rPr>
          <w:rFonts w:hint="eastAsia"/>
          <w:sz w:val="30"/>
          <w:szCs w:val="32"/>
        </w:rPr>
        <w:t>境有所改善；</w:t>
      </w:r>
    </w:p>
    <w:p w:rsidR="00442A1D">
      <w:pPr>
        <w:pStyle w:val="NoList"/>
        <w:numPr>
          <w:ilvl w:val="0"/>
          <w:numId w:val="2"/>
        </w:numPr>
        <w:rPr>
          <w:rFonts w:hint="eastAsia"/>
          <w:sz w:val="30"/>
          <w:szCs w:val="32"/>
        </w:rPr>
      </w:pPr>
      <w:r>
        <w:rPr>
          <w:rFonts w:hint="eastAsia"/>
          <w:sz w:val="30"/>
          <w:szCs w:val="32"/>
        </w:rPr>
        <w:t>施工条</w:t>
      </w:r>
      <w:r>
        <w:rPr>
          <w:rFonts w:hint="eastAsia"/>
          <w:sz w:val="30"/>
          <w:szCs w:val="32"/>
        </w:rPr>
        <w:t>件</w:t>
      </w:r>
      <w:r>
        <w:rPr>
          <w:rFonts w:hint="eastAsia"/>
          <w:sz w:val="30"/>
          <w:szCs w:val="32"/>
        </w:rPr>
        <w:t>—</w:t>
      </w:r>
      <w:r>
        <w:rPr>
          <w:rFonts w:hint="eastAsia"/>
          <w:sz w:val="30"/>
          <w:szCs w:val="32"/>
        </w:rPr>
        <w:t>—</w:t>
      </w:r>
      <w:r>
        <w:rPr>
          <w:rFonts w:hint="eastAsia"/>
          <w:sz w:val="30"/>
          <w:szCs w:val="32"/>
        </w:rPr>
        <w:t>施工场地较平坦，交通运输便利</w:t>
      </w:r>
      <w:r>
        <w:rPr>
          <w:rFonts w:hint="eastAsia"/>
          <w:sz w:val="30"/>
          <w:szCs w:val="32"/>
        </w:rPr>
        <w:t>，工程所需土方可以就地取材，施工所用水、用电能够保证，具有较好的施工条件；</w:t>
      </w:r>
    </w:p>
    <w:p w:rsidR="00442A1D">
      <w:pPr>
        <w:pStyle w:val="Heading3"/>
        <w:rPr>
          <w:rFonts w:hint="eastAsia"/>
        </w:rPr>
      </w:pPr>
      <w:r>
        <w:t>1.2.5</w:t>
      </w:r>
      <w:r>
        <w:rPr>
          <w:rFonts w:hint="eastAsia"/>
        </w:rPr>
        <w:t>项目建设投资及效益</w:t>
      </w:r>
    </w:p>
    <w:p w:rsidR="00442A1D">
      <w:pPr>
        <w:pStyle w:val="NoList"/>
        <w:numPr>
          <w:ilvl w:val="0"/>
          <w:numId w:val="2"/>
        </w:numPr>
        <w:rPr>
          <w:rFonts w:hint="eastAsia"/>
          <w:sz w:val="30"/>
          <w:szCs w:val="32"/>
        </w:rPr>
      </w:pPr>
      <w:r>
        <w:rPr>
          <w:rFonts w:hint="eastAsia"/>
          <w:sz w:val="30"/>
          <w:szCs w:val="32"/>
        </w:rPr>
        <w:t>项目总投资估算约为</w:t>
      </w:r>
      <w:r>
        <w:rPr>
          <w:sz w:val="30"/>
          <w:szCs w:val="32"/>
        </w:rPr>
        <w:t>9600.0</w:t>
      </w:r>
      <w:r>
        <w:rPr>
          <w:rFonts w:hint="eastAsia"/>
          <w:sz w:val="30"/>
          <w:szCs w:val="32"/>
        </w:rPr>
        <w:t>万元（含铁路工程、通讯与信号工程、附属化工设备等），其中工程费约</w:t>
      </w:r>
      <w:r>
        <w:rPr>
          <w:sz w:val="30"/>
          <w:szCs w:val="32"/>
        </w:rPr>
        <w:t>7525.0</w:t>
      </w:r>
      <w:r>
        <w:rPr>
          <w:rFonts w:hint="eastAsia"/>
          <w:sz w:val="30"/>
          <w:szCs w:val="32"/>
        </w:rPr>
        <w:t>万元；其它费约</w:t>
      </w:r>
      <w:r>
        <w:rPr>
          <w:sz w:val="30"/>
          <w:szCs w:val="32"/>
        </w:rPr>
        <w:t>1309.2</w:t>
      </w:r>
      <w:r>
        <w:rPr>
          <w:rFonts w:hint="eastAsia"/>
          <w:sz w:val="30"/>
          <w:szCs w:val="32"/>
        </w:rPr>
        <w:t>万元；基本预备费约</w:t>
      </w:r>
      <w:r>
        <w:rPr>
          <w:sz w:val="30"/>
          <w:szCs w:val="32"/>
        </w:rPr>
        <w:t>225.8</w:t>
      </w:r>
      <w:r>
        <w:rPr>
          <w:rFonts w:hint="eastAsia"/>
          <w:sz w:val="30"/>
          <w:szCs w:val="32"/>
        </w:rPr>
        <w:t>万</w:t>
      </w:r>
      <w:r>
        <w:rPr>
          <w:rFonts w:hint="eastAsia"/>
          <w:sz w:val="30"/>
          <w:szCs w:val="32"/>
        </w:rPr>
        <w:t>元；建设期贷款利息约</w:t>
      </w:r>
      <w:r>
        <w:rPr>
          <w:sz w:val="30"/>
          <w:szCs w:val="32"/>
        </w:rPr>
        <w:t>420.0</w:t>
      </w:r>
      <w:r>
        <w:rPr>
          <w:rFonts w:hint="eastAsia"/>
          <w:sz w:val="30"/>
          <w:szCs w:val="32"/>
        </w:rPr>
        <w:t>万元；铺底流动资金约</w:t>
      </w:r>
      <w:r>
        <w:rPr>
          <w:sz w:val="30"/>
          <w:szCs w:val="32"/>
        </w:rPr>
        <w:t>120.0</w:t>
      </w:r>
      <w:r>
        <w:rPr>
          <w:rFonts w:hint="eastAsia"/>
          <w:sz w:val="30"/>
          <w:szCs w:val="32"/>
        </w:rPr>
        <w:t>万元；</w:t>
      </w:r>
      <w:r>
        <w:rPr>
          <w:rFonts w:hint="eastAsia"/>
          <w:sz w:val="30"/>
          <w:szCs w:val="32"/>
        </w:rPr>
        <w:t xml:space="preserve"> </w:t>
      </w:r>
    </w:p>
    <w:p w:rsidR="00442A1D">
      <w:pPr>
        <w:pStyle w:val="NoList"/>
        <w:numPr>
          <w:ilvl w:val="0"/>
          <w:numId w:val="2"/>
        </w:numPr>
        <w:rPr>
          <w:rFonts w:hint="eastAsia"/>
          <w:sz w:val="30"/>
          <w:szCs w:val="32"/>
        </w:rPr>
      </w:pPr>
      <w:r>
        <w:rPr>
          <w:rFonts w:hint="eastAsia"/>
          <w:sz w:val="30"/>
          <w:szCs w:val="32"/>
        </w:rPr>
        <w:t>宁东能源化工基地宝塔综合</w:t>
      </w:r>
      <w:r>
        <w:rPr>
          <w:rFonts w:hint="eastAsia"/>
          <w:sz w:val="30"/>
          <w:szCs w:val="32"/>
        </w:rPr>
        <w:t>项目区总投资估算为</w:t>
      </w:r>
      <w:r>
        <w:rPr>
          <w:sz w:val="30"/>
          <w:szCs w:val="32"/>
        </w:rPr>
        <w:t>74.3</w:t>
      </w:r>
      <w:r>
        <w:rPr>
          <w:rFonts w:hint="eastAsia"/>
          <w:sz w:val="30"/>
          <w:szCs w:val="32"/>
        </w:rPr>
        <w:t>亿元，建成后年新增利税</w:t>
      </w:r>
      <w:r>
        <w:rPr>
          <w:sz w:val="30"/>
          <w:szCs w:val="32"/>
        </w:rPr>
        <w:t>21.6</w:t>
      </w:r>
      <w:r>
        <w:rPr>
          <w:rFonts w:hint="eastAsia"/>
          <w:sz w:val="30"/>
          <w:szCs w:val="32"/>
        </w:rPr>
        <w:t>亿元。本项目建设将对企业</w:t>
      </w:r>
      <w:r>
        <w:rPr>
          <w:rFonts w:hint="eastAsia"/>
          <w:sz w:val="30"/>
          <w:szCs w:val="32"/>
        </w:rPr>
        <w:t>效益的增长有重要的支持和保障作用；</w:t>
      </w:r>
    </w:p>
    <w:p w:rsidR="00442A1D">
      <w:pPr>
        <w:pStyle w:val="Heading3"/>
        <w:rPr>
          <w:rFonts w:hint="eastAsia"/>
        </w:rPr>
      </w:pPr>
      <w:r>
        <w:t>1.2.6</w:t>
      </w:r>
      <w:r>
        <w:rPr>
          <w:rFonts w:hint="eastAsia"/>
        </w:rPr>
        <w:t>主要技术经济指标</w:t>
      </w:r>
    </w:p>
    <w:p w:rsidR="00442A1D">
      <w:pPr>
        <w:pStyle w:val="NoList"/>
        <w:numPr>
          <w:ilvl w:val="0"/>
          <w:numId w:val="2"/>
        </w:numPr>
        <w:rPr>
          <w:rFonts w:hint="eastAsia"/>
          <w:sz w:val="30"/>
          <w:szCs w:val="32"/>
        </w:rPr>
      </w:pPr>
      <w:r>
        <w:rPr>
          <w:rFonts w:hint="eastAsia"/>
          <w:sz w:val="30"/>
          <w:szCs w:val="32"/>
        </w:rPr>
        <w:t>线路技</w:t>
      </w:r>
      <w:r>
        <w:rPr>
          <w:rFonts w:hint="eastAsia"/>
          <w:sz w:val="30"/>
          <w:szCs w:val="32"/>
        </w:rPr>
        <w:t>术经济指标</w:t>
      </w:r>
      <w:r>
        <w:rPr>
          <w:sz w:val="30"/>
          <w:szCs w:val="32"/>
        </w:rPr>
        <w:t>322</w:t>
      </w:r>
      <w:r>
        <w:rPr>
          <w:rFonts w:hint="eastAsia"/>
          <w:sz w:val="30"/>
          <w:szCs w:val="32"/>
        </w:rPr>
        <w:t>元</w:t>
      </w:r>
      <w:r>
        <w:rPr>
          <w:sz w:val="30"/>
          <w:szCs w:val="32"/>
        </w:rPr>
        <w:t>/km</w:t>
      </w:r>
      <w:r>
        <w:rPr>
          <w:rFonts w:hint="eastAsia"/>
          <w:sz w:val="30"/>
          <w:szCs w:val="32"/>
        </w:rPr>
        <w:t>；</w:t>
      </w:r>
    </w:p>
    <w:p w:rsidR="00442A1D">
      <w:pPr>
        <w:pStyle w:val="NoList"/>
        <w:numPr>
          <w:ilvl w:val="0"/>
          <w:numId w:val="2"/>
        </w:numPr>
        <w:rPr>
          <w:rFonts w:hint="eastAsia"/>
          <w:sz w:val="30"/>
          <w:szCs w:val="32"/>
        </w:rPr>
      </w:pPr>
      <w:r>
        <w:rPr>
          <w:rFonts w:hint="eastAsia"/>
          <w:sz w:val="30"/>
          <w:szCs w:val="32"/>
        </w:rPr>
        <w:t>涵洞技术经济指标</w:t>
      </w:r>
      <w:r>
        <w:rPr>
          <w:sz w:val="30"/>
          <w:szCs w:val="32"/>
        </w:rPr>
        <w:t>44178</w:t>
      </w:r>
      <w:r>
        <w:rPr>
          <w:rFonts w:hint="eastAsia"/>
          <w:sz w:val="30"/>
          <w:szCs w:val="32"/>
        </w:rPr>
        <w:t>元</w:t>
      </w:r>
      <w:r>
        <w:rPr>
          <w:sz w:val="30"/>
          <w:szCs w:val="32"/>
        </w:rPr>
        <w:t>/</w:t>
      </w:r>
      <w:r>
        <w:rPr>
          <w:rFonts w:hint="eastAsia"/>
          <w:sz w:val="30"/>
          <w:szCs w:val="32"/>
        </w:rPr>
        <w:t>延</w:t>
      </w:r>
      <w:r>
        <w:rPr>
          <w:sz w:val="30"/>
          <w:szCs w:val="32"/>
        </w:rPr>
        <w:t>m</w:t>
      </w:r>
      <w:r>
        <w:rPr>
          <w:rFonts w:hint="eastAsia"/>
          <w:sz w:val="30"/>
          <w:szCs w:val="32"/>
        </w:rPr>
        <w:t>；</w:t>
      </w:r>
    </w:p>
    <w:p w:rsidR="00442A1D">
      <w:pPr>
        <w:pStyle w:val="NoList"/>
        <w:numPr>
          <w:ilvl w:val="0"/>
          <w:numId w:val="2"/>
        </w:numPr>
        <w:rPr>
          <w:rFonts w:hint="eastAsia"/>
          <w:sz w:val="30"/>
          <w:szCs w:val="32"/>
        </w:rPr>
        <w:sectPr>
          <w:type w:val="nextPage"/>
          <w:pgSz w:w="11906" w:h="16838"/>
          <w:pgMar w:top="1701" w:right="1134" w:bottom="1418" w:left="1701" w:header="851" w:footer="992" w:gutter="0"/>
          <w:pgNumType w:start="6"/>
          <w:cols w:space="425"/>
          <w:titlePg w:val="0"/>
          <w:docGrid w:type="lines" w:linePitch="312"/>
        </w:sectPr>
      </w:pPr>
      <w:r>
        <w:rPr>
          <w:rFonts w:hint="eastAsia"/>
          <w:sz w:val="30"/>
          <w:szCs w:val="32"/>
        </w:rPr>
        <w:t>整体道床，技术经济指标</w:t>
      </w:r>
      <w:r>
        <w:rPr>
          <w:sz w:val="30"/>
          <w:szCs w:val="32"/>
        </w:rPr>
        <w:t>5887</w:t>
      </w:r>
      <w:r>
        <w:rPr>
          <w:rFonts w:hint="eastAsia"/>
          <w:sz w:val="30"/>
          <w:szCs w:val="32"/>
        </w:rPr>
        <w:t>元</w:t>
      </w:r>
      <w:r>
        <w:rPr>
          <w:sz w:val="30"/>
          <w:szCs w:val="32"/>
        </w:rPr>
        <w:t>/</w:t>
      </w:r>
      <w:r>
        <w:rPr>
          <w:rFonts w:hint="eastAsia"/>
          <w:sz w:val="30"/>
          <w:szCs w:val="32"/>
        </w:rPr>
        <w:t>延</w:t>
      </w:r>
      <w:r>
        <w:rPr>
          <w:sz w:val="30"/>
          <w:szCs w:val="32"/>
        </w:rPr>
        <w:t>m</w:t>
      </w:r>
      <w:r>
        <w:rPr>
          <w:rFonts w:hint="eastAsia"/>
          <w:sz w:val="30"/>
          <w:szCs w:val="32"/>
        </w:rPr>
        <w:t>；</w:t>
      </w:r>
    </w:p>
    <w:p w:rsidR="00442A1D">
      <w:pPr>
        <w:pStyle w:val="Heading2"/>
        <w:rPr>
          <w:rFonts w:hint="eastAsia"/>
        </w:rPr>
      </w:pPr>
      <w:r>
        <w:t>1.3</w:t>
      </w:r>
      <w:r>
        <w:rPr>
          <w:rFonts w:hint="eastAsia"/>
        </w:rPr>
        <w:t>问题与建议</w:t>
      </w:r>
    </w:p>
    <w:p w:rsidR="00442A1D">
      <w:pPr>
        <w:pStyle w:val="NoList"/>
        <w:numPr>
          <w:ilvl w:val="0"/>
          <w:numId w:val="10"/>
        </w:numPr>
        <w:rPr>
          <w:rFonts w:hint="eastAsia"/>
          <w:sz w:val="30"/>
          <w:szCs w:val="32"/>
        </w:rPr>
      </w:pPr>
      <w:r>
        <w:rPr>
          <w:rFonts w:hint="eastAsia"/>
          <w:sz w:val="30"/>
          <w:szCs w:val="32"/>
        </w:rPr>
        <w:t>铁路专用线的开通、运行、运输组织管理等一系列问题，还需与大古铁路有限责任公司进行磋商、签定运输合同和协议；</w:t>
      </w:r>
    </w:p>
    <w:p w:rsidR="00442A1D">
      <w:pPr>
        <w:pStyle w:val="NoList"/>
        <w:numPr>
          <w:ilvl w:val="0"/>
          <w:numId w:val="10"/>
        </w:numPr>
        <w:rPr>
          <w:rFonts w:hint="eastAsia"/>
          <w:sz w:val="30"/>
          <w:szCs w:val="32"/>
        </w:rPr>
      </w:pPr>
      <w:r>
        <w:rPr>
          <w:rFonts w:hint="eastAsia"/>
          <w:sz w:val="30"/>
          <w:szCs w:val="32"/>
        </w:rPr>
        <w:t>应适时向大古铁路公司和兰州铁路局作</w:t>
      </w:r>
      <w:r>
        <w:rPr>
          <w:rFonts w:hint="eastAsia"/>
          <w:sz w:val="30"/>
          <w:szCs w:val="32"/>
        </w:rPr>
        <w:t>专题报告，提请解决线路交接能力的相关问题；</w:t>
      </w:r>
    </w:p>
    <w:p w:rsidR="00442A1D">
      <w:pPr>
        <w:pStyle w:val="NoList"/>
        <w:numPr>
          <w:ilvl w:val="0"/>
          <w:numId w:val="10"/>
        </w:numPr>
        <w:rPr>
          <w:rFonts w:hint="eastAsia"/>
          <w:sz w:val="30"/>
          <w:szCs w:val="32"/>
        </w:rPr>
      </w:pPr>
      <w:r>
        <w:rPr>
          <w:rFonts w:hint="eastAsia"/>
          <w:sz w:val="30"/>
          <w:szCs w:val="32"/>
        </w:rPr>
        <w:t>为考虑大古铁路今后的发展，本次设计预留大古铁路复线</w:t>
      </w:r>
      <w:r>
        <w:rPr>
          <w:rFonts w:hint="eastAsia"/>
          <w:sz w:val="30"/>
          <w:szCs w:val="32"/>
        </w:rPr>
        <w:t>及机车走行北端联络线的可能。同时考虑到宝塔项目的发</w:t>
      </w:r>
      <w:r>
        <w:rPr>
          <w:rFonts w:hint="eastAsia"/>
          <w:sz w:val="30"/>
          <w:szCs w:val="32"/>
        </w:rPr>
        <w:t>展增加运量，古窑子车站预留了宝塔将来</w:t>
      </w:r>
      <w:r>
        <w:rPr>
          <w:rFonts w:hint="eastAsia"/>
          <w:sz w:val="30"/>
          <w:szCs w:val="32"/>
        </w:rPr>
        <w:t>专用车辆检修线或停车线。古窑子车站扩能改造时予以修建。</w:t>
      </w:r>
    </w:p>
    <w:p w:rsidR="00442A1D">
      <w:pPr>
        <w:pStyle w:val="NoList"/>
        <w:rPr>
          <w:sz w:val="32"/>
          <w:szCs w:val="32"/>
        </w:rPr>
      </w:pPr>
    </w:p>
    <w:p w:rsidR="00442A1D">
      <w:pPr>
        <w:pStyle w:val="NoList"/>
        <w:rPr>
          <w:sz w:val="32"/>
          <w:szCs w:val="32"/>
        </w:rPr>
      </w:pPr>
    </w:p>
    <w:p w:rsidR="00442A1D">
      <w:pPr>
        <w:pStyle w:val="NoList"/>
        <w:sectPr>
          <w:type w:val="nextPage"/>
          <w:pgSz w:w="11906" w:h="16838"/>
          <w:pgMar w:top="1701" w:right="1134" w:bottom="1418" w:left="1701" w:header="851" w:footer="992" w:gutter="0"/>
          <w:pgNumType w:start="7"/>
          <w:cols w:space="425"/>
          <w:titlePg w:val="0"/>
          <w:docGrid w:type="lines" w:linePitch="312"/>
        </w:sectPr>
      </w:pPr>
    </w:p>
    <w:p w:rsidR="00442A1D">
      <w:pPr>
        <w:pStyle w:val="Heading1"/>
        <w:rPr>
          <w:rFonts w:hint="eastAsia"/>
        </w:rPr>
      </w:pPr>
      <w:bookmarkStart w:id="5" w:name="_Hlt173837821"/>
      <w:bookmarkEnd w:id="5"/>
      <w:r>
        <w:rPr>
          <w:rFonts w:hint="eastAsia"/>
        </w:rPr>
        <w:t>二</w:t>
      </w:r>
      <w:r>
        <w:rPr>
          <w:rFonts w:hint="eastAsia"/>
        </w:rPr>
        <w:t>、运量预测</w:t>
      </w:r>
    </w:p>
    <w:p w:rsidR="00442A1D">
      <w:pPr>
        <w:pStyle w:val="Heading2"/>
        <w:rPr>
          <w:rFonts w:hint="eastAsia"/>
        </w:rPr>
      </w:pPr>
      <w:r>
        <w:t>2.1</w:t>
      </w:r>
      <w:r>
        <w:rPr>
          <w:rFonts w:hint="eastAsia"/>
        </w:rPr>
        <w:t>预测依据与范围</w:t>
      </w:r>
    </w:p>
    <w:p w:rsidR="00442A1D">
      <w:pPr>
        <w:pStyle w:val="Heading3"/>
        <w:rPr>
          <w:rFonts w:hint="eastAsia"/>
        </w:rPr>
      </w:pPr>
      <w:r>
        <w:t>2.1.1</w:t>
      </w:r>
      <w:r>
        <w:rPr>
          <w:rFonts w:hint="eastAsia"/>
        </w:rPr>
        <w:t>预测依据</w:t>
      </w:r>
    </w:p>
    <w:p w:rsidR="00442A1D">
      <w:pPr>
        <w:pStyle w:val="BodyTextIndent2"/>
        <w:rPr>
          <w:rFonts w:hint="eastAsia"/>
        </w:rPr>
      </w:pPr>
      <w:r>
        <w:rPr>
          <w:rFonts w:hint="eastAsia"/>
        </w:rPr>
        <w:t>根据宁夏宝塔石化集团提供</w:t>
      </w:r>
      <w:r>
        <w:rPr>
          <w:rFonts w:hint="eastAsia"/>
        </w:rPr>
        <w:t>的</w:t>
      </w:r>
      <w:r>
        <w:rPr>
          <w:rFonts w:hint="eastAsia"/>
        </w:rPr>
        <w:t>“</w:t>
      </w:r>
      <w:r>
        <w:rPr>
          <w:rFonts w:hint="eastAsia"/>
        </w:rPr>
        <w:t>宝塔综合项目区（西区）原料和产品铁路运量预测</w:t>
      </w:r>
      <w:r>
        <w:rPr>
          <w:rFonts w:hint="eastAsia"/>
        </w:rPr>
        <w:t>表</w:t>
      </w:r>
      <w:r>
        <w:rPr>
          <w:rFonts w:hint="eastAsia"/>
        </w:rPr>
        <w:t>”</w:t>
      </w:r>
      <w:r>
        <w:rPr>
          <w:rFonts w:hint="eastAsia"/>
        </w:rPr>
        <w:t>。</w:t>
      </w:r>
    </w:p>
    <w:p w:rsidR="00442A1D">
      <w:pPr>
        <w:pStyle w:val="Heading3"/>
        <w:rPr>
          <w:rFonts w:hint="eastAsia"/>
        </w:rPr>
      </w:pPr>
      <w:r>
        <w:t>2.1.2</w:t>
      </w:r>
      <w:r>
        <w:rPr>
          <w:rFonts w:hint="eastAsia"/>
        </w:rPr>
        <w:t>预测范围</w:t>
      </w:r>
    </w:p>
    <w:p w:rsidR="00442A1D">
      <w:pPr>
        <w:pStyle w:val="BodyTextIndent2"/>
        <w:rPr>
          <w:rFonts w:hint="eastAsia"/>
        </w:rPr>
      </w:pPr>
      <w:r>
        <w:rPr>
          <w:rFonts w:hint="eastAsia"/>
        </w:rPr>
        <w:t>在近期</w:t>
      </w:r>
      <w:r>
        <w:t>2023</w:t>
      </w:r>
      <w:r>
        <w:rPr>
          <w:rFonts w:hint="eastAsia"/>
        </w:rPr>
        <w:t>年之前，宁东能源化工基地宝塔综合项目区（西区）的货物运输量，主要考虑对原专用线进行置换相应产</w:t>
      </w:r>
      <w:r>
        <w:rPr>
          <w:rFonts w:hint="eastAsia"/>
        </w:rPr>
        <w:t>生的运量，也可能随着西区的发展品种和数量有所增加，但数量不会很大；在</w:t>
      </w:r>
      <w:r>
        <w:t>2023</w:t>
      </w:r>
      <w:r>
        <w:rPr>
          <w:rFonts w:hint="eastAsia"/>
        </w:rPr>
        <w:t>年至</w:t>
      </w:r>
      <w:r>
        <w:t>2023</w:t>
      </w:r>
      <w:r>
        <w:rPr>
          <w:rFonts w:hint="eastAsia"/>
        </w:rPr>
        <w:t>年，运</w:t>
      </w:r>
      <w:r>
        <w:rPr>
          <w:rFonts w:hint="eastAsia"/>
        </w:rPr>
        <w:t>量将由</w:t>
      </w:r>
      <w:r>
        <w:t>265</w:t>
      </w:r>
      <w:r>
        <w:rPr>
          <w:rFonts w:hint="eastAsia"/>
        </w:rPr>
        <w:t>万</w:t>
      </w:r>
      <w:r>
        <w:t>t</w:t>
      </w:r>
      <w:r>
        <w:rPr>
          <w:rFonts w:hint="eastAsia"/>
        </w:rPr>
        <w:t>增加到</w:t>
      </w:r>
      <w:r>
        <w:t>440</w:t>
      </w:r>
      <w:r>
        <w:rPr>
          <w:rFonts w:hint="eastAsia"/>
        </w:rPr>
        <w:t>万</w:t>
      </w:r>
      <w:r>
        <w:t>t</w:t>
      </w:r>
      <w:r>
        <w:rPr>
          <w:rFonts w:hint="eastAsia"/>
        </w:rPr>
        <w:t>。</w:t>
      </w:r>
    </w:p>
    <w:p w:rsidR="00442A1D">
      <w:pPr>
        <w:pStyle w:val="Heading2"/>
        <w:rPr>
          <w:rFonts w:hint="eastAsia"/>
        </w:rPr>
      </w:pPr>
      <w:r>
        <w:t>2.2</w:t>
      </w:r>
      <w:r>
        <w:rPr>
          <w:rFonts w:hint="eastAsia"/>
        </w:rPr>
        <w:t>预测范围内的经济发展状况</w:t>
      </w:r>
    </w:p>
    <w:p w:rsidR="00442A1D">
      <w:pPr>
        <w:pStyle w:val="BodyTextIndent2"/>
        <w:rPr>
          <w:rFonts w:hint="eastAsia"/>
        </w:rPr>
      </w:pPr>
      <w:r>
        <w:rPr>
          <w:rFonts w:hint="eastAsia"/>
        </w:rPr>
        <w:t>宁东能源化工基地宝塔综合项目区（西区）所处的地理位置、建设条件和目前形成的产业现状</w:t>
      </w:r>
      <w:r>
        <w:rPr>
          <w:rFonts w:hint="eastAsia"/>
        </w:rPr>
        <w:t>，天然气化工、煤化工和石油化工项目，能充分发挥地方的矿产资源优势，加大资源开发利用力度，使企业获得最佳效益，并带动地区经济增长。</w:t>
      </w:r>
    </w:p>
    <w:p w:rsidR="00442A1D">
      <w:pPr>
        <w:pStyle w:val="Heading2"/>
        <w:rPr>
          <w:rFonts w:hint="eastAsia"/>
        </w:rPr>
      </w:pPr>
      <w:r>
        <w:t>2.3</w:t>
      </w:r>
      <w:r>
        <w:rPr>
          <w:rFonts w:hint="eastAsia"/>
        </w:rPr>
        <w:t>货运量预测</w:t>
      </w:r>
    </w:p>
    <w:p w:rsidR="00442A1D">
      <w:pPr>
        <w:pStyle w:val="BodyTextIndent2"/>
      </w:pPr>
      <w:r>
        <w:rPr>
          <w:rFonts w:hint="eastAsia"/>
        </w:rPr>
        <w:t>详</w:t>
      </w:r>
      <w:r>
        <w:rPr>
          <w:rFonts w:hint="eastAsia"/>
        </w:rPr>
        <w:t>见</w:t>
      </w:r>
      <w:r>
        <w:rPr>
          <w:rFonts w:hint="eastAsia"/>
        </w:rPr>
        <w:t>“</w:t>
      </w:r>
      <w:r>
        <w:rPr>
          <w:rFonts w:hint="eastAsia"/>
        </w:rPr>
        <w:t>宝塔综合项目区（西区）原料和产品铁路运量预测</w:t>
      </w:r>
      <w:r>
        <w:rPr>
          <w:rFonts w:hint="eastAsia"/>
        </w:rPr>
        <w:t>表</w:t>
      </w:r>
      <w:r>
        <w:rPr>
          <w:rFonts w:hint="eastAsia"/>
        </w:rPr>
        <w:t>”</w:t>
      </w:r>
    </w:p>
    <w:p w:rsidR="00442A1D">
      <w:pPr>
        <w:pStyle w:val="NoList"/>
        <w:sectPr>
          <w:pgSz w:w="11906" w:h="16838" w:code="9"/>
          <w:pgMar w:top="1701" w:right="1134" w:bottom="1418" w:left="1701" w:header="851" w:footer="992" w:gutter="0"/>
          <w:pgNumType w:start="8"/>
          <w:cols w:space="425"/>
          <w:docGrid w:type="lines" w:linePitch="312"/>
        </w:sectPr>
      </w:pPr>
    </w:p>
    <w:p w:rsidR="00442A1D">
      <w:pPr>
        <w:pStyle w:val="NoList"/>
        <w:ind w:left="2940" w:firstLine="420"/>
        <w:rPr>
          <w:b/>
          <w:bCs/>
          <w:sz w:val="30"/>
          <w:szCs w:val="32"/>
        </w:rPr>
      </w:pPr>
      <w:r>
        <w:rPr>
          <w:rFonts w:hint="eastAsia"/>
          <w:b/>
          <w:bCs/>
          <w:sz w:val="30"/>
          <w:szCs w:val="32"/>
        </w:rPr>
        <w:t>宝塔综合项目区（西区）原料和产品铁路</w:t>
      </w:r>
      <w:r>
        <w:rPr>
          <w:rFonts w:hint="eastAsia"/>
          <w:b/>
          <w:bCs/>
          <w:sz w:val="30"/>
          <w:szCs w:val="32"/>
        </w:rPr>
        <w:t>运量预测表</w:t>
      </w:r>
    </w:p>
    <w:tbl>
      <w:tblPr>
        <w:tblStyle w:val="TableNormal"/>
        <w:tblW w:w="13591"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698"/>
        <w:gridCol w:w="1133"/>
        <w:gridCol w:w="1136"/>
        <w:gridCol w:w="850"/>
        <w:gridCol w:w="1108"/>
        <w:gridCol w:w="876"/>
        <w:gridCol w:w="850"/>
        <w:gridCol w:w="850"/>
        <w:gridCol w:w="856"/>
        <w:gridCol w:w="1058"/>
        <w:gridCol w:w="1080"/>
        <w:gridCol w:w="2096"/>
      </w:tblGrid>
      <w:tr>
        <w:tblPrEx>
          <w:tblW w:w="13591"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Height w:val="445"/>
          <w:jc w:val="center"/>
        </w:trPr>
        <w:tc>
          <w:tcPr>
            <w:tcW w:w="1698" w:type="dxa"/>
            <w:shd w:val="clear" w:color="auto" w:fill="auto"/>
            <w:vAlign w:val="center"/>
          </w:tcPr>
          <w:p w:rsidR="00442A1D">
            <w:pPr>
              <w:pStyle w:val="NoList"/>
              <w:jc w:val="center"/>
              <w:rPr>
                <w:rFonts w:hint="eastAsia"/>
                <w:b/>
                <w:bCs/>
                <w:sz w:val="28"/>
                <w:szCs w:val="21"/>
              </w:rPr>
            </w:pPr>
            <w:r>
              <w:rPr>
                <w:rFonts w:hint="eastAsia"/>
                <w:b/>
                <w:bCs/>
                <w:sz w:val="28"/>
                <w:szCs w:val="21"/>
              </w:rPr>
              <w:t>品名</w:t>
            </w:r>
          </w:p>
        </w:tc>
        <w:tc>
          <w:tcPr>
            <w:tcW w:w="2269" w:type="dxa"/>
            <w:gridSpan w:val="2"/>
            <w:shd w:val="clear" w:color="auto" w:fill="auto"/>
            <w:vAlign w:val="center"/>
          </w:tcPr>
          <w:p w:rsidR="00442A1D">
            <w:pPr>
              <w:pStyle w:val="NoList"/>
              <w:jc w:val="center"/>
              <w:rPr>
                <w:rFonts w:hint="eastAsia"/>
                <w:b/>
                <w:bCs/>
                <w:sz w:val="28"/>
                <w:szCs w:val="21"/>
              </w:rPr>
            </w:pPr>
            <w:r>
              <w:rPr>
                <w:rFonts w:hint="eastAsia"/>
                <w:b/>
                <w:bCs/>
                <w:sz w:val="28"/>
                <w:szCs w:val="21"/>
              </w:rPr>
              <w:t>规模（万</w:t>
            </w:r>
            <w:r>
              <w:rPr>
                <w:b/>
                <w:bCs/>
                <w:sz w:val="28"/>
                <w:szCs w:val="21"/>
              </w:rPr>
              <w:t>t</w:t>
            </w:r>
            <w:r>
              <w:rPr>
                <w:rFonts w:hint="eastAsia"/>
                <w:b/>
                <w:bCs/>
                <w:sz w:val="28"/>
                <w:szCs w:val="21"/>
              </w:rPr>
              <w:t>）</w:t>
            </w:r>
          </w:p>
        </w:tc>
        <w:tc>
          <w:tcPr>
            <w:tcW w:w="5390" w:type="dxa"/>
            <w:gridSpan w:val="6"/>
            <w:shd w:val="clear" w:color="auto" w:fill="auto"/>
            <w:vAlign w:val="center"/>
          </w:tcPr>
          <w:p w:rsidR="00442A1D">
            <w:pPr>
              <w:pStyle w:val="NoList"/>
              <w:ind w:firstLine="1260" w:firstLineChars="450"/>
              <w:jc w:val="center"/>
              <w:rPr>
                <w:rFonts w:hint="eastAsia"/>
                <w:b/>
                <w:bCs/>
                <w:sz w:val="28"/>
                <w:szCs w:val="21"/>
              </w:rPr>
            </w:pPr>
            <w:r>
              <w:rPr>
                <w:rFonts w:hint="eastAsia"/>
                <w:b/>
                <w:bCs/>
                <w:sz w:val="28"/>
                <w:szCs w:val="21"/>
              </w:rPr>
              <w:t>年运量（万</w:t>
            </w:r>
            <w:r>
              <w:rPr>
                <w:b/>
                <w:bCs/>
                <w:sz w:val="28"/>
                <w:szCs w:val="21"/>
              </w:rPr>
              <w:t>t/</w:t>
            </w:r>
            <w:r>
              <w:rPr>
                <w:rFonts w:hint="eastAsia"/>
                <w:b/>
                <w:bCs/>
                <w:sz w:val="28"/>
                <w:szCs w:val="21"/>
              </w:rPr>
              <w:t>年）</w:t>
            </w:r>
          </w:p>
        </w:tc>
        <w:tc>
          <w:tcPr>
            <w:tcW w:w="1058" w:type="dxa"/>
            <w:shd w:val="clear" w:color="auto" w:fill="auto"/>
            <w:vAlign w:val="center"/>
          </w:tcPr>
          <w:p w:rsidR="00442A1D">
            <w:pPr>
              <w:pStyle w:val="NoList"/>
              <w:jc w:val="center"/>
              <w:rPr>
                <w:rFonts w:hint="eastAsia"/>
                <w:b/>
                <w:bCs/>
                <w:sz w:val="28"/>
                <w:szCs w:val="21"/>
              </w:rPr>
            </w:pPr>
            <w:r>
              <w:rPr>
                <w:rFonts w:hint="eastAsia"/>
                <w:b/>
                <w:bCs/>
                <w:sz w:val="28"/>
                <w:szCs w:val="21"/>
              </w:rPr>
              <w:t>形态</w:t>
            </w:r>
          </w:p>
        </w:tc>
        <w:tc>
          <w:tcPr>
            <w:tcW w:w="1080" w:type="dxa"/>
            <w:shd w:val="clear" w:color="auto" w:fill="auto"/>
            <w:vAlign w:val="center"/>
          </w:tcPr>
          <w:p w:rsidR="00442A1D">
            <w:pPr>
              <w:pStyle w:val="NoList"/>
              <w:jc w:val="center"/>
              <w:rPr>
                <w:rFonts w:hint="eastAsia"/>
                <w:b/>
                <w:bCs/>
                <w:sz w:val="28"/>
                <w:szCs w:val="21"/>
              </w:rPr>
            </w:pPr>
            <w:r>
              <w:rPr>
                <w:rFonts w:hint="eastAsia"/>
                <w:b/>
                <w:bCs/>
                <w:sz w:val="28"/>
                <w:szCs w:val="21"/>
              </w:rPr>
              <w:t>来源</w:t>
            </w:r>
          </w:p>
        </w:tc>
        <w:tc>
          <w:tcPr>
            <w:tcW w:w="2096" w:type="dxa"/>
            <w:shd w:val="clear" w:color="auto" w:fill="auto"/>
            <w:vAlign w:val="center"/>
          </w:tcPr>
          <w:p w:rsidR="00442A1D">
            <w:pPr>
              <w:pStyle w:val="NoList"/>
              <w:jc w:val="center"/>
              <w:rPr>
                <w:rFonts w:hint="eastAsia"/>
                <w:b/>
                <w:bCs/>
                <w:sz w:val="28"/>
                <w:szCs w:val="21"/>
              </w:rPr>
            </w:pPr>
            <w:r>
              <w:rPr>
                <w:rFonts w:hint="eastAsia"/>
                <w:b/>
                <w:bCs/>
                <w:sz w:val="28"/>
                <w:szCs w:val="21"/>
              </w:rPr>
              <w:t>去向</w:t>
            </w:r>
          </w:p>
        </w:tc>
      </w:tr>
      <w:tr>
        <w:tblPrEx>
          <w:tblW w:w="13591" w:type="dxa"/>
          <w:jc w:val="center"/>
          <w:tblInd w:w="108" w:type="dxa"/>
          <w:tblLayout w:type="fixed"/>
          <w:tblLook w:val="0000"/>
        </w:tblPrEx>
        <w:trPr>
          <w:trHeight w:val="445"/>
          <w:jc w:val="center"/>
        </w:trPr>
        <w:tc>
          <w:tcPr>
            <w:tcW w:w="1698" w:type="dxa"/>
            <w:shd w:val="clear" w:color="auto" w:fill="auto"/>
            <w:vAlign w:val="center"/>
          </w:tcPr>
          <w:p w:rsidR="00442A1D">
            <w:pPr>
              <w:pStyle w:val="NoList"/>
              <w:jc w:val="center"/>
              <w:rPr>
                <w:rFonts w:hint="eastAsia"/>
                <w:szCs w:val="21"/>
              </w:rPr>
            </w:pPr>
            <w:r>
              <w:rPr>
                <w:rFonts w:hint="eastAsia"/>
                <w:szCs w:val="21"/>
              </w:rPr>
              <w:t>原油</w:t>
            </w:r>
          </w:p>
        </w:tc>
        <w:tc>
          <w:tcPr>
            <w:tcW w:w="1133" w:type="dxa"/>
            <w:shd w:val="clear" w:color="auto" w:fill="auto"/>
            <w:vAlign w:val="center"/>
          </w:tcPr>
          <w:p w:rsidR="00442A1D">
            <w:pPr>
              <w:pStyle w:val="NoList"/>
              <w:jc w:val="center"/>
              <w:rPr>
                <w:rFonts w:hint="eastAsia"/>
                <w:szCs w:val="21"/>
              </w:rPr>
            </w:pPr>
            <w:r>
              <w:rPr>
                <w:szCs w:val="21"/>
              </w:rPr>
              <w:t>40</w:t>
            </w:r>
          </w:p>
        </w:tc>
        <w:tc>
          <w:tcPr>
            <w:tcW w:w="1136" w:type="dxa"/>
            <w:shd w:val="clear" w:color="auto" w:fill="auto"/>
            <w:vAlign w:val="center"/>
          </w:tcPr>
          <w:p w:rsidR="00442A1D">
            <w:pPr>
              <w:pStyle w:val="NoList"/>
              <w:jc w:val="center"/>
              <w:rPr>
                <w:rFonts w:hint="eastAsia"/>
                <w:szCs w:val="21"/>
              </w:rPr>
            </w:pPr>
            <w:r>
              <w:rPr>
                <w:szCs w:val="21"/>
              </w:rPr>
              <w:t>40</w:t>
            </w:r>
          </w:p>
        </w:tc>
        <w:tc>
          <w:tcPr>
            <w:tcW w:w="850" w:type="dxa"/>
            <w:shd w:val="clear" w:color="auto" w:fill="auto"/>
            <w:vAlign w:val="center"/>
          </w:tcPr>
          <w:p w:rsidR="00442A1D">
            <w:pPr>
              <w:pStyle w:val="NoList"/>
              <w:jc w:val="center"/>
              <w:rPr>
                <w:rFonts w:hint="eastAsia"/>
                <w:szCs w:val="21"/>
              </w:rPr>
            </w:pPr>
            <w:r>
              <w:rPr>
                <w:szCs w:val="21"/>
              </w:rPr>
              <w:t>40</w:t>
            </w:r>
          </w:p>
        </w:tc>
        <w:tc>
          <w:tcPr>
            <w:tcW w:w="1108" w:type="dxa"/>
            <w:shd w:val="clear" w:color="auto" w:fill="auto"/>
            <w:vAlign w:val="center"/>
          </w:tcPr>
          <w:p w:rsidR="00442A1D">
            <w:pPr>
              <w:pStyle w:val="NoList"/>
              <w:jc w:val="center"/>
              <w:rPr>
                <w:rFonts w:hint="eastAsia"/>
                <w:szCs w:val="21"/>
              </w:rPr>
            </w:pPr>
          </w:p>
        </w:tc>
        <w:tc>
          <w:tcPr>
            <w:tcW w:w="876" w:type="dxa"/>
            <w:shd w:val="clear" w:color="auto" w:fill="auto"/>
            <w:vAlign w:val="center"/>
          </w:tcPr>
          <w:p w:rsidR="00442A1D">
            <w:pPr>
              <w:pStyle w:val="NoList"/>
              <w:jc w:val="center"/>
              <w:rPr>
                <w:rFonts w:hint="eastAsia"/>
                <w:szCs w:val="21"/>
              </w:rPr>
            </w:pPr>
            <w:r>
              <w:rPr>
                <w:szCs w:val="21"/>
              </w:rPr>
              <w:t>40</w:t>
            </w:r>
          </w:p>
        </w:tc>
        <w:tc>
          <w:tcPr>
            <w:tcW w:w="850" w:type="dxa"/>
            <w:shd w:val="clear" w:color="auto" w:fill="auto"/>
            <w:vAlign w:val="center"/>
          </w:tcPr>
          <w:p w:rsidR="00442A1D">
            <w:pPr>
              <w:pStyle w:val="NoList"/>
              <w:jc w:val="center"/>
              <w:rPr>
                <w:rFonts w:hint="eastAsia"/>
                <w:szCs w:val="21"/>
              </w:rPr>
            </w:pPr>
            <w:r>
              <w:rPr>
                <w:szCs w:val="21"/>
              </w:rPr>
              <w:t>40</w:t>
            </w:r>
          </w:p>
        </w:tc>
        <w:tc>
          <w:tcPr>
            <w:tcW w:w="850" w:type="dxa"/>
            <w:shd w:val="clear" w:color="auto" w:fill="auto"/>
            <w:vAlign w:val="center"/>
          </w:tcPr>
          <w:p w:rsidR="00442A1D">
            <w:pPr>
              <w:pStyle w:val="NoList"/>
              <w:jc w:val="center"/>
              <w:rPr>
                <w:rFonts w:hint="eastAsia"/>
                <w:szCs w:val="21"/>
              </w:rPr>
            </w:pPr>
          </w:p>
        </w:tc>
        <w:tc>
          <w:tcPr>
            <w:tcW w:w="856" w:type="dxa"/>
            <w:shd w:val="clear" w:color="auto" w:fill="auto"/>
            <w:vAlign w:val="center"/>
          </w:tcPr>
          <w:p w:rsidR="00442A1D">
            <w:pPr>
              <w:pStyle w:val="NoList"/>
              <w:jc w:val="center"/>
              <w:rPr>
                <w:rFonts w:hint="eastAsia"/>
                <w:szCs w:val="21"/>
              </w:rPr>
            </w:pPr>
            <w:r>
              <w:rPr>
                <w:szCs w:val="21"/>
              </w:rPr>
              <w:t>40</w:t>
            </w:r>
          </w:p>
        </w:tc>
        <w:tc>
          <w:tcPr>
            <w:tcW w:w="1058" w:type="dxa"/>
            <w:shd w:val="clear" w:color="auto" w:fill="auto"/>
            <w:vAlign w:val="center"/>
          </w:tcPr>
          <w:p w:rsidR="00442A1D">
            <w:pPr>
              <w:pStyle w:val="NoList"/>
              <w:jc w:val="center"/>
              <w:rPr>
                <w:rFonts w:hint="eastAsia"/>
                <w:szCs w:val="21"/>
              </w:rPr>
            </w:pPr>
            <w:r>
              <w:rPr>
                <w:rFonts w:hint="eastAsia"/>
                <w:szCs w:val="21"/>
              </w:rPr>
              <w:t>液</w:t>
            </w:r>
            <w:r>
              <w:rPr>
                <w:rFonts w:hint="eastAsia"/>
                <w:szCs w:val="21"/>
              </w:rPr>
              <w:t>体</w:t>
            </w:r>
          </w:p>
        </w:tc>
        <w:tc>
          <w:tcPr>
            <w:tcW w:w="1080" w:type="dxa"/>
            <w:shd w:val="clear" w:color="auto" w:fill="auto"/>
            <w:vAlign w:val="center"/>
          </w:tcPr>
          <w:p w:rsidR="00442A1D">
            <w:pPr>
              <w:pStyle w:val="NoList"/>
              <w:jc w:val="center"/>
              <w:rPr>
                <w:rFonts w:hint="eastAsia"/>
                <w:szCs w:val="21"/>
              </w:rPr>
            </w:pPr>
            <w:r>
              <w:rPr>
                <w:rFonts w:hint="eastAsia"/>
                <w:szCs w:val="21"/>
              </w:rPr>
              <w:t>新疆内蒙</w:t>
            </w:r>
          </w:p>
        </w:tc>
        <w:tc>
          <w:tcPr>
            <w:tcW w:w="2096" w:type="dxa"/>
            <w:shd w:val="clear" w:color="auto" w:fill="auto"/>
            <w:vAlign w:val="center"/>
          </w:tcPr>
          <w:p w:rsidR="00442A1D">
            <w:pPr>
              <w:pStyle w:val="NoList"/>
              <w:rPr>
                <w:rFonts w:hint="eastAsia"/>
                <w:szCs w:val="21"/>
              </w:rPr>
            </w:pPr>
            <w:r>
              <w:rPr>
                <w:rFonts w:hint="eastAsia"/>
                <w:szCs w:val="21"/>
              </w:rPr>
              <w:t>川渝、中南、华北</w:t>
            </w:r>
          </w:p>
        </w:tc>
      </w:tr>
      <w:tr>
        <w:tblPrEx>
          <w:tblW w:w="13591" w:type="dxa"/>
          <w:jc w:val="center"/>
          <w:tblInd w:w="108" w:type="dxa"/>
          <w:tblLayout w:type="fixed"/>
          <w:tblLook w:val="0000"/>
        </w:tblPrEx>
        <w:trPr>
          <w:trHeight w:val="445"/>
          <w:jc w:val="center"/>
        </w:trPr>
        <w:tc>
          <w:tcPr>
            <w:tcW w:w="1698" w:type="dxa"/>
            <w:shd w:val="clear" w:color="auto" w:fill="auto"/>
            <w:vAlign w:val="center"/>
          </w:tcPr>
          <w:p w:rsidR="00442A1D">
            <w:pPr>
              <w:pStyle w:val="NoList"/>
              <w:jc w:val="center"/>
              <w:rPr>
                <w:rFonts w:hint="eastAsia"/>
                <w:szCs w:val="21"/>
              </w:rPr>
            </w:pPr>
            <w:r>
              <w:rPr>
                <w:rFonts w:hint="eastAsia"/>
                <w:szCs w:val="21"/>
              </w:rPr>
              <w:t>燃料油</w:t>
            </w:r>
          </w:p>
        </w:tc>
        <w:tc>
          <w:tcPr>
            <w:tcW w:w="1133" w:type="dxa"/>
            <w:shd w:val="clear" w:color="auto" w:fill="auto"/>
            <w:vAlign w:val="center"/>
          </w:tcPr>
          <w:p w:rsidR="00442A1D">
            <w:pPr>
              <w:pStyle w:val="NoList"/>
              <w:jc w:val="center"/>
              <w:rPr>
                <w:rFonts w:hint="eastAsia"/>
                <w:szCs w:val="21"/>
              </w:rPr>
            </w:pPr>
            <w:r>
              <w:rPr>
                <w:szCs w:val="21"/>
              </w:rPr>
              <w:t>90</w:t>
            </w:r>
          </w:p>
        </w:tc>
        <w:tc>
          <w:tcPr>
            <w:tcW w:w="1136" w:type="dxa"/>
            <w:shd w:val="clear" w:color="auto" w:fill="auto"/>
            <w:vAlign w:val="center"/>
          </w:tcPr>
          <w:p w:rsidR="00442A1D">
            <w:pPr>
              <w:pStyle w:val="NoList"/>
              <w:jc w:val="center"/>
              <w:rPr>
                <w:rFonts w:hint="eastAsia"/>
                <w:szCs w:val="21"/>
              </w:rPr>
            </w:pPr>
            <w:r>
              <w:rPr>
                <w:szCs w:val="21"/>
              </w:rPr>
              <w:t>160</w:t>
            </w:r>
          </w:p>
        </w:tc>
        <w:tc>
          <w:tcPr>
            <w:tcW w:w="850" w:type="dxa"/>
            <w:shd w:val="clear" w:color="auto" w:fill="auto"/>
            <w:vAlign w:val="center"/>
          </w:tcPr>
          <w:p w:rsidR="00442A1D">
            <w:pPr>
              <w:pStyle w:val="NoList"/>
              <w:jc w:val="center"/>
              <w:rPr>
                <w:rFonts w:hint="eastAsia"/>
                <w:szCs w:val="21"/>
              </w:rPr>
            </w:pPr>
            <w:r>
              <w:rPr>
                <w:szCs w:val="21"/>
              </w:rPr>
              <w:t>90</w:t>
            </w:r>
          </w:p>
        </w:tc>
        <w:tc>
          <w:tcPr>
            <w:tcW w:w="1108" w:type="dxa"/>
            <w:shd w:val="clear" w:color="auto" w:fill="auto"/>
            <w:vAlign w:val="center"/>
          </w:tcPr>
          <w:p w:rsidR="00442A1D">
            <w:pPr>
              <w:pStyle w:val="NoList"/>
              <w:jc w:val="center"/>
              <w:rPr>
                <w:rFonts w:hint="eastAsia"/>
                <w:szCs w:val="21"/>
              </w:rPr>
            </w:pPr>
          </w:p>
        </w:tc>
        <w:tc>
          <w:tcPr>
            <w:tcW w:w="876" w:type="dxa"/>
            <w:shd w:val="clear" w:color="auto" w:fill="auto"/>
            <w:vAlign w:val="center"/>
          </w:tcPr>
          <w:p w:rsidR="00442A1D">
            <w:pPr>
              <w:pStyle w:val="NoList"/>
              <w:jc w:val="center"/>
              <w:rPr>
                <w:rFonts w:hint="eastAsia"/>
                <w:szCs w:val="21"/>
              </w:rPr>
            </w:pPr>
            <w:r>
              <w:rPr>
                <w:szCs w:val="21"/>
              </w:rPr>
              <w:t>90</w:t>
            </w:r>
          </w:p>
        </w:tc>
        <w:tc>
          <w:tcPr>
            <w:tcW w:w="850" w:type="dxa"/>
            <w:shd w:val="clear" w:color="auto" w:fill="auto"/>
            <w:vAlign w:val="center"/>
          </w:tcPr>
          <w:p w:rsidR="00442A1D">
            <w:pPr>
              <w:pStyle w:val="NoList"/>
              <w:jc w:val="center"/>
              <w:rPr>
                <w:rFonts w:hint="eastAsia"/>
                <w:szCs w:val="21"/>
              </w:rPr>
            </w:pPr>
            <w:r>
              <w:rPr>
                <w:szCs w:val="21"/>
              </w:rPr>
              <w:t>160</w:t>
            </w:r>
          </w:p>
        </w:tc>
        <w:tc>
          <w:tcPr>
            <w:tcW w:w="850" w:type="dxa"/>
            <w:shd w:val="clear" w:color="auto" w:fill="auto"/>
            <w:vAlign w:val="center"/>
          </w:tcPr>
          <w:p w:rsidR="00442A1D">
            <w:pPr>
              <w:pStyle w:val="NoList"/>
              <w:jc w:val="center"/>
              <w:rPr>
                <w:rFonts w:hint="eastAsia"/>
                <w:szCs w:val="21"/>
              </w:rPr>
            </w:pPr>
          </w:p>
        </w:tc>
        <w:tc>
          <w:tcPr>
            <w:tcW w:w="856" w:type="dxa"/>
            <w:shd w:val="clear" w:color="auto" w:fill="auto"/>
            <w:vAlign w:val="center"/>
          </w:tcPr>
          <w:p w:rsidR="00442A1D">
            <w:pPr>
              <w:pStyle w:val="NoList"/>
              <w:jc w:val="center"/>
              <w:rPr>
                <w:rFonts w:hint="eastAsia"/>
                <w:szCs w:val="21"/>
              </w:rPr>
            </w:pPr>
            <w:r>
              <w:rPr>
                <w:szCs w:val="21"/>
              </w:rPr>
              <w:t>160</w:t>
            </w:r>
          </w:p>
        </w:tc>
        <w:tc>
          <w:tcPr>
            <w:tcW w:w="1058" w:type="dxa"/>
            <w:shd w:val="clear" w:color="auto" w:fill="auto"/>
            <w:vAlign w:val="center"/>
          </w:tcPr>
          <w:p w:rsidR="00442A1D">
            <w:pPr>
              <w:pStyle w:val="NoList"/>
              <w:jc w:val="center"/>
              <w:rPr>
                <w:rFonts w:hint="eastAsia"/>
                <w:szCs w:val="21"/>
              </w:rPr>
            </w:pPr>
            <w:r>
              <w:rPr>
                <w:rFonts w:hint="eastAsia"/>
                <w:szCs w:val="21"/>
              </w:rPr>
              <w:t>液体</w:t>
            </w:r>
          </w:p>
        </w:tc>
        <w:tc>
          <w:tcPr>
            <w:tcW w:w="1080" w:type="dxa"/>
            <w:shd w:val="clear" w:color="auto" w:fill="auto"/>
            <w:vAlign w:val="center"/>
          </w:tcPr>
          <w:p w:rsidR="00442A1D">
            <w:pPr>
              <w:pStyle w:val="NoList"/>
              <w:jc w:val="center"/>
              <w:rPr>
                <w:rFonts w:hint="eastAsia"/>
                <w:szCs w:val="21"/>
              </w:rPr>
            </w:pPr>
            <w:r>
              <w:rPr>
                <w:rFonts w:hint="eastAsia"/>
                <w:szCs w:val="21"/>
              </w:rPr>
              <w:t>新疆内蒙</w:t>
            </w:r>
          </w:p>
        </w:tc>
        <w:tc>
          <w:tcPr>
            <w:tcW w:w="2096" w:type="dxa"/>
            <w:shd w:val="clear" w:color="auto" w:fill="auto"/>
            <w:vAlign w:val="center"/>
          </w:tcPr>
          <w:p w:rsidR="00442A1D">
            <w:pPr>
              <w:pStyle w:val="NoList"/>
              <w:rPr>
                <w:rFonts w:hint="eastAsia"/>
                <w:szCs w:val="21"/>
              </w:rPr>
            </w:pPr>
          </w:p>
        </w:tc>
      </w:tr>
      <w:tr>
        <w:tblPrEx>
          <w:tblW w:w="13591" w:type="dxa"/>
          <w:jc w:val="center"/>
          <w:tblInd w:w="108" w:type="dxa"/>
          <w:tblLayout w:type="fixed"/>
          <w:tblLook w:val="0000"/>
        </w:tblPrEx>
        <w:trPr>
          <w:trHeight w:val="445"/>
          <w:jc w:val="center"/>
        </w:trPr>
        <w:tc>
          <w:tcPr>
            <w:tcW w:w="1698" w:type="dxa"/>
            <w:shd w:val="clear" w:color="auto" w:fill="auto"/>
            <w:vAlign w:val="center"/>
          </w:tcPr>
          <w:p w:rsidR="00442A1D">
            <w:pPr>
              <w:pStyle w:val="NoList"/>
              <w:jc w:val="center"/>
              <w:rPr>
                <w:rFonts w:hint="eastAsia"/>
                <w:szCs w:val="21"/>
              </w:rPr>
            </w:pPr>
            <w:r>
              <w:rPr>
                <w:rFonts w:hint="eastAsia"/>
                <w:szCs w:val="21"/>
              </w:rPr>
              <w:t>化工原料</w:t>
            </w:r>
          </w:p>
        </w:tc>
        <w:tc>
          <w:tcPr>
            <w:tcW w:w="1133" w:type="dxa"/>
            <w:shd w:val="clear" w:color="auto" w:fill="auto"/>
            <w:vAlign w:val="center"/>
          </w:tcPr>
          <w:p w:rsidR="00442A1D">
            <w:pPr>
              <w:pStyle w:val="NoList"/>
              <w:jc w:val="center"/>
              <w:rPr>
                <w:rFonts w:hint="eastAsia"/>
                <w:szCs w:val="21"/>
              </w:rPr>
            </w:pPr>
            <w:r>
              <w:rPr>
                <w:szCs w:val="21"/>
              </w:rPr>
              <w:t>3</w:t>
            </w:r>
          </w:p>
        </w:tc>
        <w:tc>
          <w:tcPr>
            <w:tcW w:w="1136" w:type="dxa"/>
            <w:shd w:val="clear" w:color="auto" w:fill="auto"/>
            <w:vAlign w:val="center"/>
          </w:tcPr>
          <w:p w:rsidR="00442A1D">
            <w:pPr>
              <w:pStyle w:val="NoList"/>
              <w:jc w:val="center"/>
              <w:rPr>
                <w:rFonts w:hint="eastAsia"/>
                <w:szCs w:val="21"/>
              </w:rPr>
            </w:pPr>
            <w:r>
              <w:rPr>
                <w:szCs w:val="21"/>
              </w:rPr>
              <w:t>6</w:t>
            </w:r>
          </w:p>
        </w:tc>
        <w:tc>
          <w:tcPr>
            <w:tcW w:w="850" w:type="dxa"/>
            <w:shd w:val="clear" w:color="auto" w:fill="auto"/>
            <w:vAlign w:val="center"/>
          </w:tcPr>
          <w:p w:rsidR="00442A1D">
            <w:pPr>
              <w:pStyle w:val="NoList"/>
              <w:jc w:val="center"/>
              <w:rPr>
                <w:rFonts w:hint="eastAsia"/>
                <w:szCs w:val="21"/>
              </w:rPr>
            </w:pPr>
            <w:r>
              <w:rPr>
                <w:szCs w:val="21"/>
              </w:rPr>
              <w:t>3</w:t>
            </w:r>
          </w:p>
        </w:tc>
        <w:tc>
          <w:tcPr>
            <w:tcW w:w="1108" w:type="dxa"/>
            <w:shd w:val="clear" w:color="auto" w:fill="auto"/>
            <w:vAlign w:val="center"/>
          </w:tcPr>
          <w:p w:rsidR="00442A1D">
            <w:pPr>
              <w:pStyle w:val="NoList"/>
              <w:jc w:val="center"/>
              <w:rPr>
                <w:rFonts w:hint="eastAsia"/>
                <w:szCs w:val="21"/>
              </w:rPr>
            </w:pPr>
          </w:p>
        </w:tc>
        <w:tc>
          <w:tcPr>
            <w:tcW w:w="876" w:type="dxa"/>
            <w:shd w:val="clear" w:color="auto" w:fill="auto"/>
            <w:vAlign w:val="center"/>
          </w:tcPr>
          <w:p w:rsidR="00442A1D">
            <w:pPr>
              <w:pStyle w:val="NoList"/>
              <w:jc w:val="center"/>
              <w:rPr>
                <w:rFonts w:hint="eastAsia"/>
                <w:szCs w:val="21"/>
              </w:rPr>
            </w:pPr>
            <w:r>
              <w:rPr>
                <w:szCs w:val="21"/>
              </w:rPr>
              <w:t>3</w:t>
            </w:r>
          </w:p>
        </w:tc>
        <w:tc>
          <w:tcPr>
            <w:tcW w:w="850" w:type="dxa"/>
            <w:shd w:val="clear" w:color="auto" w:fill="auto"/>
            <w:vAlign w:val="center"/>
          </w:tcPr>
          <w:p w:rsidR="00442A1D">
            <w:pPr>
              <w:pStyle w:val="NoList"/>
              <w:jc w:val="center"/>
              <w:rPr>
                <w:rFonts w:hint="eastAsia"/>
                <w:szCs w:val="21"/>
              </w:rPr>
            </w:pPr>
            <w:r>
              <w:rPr>
                <w:szCs w:val="21"/>
              </w:rPr>
              <w:t>6</w:t>
            </w:r>
          </w:p>
        </w:tc>
        <w:tc>
          <w:tcPr>
            <w:tcW w:w="850" w:type="dxa"/>
            <w:shd w:val="clear" w:color="auto" w:fill="auto"/>
            <w:vAlign w:val="center"/>
          </w:tcPr>
          <w:p w:rsidR="00442A1D">
            <w:pPr>
              <w:pStyle w:val="NoList"/>
              <w:jc w:val="center"/>
              <w:rPr>
                <w:rFonts w:hint="eastAsia"/>
                <w:szCs w:val="21"/>
              </w:rPr>
            </w:pPr>
          </w:p>
        </w:tc>
        <w:tc>
          <w:tcPr>
            <w:tcW w:w="856" w:type="dxa"/>
            <w:shd w:val="clear" w:color="auto" w:fill="auto"/>
            <w:vAlign w:val="center"/>
          </w:tcPr>
          <w:p w:rsidR="00442A1D">
            <w:pPr>
              <w:pStyle w:val="NoList"/>
              <w:jc w:val="center"/>
              <w:rPr>
                <w:rFonts w:hint="eastAsia"/>
                <w:szCs w:val="21"/>
              </w:rPr>
            </w:pPr>
            <w:r>
              <w:rPr>
                <w:szCs w:val="21"/>
              </w:rPr>
              <w:t>6</w:t>
            </w:r>
          </w:p>
        </w:tc>
        <w:tc>
          <w:tcPr>
            <w:tcW w:w="1058" w:type="dxa"/>
            <w:shd w:val="clear" w:color="auto" w:fill="auto"/>
            <w:vAlign w:val="center"/>
          </w:tcPr>
          <w:p w:rsidR="00442A1D">
            <w:pPr>
              <w:pStyle w:val="NoList"/>
              <w:jc w:val="center"/>
              <w:rPr>
                <w:rFonts w:hint="eastAsia"/>
                <w:szCs w:val="21"/>
              </w:rPr>
            </w:pPr>
            <w:r>
              <w:rPr>
                <w:rFonts w:hint="eastAsia"/>
                <w:szCs w:val="21"/>
              </w:rPr>
              <w:t>固体</w:t>
            </w:r>
          </w:p>
        </w:tc>
        <w:tc>
          <w:tcPr>
            <w:tcW w:w="1080" w:type="dxa"/>
            <w:shd w:val="clear" w:color="auto" w:fill="auto"/>
            <w:vAlign w:val="center"/>
          </w:tcPr>
          <w:p w:rsidR="00442A1D">
            <w:pPr>
              <w:pStyle w:val="NoList"/>
              <w:jc w:val="center"/>
              <w:rPr>
                <w:rFonts w:hint="eastAsia"/>
                <w:szCs w:val="21"/>
              </w:rPr>
            </w:pPr>
            <w:r>
              <w:rPr>
                <w:rFonts w:hint="eastAsia"/>
                <w:szCs w:val="21"/>
              </w:rPr>
              <w:t>江苏</w:t>
            </w:r>
          </w:p>
        </w:tc>
        <w:tc>
          <w:tcPr>
            <w:tcW w:w="2096" w:type="dxa"/>
            <w:shd w:val="clear" w:color="auto" w:fill="auto"/>
            <w:vAlign w:val="center"/>
          </w:tcPr>
          <w:p w:rsidR="00442A1D">
            <w:pPr>
              <w:pStyle w:val="NoList"/>
              <w:rPr>
                <w:rFonts w:hint="eastAsia"/>
                <w:szCs w:val="21"/>
              </w:rPr>
            </w:pPr>
          </w:p>
        </w:tc>
      </w:tr>
      <w:tr>
        <w:tblPrEx>
          <w:tblW w:w="13591" w:type="dxa"/>
          <w:jc w:val="center"/>
          <w:tblInd w:w="108" w:type="dxa"/>
          <w:tblLayout w:type="fixed"/>
          <w:tblLook w:val="0000"/>
        </w:tblPrEx>
        <w:trPr>
          <w:trHeight w:val="445"/>
          <w:jc w:val="center"/>
        </w:trPr>
        <w:tc>
          <w:tcPr>
            <w:tcW w:w="1698" w:type="dxa"/>
            <w:shd w:val="clear" w:color="auto" w:fill="auto"/>
            <w:vAlign w:val="center"/>
          </w:tcPr>
          <w:p w:rsidR="00442A1D">
            <w:pPr>
              <w:pStyle w:val="NoList"/>
              <w:jc w:val="center"/>
              <w:rPr>
                <w:rFonts w:hint="eastAsia"/>
                <w:szCs w:val="21"/>
              </w:rPr>
            </w:pPr>
            <w:r>
              <w:rPr>
                <w:rFonts w:hint="eastAsia"/>
                <w:szCs w:val="21"/>
              </w:rPr>
              <w:t>甲醇</w:t>
            </w:r>
          </w:p>
        </w:tc>
        <w:tc>
          <w:tcPr>
            <w:tcW w:w="1133" w:type="dxa"/>
            <w:shd w:val="clear" w:color="auto" w:fill="auto"/>
            <w:vAlign w:val="center"/>
          </w:tcPr>
          <w:p w:rsidR="00442A1D">
            <w:pPr>
              <w:pStyle w:val="NoList"/>
              <w:jc w:val="center"/>
              <w:rPr>
                <w:rFonts w:hint="eastAsia"/>
                <w:szCs w:val="21"/>
              </w:rPr>
            </w:pPr>
            <w:r>
              <w:rPr>
                <w:szCs w:val="21"/>
              </w:rPr>
              <w:t>10</w:t>
            </w:r>
          </w:p>
        </w:tc>
        <w:tc>
          <w:tcPr>
            <w:tcW w:w="1136" w:type="dxa"/>
            <w:shd w:val="clear" w:color="auto" w:fill="auto"/>
            <w:vAlign w:val="center"/>
          </w:tcPr>
          <w:p w:rsidR="00442A1D">
            <w:pPr>
              <w:pStyle w:val="NoList"/>
              <w:jc w:val="center"/>
              <w:rPr>
                <w:rFonts w:hint="eastAsia"/>
                <w:szCs w:val="21"/>
              </w:rPr>
            </w:pPr>
            <w:r>
              <w:rPr>
                <w:szCs w:val="21"/>
              </w:rPr>
              <w:t>20</w:t>
            </w:r>
          </w:p>
        </w:tc>
        <w:tc>
          <w:tcPr>
            <w:tcW w:w="850" w:type="dxa"/>
            <w:shd w:val="clear" w:color="auto" w:fill="auto"/>
            <w:vAlign w:val="center"/>
          </w:tcPr>
          <w:p w:rsidR="00442A1D">
            <w:pPr>
              <w:pStyle w:val="NoList"/>
              <w:jc w:val="center"/>
              <w:rPr>
                <w:rFonts w:hint="eastAsia"/>
                <w:szCs w:val="21"/>
              </w:rPr>
            </w:pPr>
            <w:r>
              <w:rPr>
                <w:szCs w:val="21"/>
              </w:rPr>
              <w:t>10</w:t>
            </w:r>
          </w:p>
        </w:tc>
        <w:tc>
          <w:tcPr>
            <w:tcW w:w="1108" w:type="dxa"/>
            <w:shd w:val="clear" w:color="auto" w:fill="auto"/>
            <w:vAlign w:val="center"/>
          </w:tcPr>
          <w:p w:rsidR="00442A1D">
            <w:pPr>
              <w:pStyle w:val="NoList"/>
              <w:jc w:val="center"/>
              <w:rPr>
                <w:rFonts w:hint="eastAsia"/>
                <w:szCs w:val="21"/>
              </w:rPr>
            </w:pPr>
          </w:p>
        </w:tc>
        <w:tc>
          <w:tcPr>
            <w:tcW w:w="876" w:type="dxa"/>
            <w:shd w:val="clear" w:color="auto" w:fill="auto"/>
            <w:vAlign w:val="center"/>
          </w:tcPr>
          <w:p w:rsidR="00442A1D">
            <w:pPr>
              <w:pStyle w:val="NoList"/>
              <w:jc w:val="center"/>
              <w:rPr>
                <w:rFonts w:hint="eastAsia"/>
                <w:szCs w:val="21"/>
              </w:rPr>
            </w:pPr>
            <w:r>
              <w:rPr>
                <w:szCs w:val="21"/>
              </w:rPr>
              <w:t>10</w:t>
            </w:r>
          </w:p>
        </w:tc>
        <w:tc>
          <w:tcPr>
            <w:tcW w:w="850" w:type="dxa"/>
            <w:shd w:val="clear" w:color="auto" w:fill="auto"/>
            <w:vAlign w:val="center"/>
          </w:tcPr>
          <w:p w:rsidR="00442A1D">
            <w:pPr>
              <w:pStyle w:val="NoList"/>
              <w:jc w:val="center"/>
              <w:rPr>
                <w:rFonts w:hint="eastAsia"/>
                <w:szCs w:val="21"/>
              </w:rPr>
            </w:pPr>
            <w:r>
              <w:rPr>
                <w:szCs w:val="21"/>
              </w:rPr>
              <w:t>20</w:t>
            </w:r>
          </w:p>
        </w:tc>
        <w:tc>
          <w:tcPr>
            <w:tcW w:w="850" w:type="dxa"/>
            <w:shd w:val="clear" w:color="auto" w:fill="auto"/>
            <w:vAlign w:val="center"/>
          </w:tcPr>
          <w:p w:rsidR="00442A1D">
            <w:pPr>
              <w:pStyle w:val="NoList"/>
              <w:jc w:val="center"/>
              <w:rPr>
                <w:rFonts w:hint="eastAsia"/>
                <w:szCs w:val="21"/>
              </w:rPr>
            </w:pPr>
          </w:p>
        </w:tc>
        <w:tc>
          <w:tcPr>
            <w:tcW w:w="856" w:type="dxa"/>
            <w:shd w:val="clear" w:color="auto" w:fill="auto"/>
            <w:vAlign w:val="center"/>
          </w:tcPr>
          <w:p w:rsidR="00442A1D">
            <w:pPr>
              <w:pStyle w:val="NoList"/>
              <w:jc w:val="center"/>
              <w:rPr>
                <w:rFonts w:hint="eastAsia"/>
                <w:szCs w:val="21"/>
              </w:rPr>
            </w:pPr>
            <w:r>
              <w:rPr>
                <w:szCs w:val="21"/>
              </w:rPr>
              <w:t>20</w:t>
            </w:r>
          </w:p>
        </w:tc>
        <w:tc>
          <w:tcPr>
            <w:tcW w:w="1058" w:type="dxa"/>
            <w:shd w:val="clear" w:color="auto" w:fill="auto"/>
            <w:vAlign w:val="center"/>
          </w:tcPr>
          <w:p w:rsidR="00442A1D">
            <w:pPr>
              <w:pStyle w:val="NoList"/>
              <w:jc w:val="center"/>
              <w:rPr>
                <w:rFonts w:hint="eastAsia"/>
                <w:szCs w:val="21"/>
              </w:rPr>
            </w:pPr>
            <w:r>
              <w:rPr>
                <w:rFonts w:hint="eastAsia"/>
                <w:szCs w:val="21"/>
              </w:rPr>
              <w:t>液体</w:t>
            </w:r>
          </w:p>
        </w:tc>
        <w:tc>
          <w:tcPr>
            <w:tcW w:w="1080" w:type="dxa"/>
            <w:shd w:val="clear" w:color="auto" w:fill="auto"/>
            <w:vAlign w:val="center"/>
          </w:tcPr>
          <w:p w:rsidR="00442A1D">
            <w:pPr>
              <w:pStyle w:val="NoList"/>
              <w:jc w:val="center"/>
              <w:rPr>
                <w:rFonts w:hint="eastAsia"/>
                <w:szCs w:val="21"/>
              </w:rPr>
            </w:pPr>
          </w:p>
        </w:tc>
        <w:tc>
          <w:tcPr>
            <w:tcW w:w="2096" w:type="dxa"/>
            <w:shd w:val="clear" w:color="auto" w:fill="auto"/>
            <w:vAlign w:val="center"/>
          </w:tcPr>
          <w:p w:rsidR="00442A1D">
            <w:pPr>
              <w:pStyle w:val="NoList"/>
              <w:rPr>
                <w:rFonts w:hint="eastAsia"/>
                <w:szCs w:val="21"/>
              </w:rPr>
            </w:pPr>
            <w:r>
              <w:rPr>
                <w:rFonts w:hint="eastAsia"/>
                <w:szCs w:val="21"/>
              </w:rPr>
              <w:t>川渝、中南、华北西南</w:t>
            </w:r>
          </w:p>
        </w:tc>
      </w:tr>
      <w:tr>
        <w:tblPrEx>
          <w:tblW w:w="13591" w:type="dxa"/>
          <w:jc w:val="center"/>
          <w:tblInd w:w="108" w:type="dxa"/>
          <w:tblLayout w:type="fixed"/>
          <w:tblLook w:val="0000"/>
        </w:tblPrEx>
        <w:trPr>
          <w:trHeight w:val="445"/>
          <w:jc w:val="center"/>
        </w:trPr>
        <w:tc>
          <w:tcPr>
            <w:tcW w:w="1698" w:type="dxa"/>
            <w:shd w:val="clear" w:color="auto" w:fill="auto"/>
            <w:vAlign w:val="center"/>
          </w:tcPr>
          <w:p w:rsidR="00442A1D">
            <w:pPr>
              <w:pStyle w:val="NoList"/>
              <w:jc w:val="center"/>
              <w:rPr>
                <w:rFonts w:hint="eastAsia"/>
                <w:szCs w:val="21"/>
              </w:rPr>
            </w:pPr>
            <w:r>
              <w:rPr>
                <w:rFonts w:hint="eastAsia"/>
                <w:szCs w:val="21"/>
              </w:rPr>
              <w:t>丙烯</w:t>
            </w:r>
          </w:p>
        </w:tc>
        <w:tc>
          <w:tcPr>
            <w:tcW w:w="1133" w:type="dxa"/>
            <w:shd w:val="clear" w:color="auto" w:fill="auto"/>
            <w:vAlign w:val="center"/>
          </w:tcPr>
          <w:p w:rsidR="00442A1D">
            <w:pPr>
              <w:pStyle w:val="NoList"/>
              <w:jc w:val="center"/>
              <w:rPr>
                <w:rFonts w:hint="eastAsia"/>
                <w:szCs w:val="21"/>
              </w:rPr>
            </w:pPr>
            <w:r>
              <w:rPr>
                <w:szCs w:val="21"/>
              </w:rPr>
              <w:t>3</w:t>
            </w:r>
          </w:p>
        </w:tc>
        <w:tc>
          <w:tcPr>
            <w:tcW w:w="1136" w:type="dxa"/>
            <w:shd w:val="clear" w:color="auto" w:fill="auto"/>
            <w:vAlign w:val="center"/>
          </w:tcPr>
          <w:p w:rsidR="00442A1D">
            <w:pPr>
              <w:pStyle w:val="NoList"/>
              <w:jc w:val="center"/>
              <w:rPr>
                <w:rFonts w:hint="eastAsia"/>
                <w:szCs w:val="21"/>
              </w:rPr>
            </w:pPr>
            <w:r>
              <w:rPr>
                <w:szCs w:val="21"/>
              </w:rPr>
              <w:t>3</w:t>
            </w:r>
          </w:p>
        </w:tc>
        <w:tc>
          <w:tcPr>
            <w:tcW w:w="850" w:type="dxa"/>
            <w:shd w:val="clear" w:color="auto" w:fill="auto"/>
            <w:vAlign w:val="center"/>
          </w:tcPr>
          <w:p w:rsidR="00442A1D">
            <w:pPr>
              <w:pStyle w:val="NoList"/>
              <w:jc w:val="center"/>
              <w:rPr>
                <w:rFonts w:hint="eastAsia"/>
                <w:szCs w:val="21"/>
              </w:rPr>
            </w:pPr>
            <w:r>
              <w:rPr>
                <w:szCs w:val="21"/>
              </w:rPr>
              <w:t>3</w:t>
            </w:r>
          </w:p>
        </w:tc>
        <w:tc>
          <w:tcPr>
            <w:tcW w:w="1108" w:type="dxa"/>
            <w:shd w:val="clear" w:color="auto" w:fill="auto"/>
            <w:vAlign w:val="center"/>
          </w:tcPr>
          <w:p w:rsidR="00442A1D">
            <w:pPr>
              <w:pStyle w:val="NoList"/>
              <w:jc w:val="center"/>
              <w:rPr>
                <w:rFonts w:hint="eastAsia"/>
                <w:szCs w:val="21"/>
              </w:rPr>
            </w:pPr>
          </w:p>
        </w:tc>
        <w:tc>
          <w:tcPr>
            <w:tcW w:w="876" w:type="dxa"/>
            <w:shd w:val="clear" w:color="auto" w:fill="auto"/>
            <w:vAlign w:val="center"/>
          </w:tcPr>
          <w:p w:rsidR="00442A1D">
            <w:pPr>
              <w:pStyle w:val="NoList"/>
              <w:jc w:val="center"/>
              <w:rPr>
                <w:rFonts w:hint="eastAsia"/>
                <w:szCs w:val="21"/>
              </w:rPr>
            </w:pPr>
            <w:r>
              <w:rPr>
                <w:szCs w:val="21"/>
              </w:rPr>
              <w:t>3</w:t>
            </w:r>
          </w:p>
        </w:tc>
        <w:tc>
          <w:tcPr>
            <w:tcW w:w="850" w:type="dxa"/>
            <w:shd w:val="clear" w:color="auto" w:fill="auto"/>
            <w:vAlign w:val="center"/>
          </w:tcPr>
          <w:p w:rsidR="00442A1D">
            <w:pPr>
              <w:pStyle w:val="NoList"/>
              <w:jc w:val="center"/>
              <w:rPr>
                <w:rFonts w:hint="eastAsia"/>
                <w:szCs w:val="21"/>
              </w:rPr>
            </w:pPr>
            <w:r>
              <w:rPr>
                <w:szCs w:val="21"/>
              </w:rPr>
              <w:t>3</w:t>
            </w:r>
          </w:p>
        </w:tc>
        <w:tc>
          <w:tcPr>
            <w:tcW w:w="850" w:type="dxa"/>
            <w:shd w:val="clear" w:color="auto" w:fill="auto"/>
            <w:vAlign w:val="center"/>
          </w:tcPr>
          <w:p w:rsidR="00442A1D">
            <w:pPr>
              <w:pStyle w:val="NoList"/>
              <w:jc w:val="center"/>
              <w:rPr>
                <w:rFonts w:hint="eastAsia"/>
                <w:szCs w:val="21"/>
              </w:rPr>
            </w:pPr>
          </w:p>
        </w:tc>
        <w:tc>
          <w:tcPr>
            <w:tcW w:w="856" w:type="dxa"/>
            <w:shd w:val="clear" w:color="auto" w:fill="auto"/>
            <w:vAlign w:val="center"/>
          </w:tcPr>
          <w:p w:rsidR="00442A1D">
            <w:pPr>
              <w:pStyle w:val="NoList"/>
              <w:jc w:val="center"/>
              <w:rPr>
                <w:rFonts w:hint="eastAsia"/>
                <w:szCs w:val="21"/>
              </w:rPr>
            </w:pPr>
            <w:r>
              <w:rPr>
                <w:szCs w:val="21"/>
              </w:rPr>
              <w:t>3</w:t>
            </w:r>
          </w:p>
        </w:tc>
        <w:tc>
          <w:tcPr>
            <w:tcW w:w="1058" w:type="dxa"/>
            <w:shd w:val="clear" w:color="auto" w:fill="auto"/>
            <w:vAlign w:val="center"/>
          </w:tcPr>
          <w:p w:rsidR="00442A1D">
            <w:pPr>
              <w:pStyle w:val="NoList"/>
              <w:jc w:val="center"/>
              <w:rPr>
                <w:rFonts w:hint="eastAsia"/>
                <w:szCs w:val="21"/>
              </w:rPr>
            </w:pPr>
            <w:r>
              <w:rPr>
                <w:rFonts w:hint="eastAsia"/>
                <w:szCs w:val="21"/>
              </w:rPr>
              <w:t>液体</w:t>
            </w:r>
          </w:p>
        </w:tc>
        <w:tc>
          <w:tcPr>
            <w:tcW w:w="1080" w:type="dxa"/>
            <w:shd w:val="clear" w:color="auto" w:fill="auto"/>
            <w:vAlign w:val="center"/>
          </w:tcPr>
          <w:p w:rsidR="00442A1D">
            <w:pPr>
              <w:pStyle w:val="NoList"/>
              <w:jc w:val="center"/>
              <w:rPr>
                <w:rFonts w:hint="eastAsia"/>
                <w:szCs w:val="21"/>
              </w:rPr>
            </w:pPr>
          </w:p>
        </w:tc>
        <w:tc>
          <w:tcPr>
            <w:tcW w:w="2096" w:type="dxa"/>
            <w:shd w:val="clear" w:color="auto" w:fill="auto"/>
            <w:vAlign w:val="center"/>
          </w:tcPr>
          <w:p w:rsidR="00442A1D">
            <w:pPr>
              <w:pStyle w:val="NoList"/>
              <w:rPr>
                <w:rFonts w:hint="eastAsia"/>
                <w:szCs w:val="21"/>
              </w:rPr>
            </w:pPr>
            <w:r>
              <w:rPr>
                <w:rFonts w:hint="eastAsia"/>
                <w:szCs w:val="21"/>
              </w:rPr>
              <w:t>川渝、中南、华北、西南</w:t>
            </w:r>
          </w:p>
        </w:tc>
      </w:tr>
      <w:tr>
        <w:tblPrEx>
          <w:tblW w:w="13591" w:type="dxa"/>
          <w:jc w:val="center"/>
          <w:tblInd w:w="108" w:type="dxa"/>
          <w:tblLayout w:type="fixed"/>
          <w:tblLook w:val="0000"/>
        </w:tblPrEx>
        <w:trPr>
          <w:trHeight w:val="445"/>
          <w:jc w:val="center"/>
        </w:trPr>
        <w:tc>
          <w:tcPr>
            <w:tcW w:w="1698" w:type="dxa"/>
            <w:shd w:val="clear" w:color="auto" w:fill="auto"/>
            <w:vAlign w:val="center"/>
          </w:tcPr>
          <w:p w:rsidR="00442A1D">
            <w:pPr>
              <w:pStyle w:val="NoList"/>
              <w:jc w:val="center"/>
              <w:rPr>
                <w:rFonts w:hint="eastAsia"/>
                <w:szCs w:val="21"/>
              </w:rPr>
            </w:pPr>
            <w:r>
              <w:rPr>
                <w:rFonts w:hint="eastAsia"/>
                <w:szCs w:val="21"/>
              </w:rPr>
              <w:t>液化气</w:t>
            </w:r>
          </w:p>
        </w:tc>
        <w:tc>
          <w:tcPr>
            <w:tcW w:w="1133" w:type="dxa"/>
            <w:shd w:val="clear" w:color="auto" w:fill="auto"/>
            <w:vAlign w:val="center"/>
          </w:tcPr>
          <w:p w:rsidR="00442A1D">
            <w:pPr>
              <w:pStyle w:val="NoList"/>
              <w:jc w:val="center"/>
              <w:rPr>
                <w:rFonts w:hint="eastAsia"/>
                <w:szCs w:val="21"/>
              </w:rPr>
            </w:pPr>
            <w:r>
              <w:rPr>
                <w:szCs w:val="21"/>
              </w:rPr>
              <w:t>8</w:t>
            </w:r>
          </w:p>
        </w:tc>
        <w:tc>
          <w:tcPr>
            <w:tcW w:w="1136" w:type="dxa"/>
            <w:shd w:val="clear" w:color="auto" w:fill="auto"/>
            <w:vAlign w:val="center"/>
          </w:tcPr>
          <w:p w:rsidR="00442A1D">
            <w:pPr>
              <w:pStyle w:val="NoList"/>
              <w:jc w:val="center"/>
              <w:rPr>
                <w:rFonts w:hint="eastAsia"/>
                <w:szCs w:val="21"/>
              </w:rPr>
            </w:pPr>
            <w:r>
              <w:rPr>
                <w:szCs w:val="21"/>
              </w:rPr>
              <w:t>16</w:t>
            </w:r>
          </w:p>
        </w:tc>
        <w:tc>
          <w:tcPr>
            <w:tcW w:w="850" w:type="dxa"/>
            <w:shd w:val="clear" w:color="auto" w:fill="auto"/>
            <w:vAlign w:val="center"/>
          </w:tcPr>
          <w:p w:rsidR="00442A1D">
            <w:pPr>
              <w:pStyle w:val="NoList"/>
              <w:jc w:val="center"/>
              <w:rPr>
                <w:rFonts w:hint="eastAsia"/>
                <w:szCs w:val="21"/>
              </w:rPr>
            </w:pPr>
          </w:p>
        </w:tc>
        <w:tc>
          <w:tcPr>
            <w:tcW w:w="1108" w:type="dxa"/>
            <w:shd w:val="clear" w:color="auto" w:fill="auto"/>
            <w:vAlign w:val="center"/>
          </w:tcPr>
          <w:p w:rsidR="00442A1D">
            <w:pPr>
              <w:pStyle w:val="NoList"/>
              <w:jc w:val="center"/>
              <w:rPr>
                <w:rFonts w:hint="eastAsia"/>
                <w:szCs w:val="21"/>
              </w:rPr>
            </w:pPr>
            <w:r>
              <w:rPr>
                <w:szCs w:val="21"/>
              </w:rPr>
              <w:t>8</w:t>
            </w:r>
          </w:p>
        </w:tc>
        <w:tc>
          <w:tcPr>
            <w:tcW w:w="876" w:type="dxa"/>
            <w:shd w:val="clear" w:color="auto" w:fill="auto"/>
            <w:vAlign w:val="center"/>
          </w:tcPr>
          <w:p w:rsidR="00442A1D">
            <w:pPr>
              <w:pStyle w:val="NoList"/>
              <w:jc w:val="center"/>
              <w:rPr>
                <w:rFonts w:hint="eastAsia"/>
                <w:szCs w:val="21"/>
              </w:rPr>
            </w:pPr>
            <w:r>
              <w:rPr>
                <w:szCs w:val="21"/>
              </w:rPr>
              <w:t>8</w:t>
            </w:r>
          </w:p>
        </w:tc>
        <w:tc>
          <w:tcPr>
            <w:tcW w:w="850" w:type="dxa"/>
            <w:shd w:val="clear" w:color="auto" w:fill="auto"/>
            <w:vAlign w:val="center"/>
          </w:tcPr>
          <w:p w:rsidR="00442A1D">
            <w:pPr>
              <w:pStyle w:val="NoList"/>
              <w:jc w:val="center"/>
              <w:rPr>
                <w:rFonts w:hint="eastAsia"/>
                <w:szCs w:val="21"/>
              </w:rPr>
            </w:pPr>
          </w:p>
        </w:tc>
        <w:tc>
          <w:tcPr>
            <w:tcW w:w="850" w:type="dxa"/>
            <w:shd w:val="clear" w:color="auto" w:fill="auto"/>
            <w:vAlign w:val="center"/>
          </w:tcPr>
          <w:p w:rsidR="00442A1D">
            <w:pPr>
              <w:pStyle w:val="NoList"/>
              <w:jc w:val="center"/>
              <w:rPr>
                <w:rFonts w:hint="eastAsia"/>
                <w:szCs w:val="21"/>
              </w:rPr>
            </w:pPr>
            <w:r>
              <w:rPr>
                <w:szCs w:val="21"/>
              </w:rPr>
              <w:t>16</w:t>
            </w:r>
          </w:p>
        </w:tc>
        <w:tc>
          <w:tcPr>
            <w:tcW w:w="856" w:type="dxa"/>
            <w:shd w:val="clear" w:color="auto" w:fill="auto"/>
            <w:vAlign w:val="center"/>
          </w:tcPr>
          <w:p w:rsidR="00442A1D">
            <w:pPr>
              <w:pStyle w:val="NoList"/>
              <w:jc w:val="center"/>
              <w:rPr>
                <w:rFonts w:hint="eastAsia"/>
                <w:szCs w:val="21"/>
              </w:rPr>
            </w:pPr>
            <w:r>
              <w:rPr>
                <w:szCs w:val="21"/>
              </w:rPr>
              <w:t>16</w:t>
            </w:r>
          </w:p>
        </w:tc>
        <w:tc>
          <w:tcPr>
            <w:tcW w:w="1058" w:type="dxa"/>
            <w:shd w:val="clear" w:color="auto" w:fill="auto"/>
            <w:vAlign w:val="center"/>
          </w:tcPr>
          <w:p w:rsidR="00442A1D">
            <w:pPr>
              <w:pStyle w:val="NoList"/>
              <w:jc w:val="center"/>
              <w:rPr>
                <w:rFonts w:hint="eastAsia"/>
                <w:szCs w:val="21"/>
              </w:rPr>
            </w:pPr>
            <w:r>
              <w:rPr>
                <w:rFonts w:hint="eastAsia"/>
                <w:szCs w:val="21"/>
              </w:rPr>
              <w:t>气体</w:t>
            </w:r>
          </w:p>
        </w:tc>
        <w:tc>
          <w:tcPr>
            <w:tcW w:w="1080" w:type="dxa"/>
            <w:shd w:val="clear" w:color="auto" w:fill="auto"/>
            <w:vAlign w:val="center"/>
          </w:tcPr>
          <w:p w:rsidR="00442A1D">
            <w:pPr>
              <w:pStyle w:val="NoList"/>
              <w:jc w:val="center"/>
              <w:rPr>
                <w:rFonts w:hint="eastAsia"/>
                <w:szCs w:val="21"/>
              </w:rPr>
            </w:pPr>
            <w:r>
              <w:rPr>
                <w:rFonts w:hint="eastAsia"/>
                <w:szCs w:val="21"/>
              </w:rPr>
              <w:t>广东湖南</w:t>
            </w:r>
          </w:p>
        </w:tc>
        <w:tc>
          <w:tcPr>
            <w:tcW w:w="2096" w:type="dxa"/>
            <w:shd w:val="clear" w:color="auto" w:fill="auto"/>
            <w:vAlign w:val="center"/>
          </w:tcPr>
          <w:p w:rsidR="00442A1D">
            <w:pPr>
              <w:pStyle w:val="NoList"/>
              <w:rPr>
                <w:rFonts w:hint="eastAsia"/>
                <w:szCs w:val="21"/>
              </w:rPr>
            </w:pPr>
          </w:p>
        </w:tc>
      </w:tr>
      <w:tr>
        <w:tblPrEx>
          <w:tblW w:w="13591" w:type="dxa"/>
          <w:jc w:val="center"/>
          <w:tblInd w:w="108" w:type="dxa"/>
          <w:tblLayout w:type="fixed"/>
          <w:tblLook w:val="0000"/>
        </w:tblPrEx>
        <w:trPr>
          <w:trHeight w:val="445"/>
          <w:jc w:val="center"/>
        </w:trPr>
        <w:tc>
          <w:tcPr>
            <w:tcW w:w="1698" w:type="dxa"/>
            <w:shd w:val="clear" w:color="auto" w:fill="auto"/>
            <w:vAlign w:val="center"/>
          </w:tcPr>
          <w:p w:rsidR="00442A1D">
            <w:pPr>
              <w:pStyle w:val="NoList"/>
              <w:jc w:val="center"/>
              <w:rPr>
                <w:rFonts w:hint="eastAsia"/>
                <w:szCs w:val="21"/>
              </w:rPr>
            </w:pPr>
            <w:r>
              <w:rPr>
                <w:rFonts w:hint="eastAsia"/>
                <w:szCs w:val="21"/>
              </w:rPr>
              <w:t>汽油</w:t>
            </w:r>
          </w:p>
        </w:tc>
        <w:tc>
          <w:tcPr>
            <w:tcW w:w="1133" w:type="dxa"/>
            <w:shd w:val="clear" w:color="auto" w:fill="auto"/>
            <w:vAlign w:val="center"/>
          </w:tcPr>
          <w:p w:rsidR="00442A1D">
            <w:pPr>
              <w:pStyle w:val="NoList"/>
              <w:jc w:val="center"/>
              <w:rPr>
                <w:rFonts w:hint="eastAsia"/>
                <w:szCs w:val="21"/>
              </w:rPr>
            </w:pPr>
            <w:r>
              <w:rPr>
                <w:szCs w:val="21"/>
              </w:rPr>
              <w:t>20</w:t>
            </w:r>
          </w:p>
        </w:tc>
        <w:tc>
          <w:tcPr>
            <w:tcW w:w="1136" w:type="dxa"/>
            <w:shd w:val="clear" w:color="auto" w:fill="auto"/>
            <w:vAlign w:val="center"/>
          </w:tcPr>
          <w:p w:rsidR="00442A1D">
            <w:pPr>
              <w:pStyle w:val="NoList"/>
              <w:jc w:val="center"/>
              <w:rPr>
                <w:rFonts w:hint="eastAsia"/>
                <w:szCs w:val="21"/>
              </w:rPr>
            </w:pPr>
            <w:r>
              <w:rPr>
                <w:szCs w:val="21"/>
              </w:rPr>
              <w:t>39</w:t>
            </w:r>
          </w:p>
        </w:tc>
        <w:tc>
          <w:tcPr>
            <w:tcW w:w="850" w:type="dxa"/>
            <w:shd w:val="clear" w:color="auto" w:fill="auto"/>
            <w:vAlign w:val="center"/>
          </w:tcPr>
          <w:p w:rsidR="00442A1D">
            <w:pPr>
              <w:pStyle w:val="NoList"/>
              <w:jc w:val="center"/>
              <w:rPr>
                <w:rFonts w:hint="eastAsia"/>
                <w:szCs w:val="21"/>
              </w:rPr>
            </w:pPr>
          </w:p>
        </w:tc>
        <w:tc>
          <w:tcPr>
            <w:tcW w:w="1108" w:type="dxa"/>
            <w:shd w:val="clear" w:color="auto" w:fill="auto"/>
            <w:vAlign w:val="center"/>
          </w:tcPr>
          <w:p w:rsidR="00442A1D">
            <w:pPr>
              <w:pStyle w:val="NoList"/>
              <w:jc w:val="center"/>
              <w:rPr>
                <w:rFonts w:hint="eastAsia"/>
                <w:szCs w:val="21"/>
              </w:rPr>
            </w:pPr>
            <w:r>
              <w:rPr>
                <w:szCs w:val="21"/>
              </w:rPr>
              <w:t>20</w:t>
            </w:r>
          </w:p>
        </w:tc>
        <w:tc>
          <w:tcPr>
            <w:tcW w:w="876" w:type="dxa"/>
            <w:shd w:val="clear" w:color="auto" w:fill="auto"/>
            <w:vAlign w:val="center"/>
          </w:tcPr>
          <w:p w:rsidR="00442A1D">
            <w:pPr>
              <w:pStyle w:val="NoList"/>
              <w:jc w:val="center"/>
              <w:rPr>
                <w:rFonts w:hint="eastAsia"/>
                <w:szCs w:val="21"/>
              </w:rPr>
            </w:pPr>
            <w:r>
              <w:rPr>
                <w:szCs w:val="21"/>
              </w:rPr>
              <w:t>20</w:t>
            </w:r>
          </w:p>
        </w:tc>
        <w:tc>
          <w:tcPr>
            <w:tcW w:w="850" w:type="dxa"/>
            <w:shd w:val="clear" w:color="auto" w:fill="auto"/>
            <w:vAlign w:val="center"/>
          </w:tcPr>
          <w:p w:rsidR="00442A1D">
            <w:pPr>
              <w:pStyle w:val="NoList"/>
              <w:jc w:val="center"/>
              <w:rPr>
                <w:rFonts w:hint="eastAsia"/>
                <w:szCs w:val="21"/>
              </w:rPr>
            </w:pPr>
          </w:p>
        </w:tc>
        <w:tc>
          <w:tcPr>
            <w:tcW w:w="850" w:type="dxa"/>
            <w:shd w:val="clear" w:color="auto" w:fill="auto"/>
            <w:vAlign w:val="center"/>
          </w:tcPr>
          <w:p w:rsidR="00442A1D">
            <w:pPr>
              <w:pStyle w:val="NoList"/>
              <w:jc w:val="center"/>
              <w:rPr>
                <w:rFonts w:hint="eastAsia"/>
                <w:szCs w:val="21"/>
              </w:rPr>
            </w:pPr>
            <w:r>
              <w:rPr>
                <w:szCs w:val="21"/>
              </w:rPr>
              <w:t>39</w:t>
            </w:r>
          </w:p>
        </w:tc>
        <w:tc>
          <w:tcPr>
            <w:tcW w:w="856" w:type="dxa"/>
            <w:shd w:val="clear" w:color="auto" w:fill="auto"/>
            <w:vAlign w:val="center"/>
          </w:tcPr>
          <w:p w:rsidR="00442A1D">
            <w:pPr>
              <w:pStyle w:val="NoList"/>
              <w:jc w:val="center"/>
              <w:rPr>
                <w:rFonts w:hint="eastAsia"/>
                <w:szCs w:val="21"/>
              </w:rPr>
            </w:pPr>
            <w:r>
              <w:rPr>
                <w:szCs w:val="21"/>
              </w:rPr>
              <w:t>39</w:t>
            </w:r>
          </w:p>
        </w:tc>
        <w:tc>
          <w:tcPr>
            <w:tcW w:w="1058" w:type="dxa"/>
            <w:shd w:val="clear" w:color="auto" w:fill="auto"/>
            <w:vAlign w:val="center"/>
          </w:tcPr>
          <w:p w:rsidR="00442A1D">
            <w:pPr>
              <w:pStyle w:val="NoList"/>
              <w:jc w:val="center"/>
              <w:rPr>
                <w:rFonts w:hint="eastAsia"/>
                <w:szCs w:val="21"/>
              </w:rPr>
            </w:pPr>
            <w:r>
              <w:rPr>
                <w:rFonts w:hint="eastAsia"/>
                <w:szCs w:val="21"/>
              </w:rPr>
              <w:t>液</w:t>
            </w:r>
            <w:r>
              <w:rPr>
                <w:rFonts w:hint="eastAsia"/>
                <w:szCs w:val="21"/>
              </w:rPr>
              <w:t>体</w:t>
            </w:r>
          </w:p>
        </w:tc>
        <w:tc>
          <w:tcPr>
            <w:tcW w:w="1080" w:type="dxa"/>
            <w:shd w:val="clear" w:color="auto" w:fill="auto"/>
            <w:vAlign w:val="center"/>
          </w:tcPr>
          <w:p w:rsidR="00442A1D">
            <w:pPr>
              <w:pStyle w:val="NoList"/>
              <w:jc w:val="center"/>
              <w:rPr>
                <w:rFonts w:hint="eastAsia"/>
                <w:szCs w:val="21"/>
              </w:rPr>
            </w:pPr>
          </w:p>
        </w:tc>
        <w:tc>
          <w:tcPr>
            <w:tcW w:w="2096" w:type="dxa"/>
            <w:shd w:val="clear" w:color="auto" w:fill="auto"/>
            <w:vAlign w:val="center"/>
          </w:tcPr>
          <w:p w:rsidR="00442A1D">
            <w:pPr>
              <w:pStyle w:val="NoList"/>
              <w:rPr>
                <w:rFonts w:hint="eastAsia"/>
                <w:szCs w:val="21"/>
              </w:rPr>
            </w:pPr>
            <w:r>
              <w:rPr>
                <w:rFonts w:hint="eastAsia"/>
                <w:szCs w:val="21"/>
              </w:rPr>
              <w:t>川渝、中南、华北、华东</w:t>
            </w:r>
          </w:p>
        </w:tc>
      </w:tr>
      <w:tr>
        <w:tblPrEx>
          <w:tblW w:w="13591" w:type="dxa"/>
          <w:jc w:val="center"/>
          <w:tblInd w:w="108" w:type="dxa"/>
          <w:tblLayout w:type="fixed"/>
          <w:tblLook w:val="0000"/>
        </w:tblPrEx>
        <w:trPr>
          <w:trHeight w:val="445"/>
          <w:jc w:val="center"/>
        </w:trPr>
        <w:tc>
          <w:tcPr>
            <w:tcW w:w="1698" w:type="dxa"/>
            <w:shd w:val="clear" w:color="auto" w:fill="auto"/>
            <w:vAlign w:val="center"/>
          </w:tcPr>
          <w:p w:rsidR="00442A1D">
            <w:pPr>
              <w:pStyle w:val="NoList"/>
              <w:jc w:val="center"/>
              <w:rPr>
                <w:rFonts w:hint="eastAsia"/>
                <w:szCs w:val="21"/>
              </w:rPr>
            </w:pPr>
            <w:r>
              <w:rPr>
                <w:rFonts w:hint="eastAsia"/>
                <w:szCs w:val="21"/>
              </w:rPr>
              <w:t>柴油</w:t>
            </w:r>
          </w:p>
        </w:tc>
        <w:tc>
          <w:tcPr>
            <w:tcW w:w="1133" w:type="dxa"/>
            <w:shd w:val="clear" w:color="auto" w:fill="auto"/>
            <w:vAlign w:val="center"/>
          </w:tcPr>
          <w:p w:rsidR="00442A1D">
            <w:pPr>
              <w:pStyle w:val="NoList"/>
              <w:jc w:val="center"/>
              <w:rPr>
                <w:rFonts w:hint="eastAsia"/>
                <w:szCs w:val="21"/>
              </w:rPr>
            </w:pPr>
            <w:r>
              <w:rPr>
                <w:szCs w:val="21"/>
              </w:rPr>
              <w:t>50</w:t>
            </w:r>
          </w:p>
        </w:tc>
        <w:tc>
          <w:tcPr>
            <w:tcW w:w="1136" w:type="dxa"/>
            <w:shd w:val="clear" w:color="auto" w:fill="auto"/>
            <w:vAlign w:val="center"/>
          </w:tcPr>
          <w:p w:rsidR="00442A1D">
            <w:pPr>
              <w:pStyle w:val="NoList"/>
              <w:jc w:val="center"/>
              <w:rPr>
                <w:rFonts w:hint="eastAsia"/>
                <w:szCs w:val="21"/>
              </w:rPr>
            </w:pPr>
            <w:r>
              <w:rPr>
                <w:szCs w:val="21"/>
              </w:rPr>
              <w:t>89</w:t>
            </w:r>
          </w:p>
        </w:tc>
        <w:tc>
          <w:tcPr>
            <w:tcW w:w="850" w:type="dxa"/>
            <w:shd w:val="clear" w:color="auto" w:fill="auto"/>
            <w:vAlign w:val="center"/>
          </w:tcPr>
          <w:p w:rsidR="00442A1D">
            <w:pPr>
              <w:pStyle w:val="NoList"/>
              <w:jc w:val="center"/>
              <w:rPr>
                <w:rFonts w:hint="eastAsia"/>
                <w:szCs w:val="21"/>
              </w:rPr>
            </w:pPr>
          </w:p>
        </w:tc>
        <w:tc>
          <w:tcPr>
            <w:tcW w:w="1108" w:type="dxa"/>
            <w:shd w:val="clear" w:color="auto" w:fill="auto"/>
            <w:vAlign w:val="center"/>
          </w:tcPr>
          <w:p w:rsidR="00442A1D">
            <w:pPr>
              <w:pStyle w:val="NoList"/>
              <w:jc w:val="center"/>
              <w:rPr>
                <w:rFonts w:hint="eastAsia"/>
                <w:szCs w:val="21"/>
              </w:rPr>
            </w:pPr>
            <w:r>
              <w:rPr>
                <w:szCs w:val="21"/>
              </w:rPr>
              <w:t>50</w:t>
            </w:r>
          </w:p>
        </w:tc>
        <w:tc>
          <w:tcPr>
            <w:tcW w:w="876" w:type="dxa"/>
            <w:shd w:val="clear" w:color="auto" w:fill="auto"/>
            <w:vAlign w:val="center"/>
          </w:tcPr>
          <w:p w:rsidR="00442A1D">
            <w:pPr>
              <w:pStyle w:val="NoList"/>
              <w:jc w:val="center"/>
              <w:rPr>
                <w:rFonts w:hint="eastAsia"/>
                <w:szCs w:val="21"/>
              </w:rPr>
            </w:pPr>
            <w:r>
              <w:rPr>
                <w:szCs w:val="21"/>
              </w:rPr>
              <w:t>50</w:t>
            </w:r>
          </w:p>
        </w:tc>
        <w:tc>
          <w:tcPr>
            <w:tcW w:w="850" w:type="dxa"/>
            <w:shd w:val="clear" w:color="auto" w:fill="auto"/>
            <w:vAlign w:val="center"/>
          </w:tcPr>
          <w:p w:rsidR="00442A1D">
            <w:pPr>
              <w:pStyle w:val="NoList"/>
              <w:jc w:val="center"/>
              <w:rPr>
                <w:rFonts w:hint="eastAsia"/>
                <w:szCs w:val="21"/>
              </w:rPr>
            </w:pPr>
          </w:p>
        </w:tc>
        <w:tc>
          <w:tcPr>
            <w:tcW w:w="850" w:type="dxa"/>
            <w:shd w:val="clear" w:color="auto" w:fill="auto"/>
            <w:vAlign w:val="center"/>
          </w:tcPr>
          <w:p w:rsidR="00442A1D">
            <w:pPr>
              <w:pStyle w:val="NoList"/>
              <w:jc w:val="center"/>
              <w:rPr>
                <w:rFonts w:hint="eastAsia"/>
                <w:szCs w:val="21"/>
              </w:rPr>
            </w:pPr>
            <w:r>
              <w:rPr>
                <w:szCs w:val="21"/>
              </w:rPr>
              <w:t>89</w:t>
            </w:r>
          </w:p>
        </w:tc>
        <w:tc>
          <w:tcPr>
            <w:tcW w:w="856" w:type="dxa"/>
            <w:shd w:val="clear" w:color="auto" w:fill="auto"/>
            <w:vAlign w:val="center"/>
          </w:tcPr>
          <w:p w:rsidR="00442A1D">
            <w:pPr>
              <w:pStyle w:val="NoList"/>
              <w:jc w:val="center"/>
              <w:rPr>
                <w:rFonts w:hint="eastAsia"/>
                <w:szCs w:val="21"/>
              </w:rPr>
            </w:pPr>
            <w:r>
              <w:rPr>
                <w:szCs w:val="21"/>
              </w:rPr>
              <w:t>89</w:t>
            </w:r>
          </w:p>
        </w:tc>
        <w:tc>
          <w:tcPr>
            <w:tcW w:w="1058" w:type="dxa"/>
            <w:shd w:val="clear" w:color="auto" w:fill="auto"/>
            <w:vAlign w:val="center"/>
          </w:tcPr>
          <w:p w:rsidR="00442A1D">
            <w:pPr>
              <w:pStyle w:val="NoList"/>
              <w:jc w:val="center"/>
              <w:rPr>
                <w:rFonts w:hint="eastAsia"/>
                <w:szCs w:val="21"/>
              </w:rPr>
            </w:pPr>
            <w:r>
              <w:rPr>
                <w:rFonts w:hint="eastAsia"/>
                <w:szCs w:val="21"/>
              </w:rPr>
              <w:t>液体</w:t>
            </w:r>
          </w:p>
        </w:tc>
        <w:tc>
          <w:tcPr>
            <w:tcW w:w="1080" w:type="dxa"/>
            <w:shd w:val="clear" w:color="auto" w:fill="auto"/>
            <w:vAlign w:val="center"/>
          </w:tcPr>
          <w:p w:rsidR="00442A1D">
            <w:pPr>
              <w:pStyle w:val="NoList"/>
              <w:jc w:val="center"/>
              <w:rPr>
                <w:rFonts w:hint="eastAsia"/>
                <w:szCs w:val="21"/>
              </w:rPr>
            </w:pPr>
          </w:p>
        </w:tc>
        <w:tc>
          <w:tcPr>
            <w:tcW w:w="2096" w:type="dxa"/>
            <w:shd w:val="clear" w:color="auto" w:fill="auto"/>
            <w:vAlign w:val="center"/>
          </w:tcPr>
          <w:p w:rsidR="00442A1D">
            <w:pPr>
              <w:pStyle w:val="NoList"/>
              <w:rPr>
                <w:rFonts w:hint="eastAsia"/>
                <w:szCs w:val="21"/>
              </w:rPr>
            </w:pPr>
            <w:r>
              <w:rPr>
                <w:rFonts w:hint="eastAsia"/>
                <w:szCs w:val="21"/>
              </w:rPr>
              <w:t>包头、河</w:t>
            </w:r>
            <w:r>
              <w:rPr>
                <w:rFonts w:hint="eastAsia"/>
                <w:szCs w:val="21"/>
              </w:rPr>
              <w:t>南</w:t>
            </w:r>
          </w:p>
        </w:tc>
      </w:tr>
      <w:tr>
        <w:tblPrEx>
          <w:tblW w:w="13591" w:type="dxa"/>
          <w:jc w:val="center"/>
          <w:tblInd w:w="108" w:type="dxa"/>
          <w:tblLayout w:type="fixed"/>
          <w:tblLook w:val="0000"/>
        </w:tblPrEx>
        <w:trPr>
          <w:trHeight w:val="445"/>
          <w:jc w:val="center"/>
        </w:trPr>
        <w:tc>
          <w:tcPr>
            <w:tcW w:w="1698" w:type="dxa"/>
            <w:shd w:val="clear" w:color="auto" w:fill="auto"/>
            <w:vAlign w:val="center"/>
          </w:tcPr>
          <w:p w:rsidR="00442A1D">
            <w:pPr>
              <w:pStyle w:val="NoList"/>
              <w:jc w:val="center"/>
              <w:rPr>
                <w:rFonts w:hint="eastAsia"/>
                <w:szCs w:val="21"/>
              </w:rPr>
            </w:pPr>
            <w:r>
              <w:rPr>
                <w:rFonts w:hint="eastAsia"/>
                <w:szCs w:val="21"/>
              </w:rPr>
              <w:t>石脑油</w:t>
            </w:r>
          </w:p>
        </w:tc>
        <w:tc>
          <w:tcPr>
            <w:tcW w:w="1133" w:type="dxa"/>
            <w:shd w:val="clear" w:color="auto" w:fill="auto"/>
            <w:vAlign w:val="center"/>
          </w:tcPr>
          <w:p w:rsidR="00442A1D">
            <w:pPr>
              <w:pStyle w:val="NoList"/>
              <w:jc w:val="center"/>
              <w:rPr>
                <w:rFonts w:hint="eastAsia"/>
                <w:szCs w:val="21"/>
              </w:rPr>
            </w:pPr>
            <w:r>
              <w:rPr>
                <w:szCs w:val="21"/>
              </w:rPr>
              <w:t>10</w:t>
            </w:r>
          </w:p>
        </w:tc>
        <w:tc>
          <w:tcPr>
            <w:tcW w:w="1136" w:type="dxa"/>
            <w:shd w:val="clear" w:color="auto" w:fill="auto"/>
            <w:vAlign w:val="center"/>
          </w:tcPr>
          <w:p w:rsidR="00442A1D">
            <w:pPr>
              <w:pStyle w:val="NoList"/>
              <w:jc w:val="center"/>
              <w:rPr>
                <w:rFonts w:hint="eastAsia"/>
                <w:szCs w:val="21"/>
              </w:rPr>
            </w:pPr>
            <w:r>
              <w:rPr>
                <w:szCs w:val="21"/>
              </w:rPr>
              <w:t>18</w:t>
            </w:r>
          </w:p>
        </w:tc>
        <w:tc>
          <w:tcPr>
            <w:tcW w:w="850" w:type="dxa"/>
            <w:shd w:val="clear" w:color="auto" w:fill="auto"/>
            <w:vAlign w:val="center"/>
          </w:tcPr>
          <w:p w:rsidR="00442A1D">
            <w:pPr>
              <w:pStyle w:val="NoList"/>
              <w:jc w:val="center"/>
              <w:rPr>
                <w:rFonts w:hint="eastAsia"/>
                <w:szCs w:val="21"/>
              </w:rPr>
            </w:pPr>
          </w:p>
        </w:tc>
        <w:tc>
          <w:tcPr>
            <w:tcW w:w="1108" w:type="dxa"/>
            <w:shd w:val="clear" w:color="auto" w:fill="auto"/>
            <w:vAlign w:val="center"/>
          </w:tcPr>
          <w:p w:rsidR="00442A1D">
            <w:pPr>
              <w:pStyle w:val="NoList"/>
              <w:jc w:val="center"/>
              <w:rPr>
                <w:rFonts w:hint="eastAsia"/>
                <w:szCs w:val="21"/>
              </w:rPr>
            </w:pPr>
            <w:r>
              <w:rPr>
                <w:szCs w:val="21"/>
              </w:rPr>
              <w:t>10</w:t>
            </w:r>
          </w:p>
        </w:tc>
        <w:tc>
          <w:tcPr>
            <w:tcW w:w="876" w:type="dxa"/>
            <w:shd w:val="clear" w:color="auto" w:fill="auto"/>
            <w:vAlign w:val="center"/>
          </w:tcPr>
          <w:p w:rsidR="00442A1D">
            <w:pPr>
              <w:pStyle w:val="NoList"/>
              <w:jc w:val="center"/>
              <w:rPr>
                <w:rFonts w:hint="eastAsia"/>
                <w:szCs w:val="21"/>
              </w:rPr>
            </w:pPr>
            <w:r>
              <w:rPr>
                <w:szCs w:val="21"/>
              </w:rPr>
              <w:t>10</w:t>
            </w:r>
          </w:p>
        </w:tc>
        <w:tc>
          <w:tcPr>
            <w:tcW w:w="850" w:type="dxa"/>
            <w:shd w:val="clear" w:color="auto" w:fill="auto"/>
            <w:vAlign w:val="center"/>
          </w:tcPr>
          <w:p w:rsidR="00442A1D">
            <w:pPr>
              <w:pStyle w:val="NoList"/>
              <w:jc w:val="center"/>
              <w:rPr>
                <w:rFonts w:hint="eastAsia"/>
                <w:szCs w:val="21"/>
              </w:rPr>
            </w:pPr>
          </w:p>
        </w:tc>
        <w:tc>
          <w:tcPr>
            <w:tcW w:w="850" w:type="dxa"/>
            <w:shd w:val="clear" w:color="auto" w:fill="auto"/>
            <w:vAlign w:val="center"/>
          </w:tcPr>
          <w:p w:rsidR="00442A1D">
            <w:pPr>
              <w:pStyle w:val="NoList"/>
              <w:jc w:val="center"/>
              <w:rPr>
                <w:rFonts w:hint="eastAsia"/>
                <w:szCs w:val="21"/>
              </w:rPr>
            </w:pPr>
            <w:r>
              <w:rPr>
                <w:szCs w:val="21"/>
              </w:rPr>
              <w:t>18</w:t>
            </w:r>
          </w:p>
        </w:tc>
        <w:tc>
          <w:tcPr>
            <w:tcW w:w="856" w:type="dxa"/>
            <w:shd w:val="clear" w:color="auto" w:fill="auto"/>
            <w:vAlign w:val="center"/>
          </w:tcPr>
          <w:p w:rsidR="00442A1D">
            <w:pPr>
              <w:pStyle w:val="NoList"/>
              <w:jc w:val="center"/>
              <w:rPr>
                <w:rFonts w:hint="eastAsia"/>
                <w:szCs w:val="21"/>
              </w:rPr>
            </w:pPr>
            <w:r>
              <w:rPr>
                <w:szCs w:val="21"/>
              </w:rPr>
              <w:t>18</w:t>
            </w:r>
          </w:p>
        </w:tc>
        <w:tc>
          <w:tcPr>
            <w:tcW w:w="1058" w:type="dxa"/>
            <w:shd w:val="clear" w:color="auto" w:fill="auto"/>
            <w:vAlign w:val="center"/>
          </w:tcPr>
          <w:p w:rsidR="00442A1D">
            <w:pPr>
              <w:pStyle w:val="NoList"/>
              <w:jc w:val="center"/>
              <w:rPr>
                <w:rFonts w:hint="eastAsia"/>
                <w:szCs w:val="21"/>
              </w:rPr>
            </w:pPr>
            <w:r>
              <w:rPr>
                <w:rFonts w:hint="eastAsia"/>
                <w:szCs w:val="21"/>
              </w:rPr>
              <w:t>液体</w:t>
            </w:r>
          </w:p>
        </w:tc>
        <w:tc>
          <w:tcPr>
            <w:tcW w:w="1080" w:type="dxa"/>
            <w:shd w:val="clear" w:color="auto" w:fill="auto"/>
            <w:vAlign w:val="center"/>
          </w:tcPr>
          <w:p w:rsidR="00442A1D">
            <w:pPr>
              <w:pStyle w:val="NoList"/>
              <w:jc w:val="center"/>
              <w:rPr>
                <w:rFonts w:hint="eastAsia"/>
                <w:szCs w:val="21"/>
              </w:rPr>
            </w:pPr>
          </w:p>
        </w:tc>
        <w:tc>
          <w:tcPr>
            <w:tcW w:w="2096" w:type="dxa"/>
            <w:shd w:val="clear" w:color="auto" w:fill="auto"/>
            <w:vAlign w:val="center"/>
          </w:tcPr>
          <w:p w:rsidR="00442A1D">
            <w:pPr>
              <w:pStyle w:val="NoList"/>
              <w:rPr>
                <w:rFonts w:hint="eastAsia"/>
                <w:szCs w:val="21"/>
              </w:rPr>
            </w:pPr>
            <w:r>
              <w:rPr>
                <w:rFonts w:hint="eastAsia"/>
                <w:szCs w:val="21"/>
              </w:rPr>
              <w:t>川渝</w:t>
            </w:r>
          </w:p>
        </w:tc>
      </w:tr>
      <w:tr>
        <w:tblPrEx>
          <w:tblW w:w="13591" w:type="dxa"/>
          <w:jc w:val="center"/>
          <w:tblInd w:w="108" w:type="dxa"/>
          <w:tblLayout w:type="fixed"/>
          <w:tblLook w:val="0000"/>
        </w:tblPrEx>
        <w:trPr>
          <w:trHeight w:val="445"/>
          <w:jc w:val="center"/>
        </w:trPr>
        <w:tc>
          <w:tcPr>
            <w:tcW w:w="1698" w:type="dxa"/>
            <w:shd w:val="clear" w:color="auto" w:fill="auto"/>
            <w:vAlign w:val="center"/>
          </w:tcPr>
          <w:p w:rsidR="00442A1D">
            <w:pPr>
              <w:pStyle w:val="NoList"/>
              <w:jc w:val="center"/>
              <w:rPr>
                <w:rFonts w:hint="eastAsia"/>
                <w:szCs w:val="21"/>
              </w:rPr>
            </w:pPr>
            <w:r>
              <w:rPr>
                <w:rFonts w:hint="eastAsia"/>
                <w:szCs w:val="21"/>
              </w:rPr>
              <w:t>焦碳</w:t>
            </w:r>
          </w:p>
        </w:tc>
        <w:tc>
          <w:tcPr>
            <w:tcW w:w="1133" w:type="dxa"/>
            <w:shd w:val="clear" w:color="auto" w:fill="auto"/>
            <w:vAlign w:val="center"/>
          </w:tcPr>
          <w:p w:rsidR="00442A1D">
            <w:pPr>
              <w:pStyle w:val="NoList"/>
              <w:jc w:val="center"/>
              <w:rPr>
                <w:rFonts w:hint="eastAsia"/>
                <w:szCs w:val="21"/>
              </w:rPr>
            </w:pPr>
            <w:r>
              <w:rPr>
                <w:szCs w:val="21"/>
              </w:rPr>
              <w:t>10</w:t>
            </w:r>
          </w:p>
        </w:tc>
        <w:tc>
          <w:tcPr>
            <w:tcW w:w="1136" w:type="dxa"/>
            <w:shd w:val="clear" w:color="auto" w:fill="auto"/>
            <w:vAlign w:val="center"/>
          </w:tcPr>
          <w:p w:rsidR="00442A1D">
            <w:pPr>
              <w:pStyle w:val="NoList"/>
              <w:jc w:val="center"/>
              <w:rPr>
                <w:rFonts w:hint="eastAsia"/>
                <w:szCs w:val="21"/>
              </w:rPr>
            </w:pPr>
            <w:r>
              <w:rPr>
                <w:szCs w:val="21"/>
              </w:rPr>
              <w:t>21</w:t>
            </w:r>
          </w:p>
        </w:tc>
        <w:tc>
          <w:tcPr>
            <w:tcW w:w="850" w:type="dxa"/>
            <w:shd w:val="clear" w:color="auto" w:fill="auto"/>
            <w:vAlign w:val="center"/>
          </w:tcPr>
          <w:p w:rsidR="00442A1D">
            <w:pPr>
              <w:pStyle w:val="NoList"/>
              <w:jc w:val="center"/>
              <w:rPr>
                <w:rFonts w:hint="eastAsia"/>
                <w:szCs w:val="21"/>
              </w:rPr>
            </w:pPr>
          </w:p>
        </w:tc>
        <w:tc>
          <w:tcPr>
            <w:tcW w:w="1108" w:type="dxa"/>
            <w:shd w:val="clear" w:color="auto" w:fill="auto"/>
            <w:vAlign w:val="center"/>
          </w:tcPr>
          <w:p w:rsidR="00442A1D">
            <w:pPr>
              <w:pStyle w:val="NoList"/>
              <w:jc w:val="center"/>
              <w:rPr>
                <w:rFonts w:hint="eastAsia"/>
                <w:szCs w:val="21"/>
              </w:rPr>
            </w:pPr>
            <w:r>
              <w:rPr>
                <w:szCs w:val="21"/>
              </w:rPr>
              <w:t>10</w:t>
            </w:r>
          </w:p>
        </w:tc>
        <w:tc>
          <w:tcPr>
            <w:tcW w:w="876" w:type="dxa"/>
            <w:shd w:val="clear" w:color="auto" w:fill="auto"/>
            <w:vAlign w:val="center"/>
          </w:tcPr>
          <w:p w:rsidR="00442A1D">
            <w:pPr>
              <w:pStyle w:val="NoList"/>
              <w:jc w:val="center"/>
              <w:rPr>
                <w:rFonts w:hint="eastAsia"/>
                <w:szCs w:val="21"/>
              </w:rPr>
            </w:pPr>
            <w:r>
              <w:rPr>
                <w:szCs w:val="21"/>
              </w:rPr>
              <w:t>10</w:t>
            </w:r>
          </w:p>
        </w:tc>
        <w:tc>
          <w:tcPr>
            <w:tcW w:w="850" w:type="dxa"/>
            <w:shd w:val="clear" w:color="auto" w:fill="auto"/>
            <w:vAlign w:val="center"/>
          </w:tcPr>
          <w:p w:rsidR="00442A1D">
            <w:pPr>
              <w:pStyle w:val="NoList"/>
              <w:jc w:val="center"/>
              <w:rPr>
                <w:rFonts w:hint="eastAsia"/>
                <w:szCs w:val="21"/>
              </w:rPr>
            </w:pPr>
          </w:p>
        </w:tc>
        <w:tc>
          <w:tcPr>
            <w:tcW w:w="850" w:type="dxa"/>
            <w:shd w:val="clear" w:color="auto" w:fill="auto"/>
            <w:vAlign w:val="center"/>
          </w:tcPr>
          <w:p w:rsidR="00442A1D">
            <w:pPr>
              <w:pStyle w:val="NoList"/>
              <w:jc w:val="center"/>
              <w:rPr>
                <w:rFonts w:hint="eastAsia"/>
                <w:szCs w:val="21"/>
              </w:rPr>
            </w:pPr>
            <w:r>
              <w:rPr>
                <w:szCs w:val="21"/>
              </w:rPr>
              <w:t>21</w:t>
            </w:r>
          </w:p>
        </w:tc>
        <w:tc>
          <w:tcPr>
            <w:tcW w:w="856" w:type="dxa"/>
            <w:shd w:val="clear" w:color="auto" w:fill="auto"/>
            <w:vAlign w:val="center"/>
          </w:tcPr>
          <w:p w:rsidR="00442A1D">
            <w:pPr>
              <w:pStyle w:val="NoList"/>
              <w:jc w:val="center"/>
              <w:rPr>
                <w:rFonts w:hint="eastAsia"/>
                <w:szCs w:val="21"/>
              </w:rPr>
            </w:pPr>
            <w:r>
              <w:rPr>
                <w:szCs w:val="21"/>
              </w:rPr>
              <w:t>21</w:t>
            </w:r>
          </w:p>
        </w:tc>
        <w:tc>
          <w:tcPr>
            <w:tcW w:w="1058" w:type="dxa"/>
            <w:shd w:val="clear" w:color="auto" w:fill="auto"/>
            <w:vAlign w:val="center"/>
          </w:tcPr>
          <w:p w:rsidR="00442A1D">
            <w:pPr>
              <w:pStyle w:val="NoList"/>
              <w:jc w:val="center"/>
              <w:rPr>
                <w:rFonts w:hint="eastAsia"/>
                <w:szCs w:val="21"/>
              </w:rPr>
            </w:pPr>
            <w:r>
              <w:rPr>
                <w:rFonts w:hint="eastAsia"/>
                <w:szCs w:val="21"/>
              </w:rPr>
              <w:t>固体</w:t>
            </w:r>
          </w:p>
        </w:tc>
        <w:tc>
          <w:tcPr>
            <w:tcW w:w="1080" w:type="dxa"/>
            <w:shd w:val="clear" w:color="auto" w:fill="auto"/>
            <w:vAlign w:val="center"/>
          </w:tcPr>
          <w:p w:rsidR="00442A1D">
            <w:pPr>
              <w:pStyle w:val="NoList"/>
              <w:jc w:val="center"/>
              <w:rPr>
                <w:rFonts w:hint="eastAsia"/>
                <w:szCs w:val="21"/>
              </w:rPr>
            </w:pPr>
          </w:p>
        </w:tc>
        <w:tc>
          <w:tcPr>
            <w:tcW w:w="2096" w:type="dxa"/>
            <w:shd w:val="clear" w:color="auto" w:fill="auto"/>
            <w:vAlign w:val="center"/>
          </w:tcPr>
          <w:p w:rsidR="00442A1D">
            <w:pPr>
              <w:pStyle w:val="NoList"/>
              <w:rPr>
                <w:rFonts w:hint="eastAsia"/>
                <w:szCs w:val="21"/>
              </w:rPr>
            </w:pPr>
            <w:r>
              <w:rPr>
                <w:rFonts w:hint="eastAsia"/>
                <w:szCs w:val="21"/>
              </w:rPr>
              <w:t>江苏</w:t>
            </w:r>
          </w:p>
        </w:tc>
      </w:tr>
      <w:tr>
        <w:tblPrEx>
          <w:tblW w:w="13591" w:type="dxa"/>
          <w:jc w:val="center"/>
          <w:tblInd w:w="108" w:type="dxa"/>
          <w:tblLayout w:type="fixed"/>
          <w:tblLook w:val="0000"/>
        </w:tblPrEx>
        <w:trPr>
          <w:trHeight w:val="445"/>
          <w:jc w:val="center"/>
        </w:trPr>
        <w:tc>
          <w:tcPr>
            <w:tcW w:w="1698" w:type="dxa"/>
            <w:shd w:val="clear" w:color="auto" w:fill="auto"/>
            <w:vAlign w:val="center"/>
          </w:tcPr>
          <w:p w:rsidR="00442A1D">
            <w:pPr>
              <w:pStyle w:val="NoList"/>
              <w:jc w:val="center"/>
              <w:rPr>
                <w:rFonts w:hint="eastAsia"/>
                <w:szCs w:val="21"/>
              </w:rPr>
            </w:pPr>
            <w:r>
              <w:rPr>
                <w:rFonts w:hint="eastAsia"/>
                <w:szCs w:val="21"/>
              </w:rPr>
              <w:t>聚乙烯</w:t>
            </w:r>
          </w:p>
        </w:tc>
        <w:tc>
          <w:tcPr>
            <w:tcW w:w="1133" w:type="dxa"/>
            <w:shd w:val="clear" w:color="auto" w:fill="auto"/>
            <w:vAlign w:val="center"/>
          </w:tcPr>
          <w:p w:rsidR="00442A1D">
            <w:pPr>
              <w:pStyle w:val="NoList"/>
              <w:jc w:val="center"/>
              <w:rPr>
                <w:rFonts w:hint="eastAsia"/>
                <w:szCs w:val="21"/>
              </w:rPr>
            </w:pPr>
            <w:r>
              <w:rPr>
                <w:szCs w:val="21"/>
              </w:rPr>
              <w:t>10</w:t>
            </w:r>
          </w:p>
        </w:tc>
        <w:tc>
          <w:tcPr>
            <w:tcW w:w="1136" w:type="dxa"/>
            <w:shd w:val="clear" w:color="auto" w:fill="auto"/>
            <w:vAlign w:val="center"/>
          </w:tcPr>
          <w:p w:rsidR="00442A1D">
            <w:pPr>
              <w:pStyle w:val="NoList"/>
              <w:jc w:val="center"/>
              <w:rPr>
                <w:rFonts w:hint="eastAsia"/>
                <w:szCs w:val="21"/>
              </w:rPr>
            </w:pPr>
            <w:r>
              <w:rPr>
                <w:szCs w:val="21"/>
              </w:rPr>
              <w:t>12</w:t>
            </w:r>
          </w:p>
        </w:tc>
        <w:tc>
          <w:tcPr>
            <w:tcW w:w="850" w:type="dxa"/>
            <w:shd w:val="clear" w:color="auto" w:fill="auto"/>
            <w:vAlign w:val="center"/>
          </w:tcPr>
          <w:p w:rsidR="00442A1D">
            <w:pPr>
              <w:pStyle w:val="NoList"/>
              <w:jc w:val="center"/>
              <w:rPr>
                <w:rFonts w:hint="eastAsia"/>
                <w:szCs w:val="21"/>
              </w:rPr>
            </w:pPr>
          </w:p>
        </w:tc>
        <w:tc>
          <w:tcPr>
            <w:tcW w:w="1108" w:type="dxa"/>
            <w:shd w:val="clear" w:color="auto" w:fill="auto"/>
            <w:vAlign w:val="center"/>
          </w:tcPr>
          <w:p w:rsidR="00442A1D">
            <w:pPr>
              <w:pStyle w:val="NoList"/>
              <w:jc w:val="center"/>
              <w:rPr>
                <w:rFonts w:hint="eastAsia"/>
                <w:szCs w:val="21"/>
              </w:rPr>
            </w:pPr>
            <w:r>
              <w:rPr>
                <w:szCs w:val="21"/>
              </w:rPr>
              <w:t>10</w:t>
            </w:r>
          </w:p>
        </w:tc>
        <w:tc>
          <w:tcPr>
            <w:tcW w:w="876" w:type="dxa"/>
            <w:shd w:val="clear" w:color="auto" w:fill="auto"/>
            <w:vAlign w:val="center"/>
          </w:tcPr>
          <w:p w:rsidR="00442A1D">
            <w:pPr>
              <w:pStyle w:val="NoList"/>
              <w:jc w:val="center"/>
              <w:rPr>
                <w:rFonts w:hint="eastAsia"/>
                <w:szCs w:val="21"/>
              </w:rPr>
            </w:pPr>
            <w:r>
              <w:rPr>
                <w:szCs w:val="21"/>
              </w:rPr>
              <w:t>10</w:t>
            </w:r>
          </w:p>
        </w:tc>
        <w:tc>
          <w:tcPr>
            <w:tcW w:w="850" w:type="dxa"/>
            <w:shd w:val="clear" w:color="auto" w:fill="auto"/>
            <w:vAlign w:val="center"/>
          </w:tcPr>
          <w:p w:rsidR="00442A1D">
            <w:pPr>
              <w:pStyle w:val="NoList"/>
              <w:jc w:val="center"/>
              <w:rPr>
                <w:rFonts w:hint="eastAsia"/>
                <w:szCs w:val="21"/>
              </w:rPr>
            </w:pPr>
          </w:p>
        </w:tc>
        <w:tc>
          <w:tcPr>
            <w:tcW w:w="850" w:type="dxa"/>
            <w:shd w:val="clear" w:color="auto" w:fill="auto"/>
            <w:vAlign w:val="center"/>
          </w:tcPr>
          <w:p w:rsidR="00442A1D">
            <w:pPr>
              <w:pStyle w:val="NoList"/>
              <w:jc w:val="center"/>
              <w:rPr>
                <w:rFonts w:hint="eastAsia"/>
                <w:szCs w:val="21"/>
              </w:rPr>
            </w:pPr>
            <w:r>
              <w:rPr>
                <w:szCs w:val="21"/>
              </w:rPr>
              <w:t>12</w:t>
            </w:r>
          </w:p>
        </w:tc>
        <w:tc>
          <w:tcPr>
            <w:tcW w:w="856" w:type="dxa"/>
            <w:shd w:val="clear" w:color="auto" w:fill="auto"/>
            <w:vAlign w:val="center"/>
          </w:tcPr>
          <w:p w:rsidR="00442A1D">
            <w:pPr>
              <w:pStyle w:val="NoList"/>
              <w:jc w:val="center"/>
              <w:rPr>
                <w:rFonts w:hint="eastAsia"/>
                <w:szCs w:val="21"/>
              </w:rPr>
            </w:pPr>
            <w:r>
              <w:rPr>
                <w:szCs w:val="21"/>
              </w:rPr>
              <w:t>12</w:t>
            </w:r>
          </w:p>
        </w:tc>
        <w:tc>
          <w:tcPr>
            <w:tcW w:w="1058" w:type="dxa"/>
            <w:shd w:val="clear" w:color="auto" w:fill="auto"/>
            <w:vAlign w:val="center"/>
          </w:tcPr>
          <w:p w:rsidR="00442A1D">
            <w:pPr>
              <w:pStyle w:val="NoList"/>
              <w:jc w:val="center"/>
              <w:rPr>
                <w:rFonts w:hint="eastAsia"/>
                <w:szCs w:val="21"/>
              </w:rPr>
            </w:pPr>
            <w:r>
              <w:rPr>
                <w:rFonts w:hint="eastAsia"/>
                <w:szCs w:val="21"/>
              </w:rPr>
              <w:t>固体</w:t>
            </w:r>
          </w:p>
        </w:tc>
        <w:tc>
          <w:tcPr>
            <w:tcW w:w="1080" w:type="dxa"/>
            <w:shd w:val="clear" w:color="auto" w:fill="auto"/>
            <w:vAlign w:val="center"/>
          </w:tcPr>
          <w:p w:rsidR="00442A1D">
            <w:pPr>
              <w:pStyle w:val="NoList"/>
              <w:jc w:val="center"/>
              <w:rPr>
                <w:rFonts w:hint="eastAsia"/>
                <w:szCs w:val="21"/>
              </w:rPr>
            </w:pPr>
          </w:p>
        </w:tc>
        <w:tc>
          <w:tcPr>
            <w:tcW w:w="2096" w:type="dxa"/>
            <w:shd w:val="clear" w:color="auto" w:fill="auto"/>
            <w:vAlign w:val="center"/>
          </w:tcPr>
          <w:p w:rsidR="00442A1D">
            <w:pPr>
              <w:pStyle w:val="NoList"/>
              <w:rPr>
                <w:rFonts w:hint="eastAsia"/>
                <w:szCs w:val="21"/>
              </w:rPr>
            </w:pPr>
            <w:r>
              <w:rPr>
                <w:rFonts w:hint="eastAsia"/>
                <w:szCs w:val="21"/>
              </w:rPr>
              <w:t>江苏、云南、四川</w:t>
            </w:r>
          </w:p>
        </w:tc>
      </w:tr>
      <w:tr>
        <w:tblPrEx>
          <w:tblW w:w="13591" w:type="dxa"/>
          <w:jc w:val="center"/>
          <w:tblInd w:w="108" w:type="dxa"/>
          <w:tblLayout w:type="fixed"/>
          <w:tblLook w:val="0000"/>
        </w:tblPrEx>
        <w:trPr>
          <w:trHeight w:val="445"/>
          <w:jc w:val="center"/>
        </w:trPr>
        <w:tc>
          <w:tcPr>
            <w:tcW w:w="1698" w:type="dxa"/>
            <w:shd w:val="clear" w:color="auto" w:fill="auto"/>
            <w:vAlign w:val="center"/>
          </w:tcPr>
          <w:p w:rsidR="00442A1D">
            <w:pPr>
              <w:pStyle w:val="NoList"/>
              <w:jc w:val="center"/>
              <w:rPr>
                <w:rFonts w:hint="eastAsia"/>
                <w:szCs w:val="21"/>
              </w:rPr>
            </w:pPr>
            <w:r>
              <w:rPr>
                <w:rFonts w:hint="eastAsia"/>
                <w:szCs w:val="21"/>
              </w:rPr>
              <w:t>二甲迷</w:t>
            </w:r>
          </w:p>
        </w:tc>
        <w:tc>
          <w:tcPr>
            <w:tcW w:w="1133" w:type="dxa"/>
            <w:shd w:val="clear" w:color="auto" w:fill="auto"/>
            <w:vAlign w:val="center"/>
          </w:tcPr>
          <w:p w:rsidR="00442A1D">
            <w:pPr>
              <w:pStyle w:val="NoList"/>
              <w:jc w:val="center"/>
              <w:rPr>
                <w:rFonts w:hint="eastAsia"/>
                <w:szCs w:val="21"/>
              </w:rPr>
            </w:pPr>
            <w:r>
              <w:rPr>
                <w:szCs w:val="21"/>
              </w:rPr>
              <w:t>8</w:t>
            </w:r>
          </w:p>
        </w:tc>
        <w:tc>
          <w:tcPr>
            <w:tcW w:w="1136" w:type="dxa"/>
            <w:shd w:val="clear" w:color="auto" w:fill="auto"/>
            <w:vAlign w:val="center"/>
          </w:tcPr>
          <w:p w:rsidR="00442A1D">
            <w:pPr>
              <w:pStyle w:val="NoList"/>
              <w:jc w:val="center"/>
              <w:rPr>
                <w:rFonts w:hint="eastAsia"/>
                <w:szCs w:val="21"/>
              </w:rPr>
            </w:pPr>
            <w:r>
              <w:rPr>
                <w:szCs w:val="21"/>
              </w:rPr>
              <w:t>13</w:t>
            </w:r>
          </w:p>
        </w:tc>
        <w:tc>
          <w:tcPr>
            <w:tcW w:w="850" w:type="dxa"/>
            <w:shd w:val="clear" w:color="auto" w:fill="auto"/>
            <w:vAlign w:val="center"/>
          </w:tcPr>
          <w:p w:rsidR="00442A1D">
            <w:pPr>
              <w:pStyle w:val="NoList"/>
              <w:jc w:val="center"/>
              <w:rPr>
                <w:rFonts w:hint="eastAsia"/>
                <w:szCs w:val="21"/>
              </w:rPr>
            </w:pPr>
          </w:p>
        </w:tc>
        <w:tc>
          <w:tcPr>
            <w:tcW w:w="1108" w:type="dxa"/>
            <w:shd w:val="clear" w:color="auto" w:fill="auto"/>
            <w:vAlign w:val="center"/>
          </w:tcPr>
          <w:p w:rsidR="00442A1D">
            <w:pPr>
              <w:pStyle w:val="NoList"/>
              <w:jc w:val="center"/>
              <w:rPr>
                <w:rFonts w:hint="eastAsia"/>
                <w:szCs w:val="21"/>
              </w:rPr>
            </w:pPr>
            <w:r>
              <w:rPr>
                <w:szCs w:val="21"/>
              </w:rPr>
              <w:t>8</w:t>
            </w:r>
          </w:p>
        </w:tc>
        <w:tc>
          <w:tcPr>
            <w:tcW w:w="876" w:type="dxa"/>
            <w:shd w:val="clear" w:color="auto" w:fill="auto"/>
            <w:vAlign w:val="center"/>
          </w:tcPr>
          <w:p w:rsidR="00442A1D">
            <w:pPr>
              <w:pStyle w:val="NoList"/>
              <w:jc w:val="center"/>
              <w:rPr>
                <w:rFonts w:hint="eastAsia"/>
                <w:szCs w:val="21"/>
              </w:rPr>
            </w:pPr>
            <w:r>
              <w:rPr>
                <w:szCs w:val="21"/>
              </w:rPr>
              <w:t>8</w:t>
            </w:r>
          </w:p>
        </w:tc>
        <w:tc>
          <w:tcPr>
            <w:tcW w:w="850" w:type="dxa"/>
            <w:shd w:val="clear" w:color="auto" w:fill="auto"/>
            <w:vAlign w:val="center"/>
          </w:tcPr>
          <w:p w:rsidR="00442A1D">
            <w:pPr>
              <w:pStyle w:val="NoList"/>
              <w:jc w:val="center"/>
              <w:rPr>
                <w:rFonts w:hint="eastAsia"/>
                <w:szCs w:val="21"/>
              </w:rPr>
            </w:pPr>
          </w:p>
        </w:tc>
        <w:tc>
          <w:tcPr>
            <w:tcW w:w="850" w:type="dxa"/>
            <w:shd w:val="clear" w:color="auto" w:fill="auto"/>
            <w:vAlign w:val="center"/>
          </w:tcPr>
          <w:p w:rsidR="00442A1D">
            <w:pPr>
              <w:pStyle w:val="NoList"/>
              <w:jc w:val="center"/>
              <w:rPr>
                <w:rFonts w:hint="eastAsia"/>
                <w:szCs w:val="21"/>
              </w:rPr>
            </w:pPr>
            <w:r>
              <w:rPr>
                <w:szCs w:val="21"/>
              </w:rPr>
              <w:t>13</w:t>
            </w:r>
          </w:p>
        </w:tc>
        <w:tc>
          <w:tcPr>
            <w:tcW w:w="856" w:type="dxa"/>
            <w:shd w:val="clear" w:color="auto" w:fill="auto"/>
            <w:vAlign w:val="center"/>
          </w:tcPr>
          <w:p w:rsidR="00442A1D">
            <w:pPr>
              <w:pStyle w:val="NoList"/>
              <w:jc w:val="center"/>
              <w:rPr>
                <w:rFonts w:hint="eastAsia"/>
                <w:szCs w:val="21"/>
              </w:rPr>
            </w:pPr>
            <w:r>
              <w:rPr>
                <w:szCs w:val="21"/>
              </w:rPr>
              <w:t>13</w:t>
            </w:r>
          </w:p>
        </w:tc>
        <w:tc>
          <w:tcPr>
            <w:tcW w:w="1058" w:type="dxa"/>
            <w:shd w:val="clear" w:color="auto" w:fill="auto"/>
            <w:vAlign w:val="center"/>
          </w:tcPr>
          <w:p w:rsidR="00442A1D">
            <w:pPr>
              <w:pStyle w:val="NoList"/>
              <w:jc w:val="center"/>
              <w:rPr>
                <w:rFonts w:hint="eastAsia"/>
                <w:szCs w:val="21"/>
              </w:rPr>
            </w:pPr>
            <w:r>
              <w:rPr>
                <w:rFonts w:hint="eastAsia"/>
                <w:szCs w:val="21"/>
              </w:rPr>
              <w:t>液体</w:t>
            </w:r>
          </w:p>
        </w:tc>
        <w:tc>
          <w:tcPr>
            <w:tcW w:w="1080" w:type="dxa"/>
            <w:shd w:val="clear" w:color="auto" w:fill="auto"/>
            <w:vAlign w:val="center"/>
          </w:tcPr>
          <w:p w:rsidR="00442A1D">
            <w:pPr>
              <w:pStyle w:val="NoList"/>
              <w:jc w:val="center"/>
              <w:rPr>
                <w:rFonts w:hint="eastAsia"/>
                <w:szCs w:val="21"/>
              </w:rPr>
            </w:pPr>
          </w:p>
        </w:tc>
        <w:tc>
          <w:tcPr>
            <w:tcW w:w="2096" w:type="dxa"/>
            <w:shd w:val="clear" w:color="auto" w:fill="auto"/>
            <w:vAlign w:val="center"/>
          </w:tcPr>
          <w:p w:rsidR="00442A1D">
            <w:pPr>
              <w:pStyle w:val="NoList"/>
              <w:rPr>
                <w:rFonts w:hint="eastAsia"/>
                <w:szCs w:val="21"/>
              </w:rPr>
            </w:pPr>
            <w:r>
              <w:rPr>
                <w:rFonts w:hint="eastAsia"/>
                <w:szCs w:val="21"/>
              </w:rPr>
              <w:t>江苏、云南、四川</w:t>
            </w:r>
          </w:p>
        </w:tc>
      </w:tr>
      <w:tr>
        <w:tblPrEx>
          <w:tblW w:w="13591" w:type="dxa"/>
          <w:jc w:val="center"/>
          <w:tblInd w:w="108" w:type="dxa"/>
          <w:tblLayout w:type="fixed"/>
          <w:tblLook w:val="0000"/>
        </w:tblPrEx>
        <w:trPr>
          <w:trHeight w:val="445"/>
          <w:jc w:val="center"/>
        </w:trPr>
        <w:tc>
          <w:tcPr>
            <w:tcW w:w="1698" w:type="dxa"/>
            <w:shd w:val="clear" w:color="auto" w:fill="auto"/>
            <w:vAlign w:val="center"/>
          </w:tcPr>
          <w:p w:rsidR="00442A1D">
            <w:pPr>
              <w:pStyle w:val="NoList"/>
              <w:jc w:val="center"/>
              <w:rPr>
                <w:rFonts w:hint="eastAsia"/>
                <w:szCs w:val="21"/>
              </w:rPr>
            </w:pPr>
            <w:r>
              <w:rPr>
                <w:rFonts w:hint="eastAsia"/>
                <w:szCs w:val="21"/>
              </w:rPr>
              <w:t>硫磺</w:t>
            </w:r>
          </w:p>
        </w:tc>
        <w:tc>
          <w:tcPr>
            <w:tcW w:w="1133" w:type="dxa"/>
            <w:shd w:val="clear" w:color="auto" w:fill="auto"/>
            <w:vAlign w:val="center"/>
          </w:tcPr>
          <w:p w:rsidR="00442A1D">
            <w:pPr>
              <w:pStyle w:val="NoList"/>
              <w:jc w:val="center"/>
              <w:rPr>
                <w:rFonts w:hint="eastAsia"/>
                <w:szCs w:val="21"/>
              </w:rPr>
            </w:pPr>
            <w:r>
              <w:rPr>
                <w:szCs w:val="21"/>
              </w:rPr>
              <w:t>3</w:t>
            </w:r>
          </w:p>
        </w:tc>
        <w:tc>
          <w:tcPr>
            <w:tcW w:w="1136" w:type="dxa"/>
            <w:shd w:val="clear" w:color="auto" w:fill="auto"/>
            <w:vAlign w:val="center"/>
          </w:tcPr>
          <w:p w:rsidR="00442A1D">
            <w:pPr>
              <w:pStyle w:val="NoList"/>
              <w:jc w:val="center"/>
              <w:rPr>
                <w:rFonts w:hint="eastAsia"/>
                <w:szCs w:val="21"/>
              </w:rPr>
            </w:pPr>
            <w:r>
              <w:rPr>
                <w:szCs w:val="21"/>
              </w:rPr>
              <w:t>3</w:t>
            </w:r>
          </w:p>
        </w:tc>
        <w:tc>
          <w:tcPr>
            <w:tcW w:w="850" w:type="dxa"/>
            <w:shd w:val="clear" w:color="auto" w:fill="auto"/>
            <w:vAlign w:val="center"/>
          </w:tcPr>
          <w:p w:rsidR="00442A1D">
            <w:pPr>
              <w:pStyle w:val="NoList"/>
              <w:jc w:val="center"/>
              <w:rPr>
                <w:rFonts w:hint="eastAsia"/>
                <w:szCs w:val="21"/>
              </w:rPr>
            </w:pPr>
          </w:p>
        </w:tc>
        <w:tc>
          <w:tcPr>
            <w:tcW w:w="1108" w:type="dxa"/>
            <w:shd w:val="clear" w:color="auto" w:fill="auto"/>
            <w:vAlign w:val="center"/>
          </w:tcPr>
          <w:p w:rsidR="00442A1D">
            <w:pPr>
              <w:pStyle w:val="NoList"/>
              <w:jc w:val="center"/>
              <w:rPr>
                <w:rFonts w:hint="eastAsia"/>
                <w:szCs w:val="21"/>
              </w:rPr>
            </w:pPr>
            <w:r>
              <w:rPr>
                <w:szCs w:val="21"/>
              </w:rPr>
              <w:t>3</w:t>
            </w:r>
          </w:p>
        </w:tc>
        <w:tc>
          <w:tcPr>
            <w:tcW w:w="876" w:type="dxa"/>
            <w:shd w:val="clear" w:color="auto" w:fill="auto"/>
            <w:vAlign w:val="center"/>
          </w:tcPr>
          <w:p w:rsidR="00442A1D">
            <w:pPr>
              <w:pStyle w:val="NoList"/>
              <w:jc w:val="center"/>
              <w:rPr>
                <w:rFonts w:hint="eastAsia"/>
                <w:szCs w:val="21"/>
              </w:rPr>
            </w:pPr>
            <w:r>
              <w:rPr>
                <w:szCs w:val="21"/>
              </w:rPr>
              <w:t>3</w:t>
            </w:r>
          </w:p>
        </w:tc>
        <w:tc>
          <w:tcPr>
            <w:tcW w:w="850" w:type="dxa"/>
            <w:shd w:val="clear" w:color="auto" w:fill="auto"/>
            <w:vAlign w:val="center"/>
          </w:tcPr>
          <w:p w:rsidR="00442A1D">
            <w:pPr>
              <w:pStyle w:val="NoList"/>
              <w:jc w:val="center"/>
              <w:rPr>
                <w:rFonts w:hint="eastAsia"/>
                <w:szCs w:val="21"/>
              </w:rPr>
            </w:pPr>
          </w:p>
        </w:tc>
        <w:tc>
          <w:tcPr>
            <w:tcW w:w="850" w:type="dxa"/>
            <w:shd w:val="clear" w:color="auto" w:fill="auto"/>
            <w:vAlign w:val="center"/>
          </w:tcPr>
          <w:p w:rsidR="00442A1D">
            <w:pPr>
              <w:pStyle w:val="NoList"/>
              <w:jc w:val="center"/>
              <w:rPr>
                <w:rFonts w:hint="eastAsia"/>
                <w:szCs w:val="21"/>
              </w:rPr>
            </w:pPr>
            <w:r>
              <w:rPr>
                <w:szCs w:val="21"/>
              </w:rPr>
              <w:t>3</w:t>
            </w:r>
          </w:p>
        </w:tc>
        <w:tc>
          <w:tcPr>
            <w:tcW w:w="856" w:type="dxa"/>
            <w:shd w:val="clear" w:color="auto" w:fill="auto"/>
            <w:vAlign w:val="center"/>
          </w:tcPr>
          <w:p w:rsidR="00442A1D">
            <w:pPr>
              <w:pStyle w:val="NoList"/>
              <w:jc w:val="center"/>
              <w:rPr>
                <w:rFonts w:hint="eastAsia"/>
                <w:szCs w:val="21"/>
              </w:rPr>
            </w:pPr>
            <w:r>
              <w:rPr>
                <w:szCs w:val="21"/>
              </w:rPr>
              <w:t>3</w:t>
            </w:r>
          </w:p>
        </w:tc>
        <w:tc>
          <w:tcPr>
            <w:tcW w:w="1058" w:type="dxa"/>
            <w:shd w:val="clear" w:color="auto" w:fill="auto"/>
            <w:vAlign w:val="center"/>
          </w:tcPr>
          <w:p w:rsidR="00442A1D">
            <w:pPr>
              <w:pStyle w:val="NoList"/>
              <w:jc w:val="center"/>
              <w:rPr>
                <w:rFonts w:hint="eastAsia"/>
                <w:szCs w:val="21"/>
              </w:rPr>
            </w:pPr>
            <w:r>
              <w:rPr>
                <w:rFonts w:hint="eastAsia"/>
                <w:szCs w:val="21"/>
              </w:rPr>
              <w:t>固体</w:t>
            </w:r>
          </w:p>
        </w:tc>
        <w:tc>
          <w:tcPr>
            <w:tcW w:w="1080" w:type="dxa"/>
            <w:shd w:val="clear" w:color="auto" w:fill="auto"/>
            <w:vAlign w:val="center"/>
          </w:tcPr>
          <w:p w:rsidR="00442A1D">
            <w:pPr>
              <w:pStyle w:val="NoList"/>
              <w:jc w:val="center"/>
              <w:rPr>
                <w:rFonts w:hint="eastAsia"/>
                <w:szCs w:val="21"/>
              </w:rPr>
            </w:pPr>
          </w:p>
        </w:tc>
        <w:tc>
          <w:tcPr>
            <w:tcW w:w="2096" w:type="dxa"/>
            <w:shd w:val="clear" w:color="auto" w:fill="auto"/>
            <w:vAlign w:val="center"/>
          </w:tcPr>
          <w:p w:rsidR="00442A1D">
            <w:pPr>
              <w:pStyle w:val="NoList"/>
              <w:rPr>
                <w:rFonts w:hint="eastAsia"/>
                <w:szCs w:val="21"/>
              </w:rPr>
            </w:pPr>
            <w:r>
              <w:rPr>
                <w:rFonts w:hint="eastAsia"/>
                <w:szCs w:val="21"/>
              </w:rPr>
              <w:t>江苏、云南、四川</w:t>
            </w:r>
          </w:p>
        </w:tc>
      </w:tr>
      <w:tr>
        <w:tblPrEx>
          <w:tblW w:w="13591" w:type="dxa"/>
          <w:jc w:val="center"/>
          <w:tblInd w:w="108" w:type="dxa"/>
          <w:tblLayout w:type="fixed"/>
          <w:tblLook w:val="0000"/>
        </w:tblPrEx>
        <w:trPr>
          <w:trHeight w:val="689"/>
          <w:jc w:val="center"/>
        </w:trPr>
        <w:tc>
          <w:tcPr>
            <w:tcW w:w="1698" w:type="dxa"/>
            <w:shd w:val="clear" w:color="auto" w:fill="auto"/>
            <w:vAlign w:val="center"/>
          </w:tcPr>
          <w:p w:rsidR="00442A1D">
            <w:pPr>
              <w:pStyle w:val="NoList"/>
              <w:jc w:val="center"/>
              <w:rPr>
                <w:rFonts w:hint="eastAsia"/>
                <w:b/>
                <w:bCs/>
                <w:szCs w:val="21"/>
              </w:rPr>
            </w:pPr>
            <w:r>
              <w:rPr>
                <w:rFonts w:hint="eastAsia"/>
                <w:b/>
                <w:bCs/>
                <w:szCs w:val="21"/>
              </w:rPr>
              <w:t>合</w:t>
            </w:r>
            <w:r>
              <w:rPr>
                <w:b/>
                <w:bCs/>
                <w:szCs w:val="21"/>
              </w:rPr>
              <w:t xml:space="preserve"> </w:t>
            </w:r>
            <w:r>
              <w:rPr>
                <w:rFonts w:hint="eastAsia"/>
                <w:b/>
                <w:bCs/>
                <w:szCs w:val="21"/>
              </w:rPr>
              <w:t>计</w:t>
            </w:r>
          </w:p>
        </w:tc>
        <w:tc>
          <w:tcPr>
            <w:tcW w:w="1133" w:type="dxa"/>
            <w:shd w:val="clear" w:color="auto" w:fill="auto"/>
            <w:vAlign w:val="center"/>
          </w:tcPr>
          <w:p w:rsidR="00442A1D">
            <w:pPr>
              <w:pStyle w:val="NoList"/>
              <w:jc w:val="center"/>
              <w:rPr>
                <w:rFonts w:hint="eastAsia"/>
                <w:b/>
                <w:bCs/>
                <w:szCs w:val="21"/>
              </w:rPr>
            </w:pPr>
            <w:r>
              <w:rPr>
                <w:b/>
                <w:bCs/>
                <w:szCs w:val="21"/>
              </w:rPr>
              <w:t>265</w:t>
            </w:r>
          </w:p>
        </w:tc>
        <w:tc>
          <w:tcPr>
            <w:tcW w:w="1136" w:type="dxa"/>
            <w:shd w:val="clear" w:color="auto" w:fill="auto"/>
            <w:vAlign w:val="center"/>
          </w:tcPr>
          <w:p w:rsidR="00442A1D">
            <w:pPr>
              <w:pStyle w:val="NoList"/>
              <w:jc w:val="center"/>
              <w:rPr>
                <w:rFonts w:hint="eastAsia"/>
                <w:b/>
                <w:bCs/>
                <w:szCs w:val="21"/>
              </w:rPr>
            </w:pPr>
            <w:r>
              <w:rPr>
                <w:b/>
                <w:bCs/>
                <w:szCs w:val="21"/>
              </w:rPr>
              <w:t>440</w:t>
            </w:r>
          </w:p>
        </w:tc>
        <w:tc>
          <w:tcPr>
            <w:tcW w:w="850" w:type="dxa"/>
            <w:shd w:val="clear" w:color="auto" w:fill="auto"/>
            <w:vAlign w:val="center"/>
          </w:tcPr>
          <w:p w:rsidR="00442A1D">
            <w:pPr>
              <w:pStyle w:val="NoList"/>
              <w:jc w:val="center"/>
              <w:rPr>
                <w:rFonts w:hint="eastAsia"/>
                <w:b/>
                <w:bCs/>
                <w:szCs w:val="21"/>
              </w:rPr>
            </w:pPr>
            <w:r>
              <w:rPr>
                <w:b/>
                <w:bCs/>
                <w:szCs w:val="21"/>
              </w:rPr>
              <w:t>146</w:t>
            </w:r>
          </w:p>
        </w:tc>
        <w:tc>
          <w:tcPr>
            <w:tcW w:w="1108" w:type="dxa"/>
            <w:shd w:val="clear" w:color="auto" w:fill="auto"/>
            <w:vAlign w:val="center"/>
          </w:tcPr>
          <w:p w:rsidR="00442A1D">
            <w:pPr>
              <w:pStyle w:val="NoList"/>
              <w:jc w:val="center"/>
              <w:rPr>
                <w:rFonts w:hint="eastAsia"/>
                <w:b/>
                <w:bCs/>
                <w:szCs w:val="21"/>
              </w:rPr>
            </w:pPr>
            <w:r>
              <w:rPr>
                <w:b/>
                <w:bCs/>
                <w:szCs w:val="21"/>
              </w:rPr>
              <w:t>1</w:t>
            </w:r>
            <w:r>
              <w:rPr>
                <w:b/>
                <w:bCs/>
                <w:szCs w:val="21"/>
              </w:rPr>
              <w:t>19</w:t>
            </w:r>
          </w:p>
        </w:tc>
        <w:tc>
          <w:tcPr>
            <w:tcW w:w="876" w:type="dxa"/>
            <w:shd w:val="clear" w:color="auto" w:fill="auto"/>
            <w:vAlign w:val="center"/>
          </w:tcPr>
          <w:p w:rsidR="00442A1D">
            <w:pPr>
              <w:pStyle w:val="NoList"/>
              <w:jc w:val="center"/>
              <w:rPr>
                <w:rFonts w:hint="eastAsia"/>
                <w:b/>
                <w:bCs/>
                <w:szCs w:val="21"/>
              </w:rPr>
            </w:pPr>
            <w:r>
              <w:rPr>
                <w:b/>
                <w:bCs/>
                <w:szCs w:val="21"/>
              </w:rPr>
              <w:t>265</w:t>
            </w:r>
          </w:p>
        </w:tc>
        <w:tc>
          <w:tcPr>
            <w:tcW w:w="850" w:type="dxa"/>
            <w:shd w:val="clear" w:color="auto" w:fill="auto"/>
            <w:vAlign w:val="center"/>
          </w:tcPr>
          <w:p w:rsidR="00442A1D">
            <w:pPr>
              <w:pStyle w:val="NoList"/>
              <w:jc w:val="center"/>
              <w:rPr>
                <w:rFonts w:hint="eastAsia"/>
                <w:b/>
                <w:bCs/>
                <w:szCs w:val="21"/>
              </w:rPr>
            </w:pPr>
            <w:r>
              <w:rPr>
                <w:b/>
                <w:bCs/>
                <w:szCs w:val="21"/>
              </w:rPr>
              <w:t>229</w:t>
            </w:r>
          </w:p>
        </w:tc>
        <w:tc>
          <w:tcPr>
            <w:tcW w:w="850" w:type="dxa"/>
            <w:shd w:val="clear" w:color="auto" w:fill="auto"/>
            <w:vAlign w:val="center"/>
          </w:tcPr>
          <w:p w:rsidR="00442A1D">
            <w:pPr>
              <w:pStyle w:val="NoList"/>
              <w:jc w:val="center"/>
              <w:rPr>
                <w:rFonts w:hint="eastAsia"/>
                <w:b/>
                <w:bCs/>
                <w:szCs w:val="21"/>
              </w:rPr>
            </w:pPr>
            <w:r>
              <w:rPr>
                <w:b/>
                <w:bCs/>
                <w:szCs w:val="21"/>
              </w:rPr>
              <w:t>211</w:t>
            </w:r>
          </w:p>
        </w:tc>
        <w:tc>
          <w:tcPr>
            <w:tcW w:w="856" w:type="dxa"/>
            <w:shd w:val="clear" w:color="auto" w:fill="auto"/>
            <w:vAlign w:val="center"/>
          </w:tcPr>
          <w:p w:rsidR="00442A1D">
            <w:pPr>
              <w:pStyle w:val="NoList"/>
              <w:jc w:val="center"/>
              <w:rPr>
                <w:rFonts w:hint="eastAsia"/>
                <w:b/>
                <w:bCs/>
                <w:szCs w:val="21"/>
              </w:rPr>
            </w:pPr>
            <w:r>
              <w:rPr>
                <w:b/>
                <w:bCs/>
                <w:szCs w:val="21"/>
              </w:rPr>
              <w:t>440</w:t>
            </w:r>
          </w:p>
        </w:tc>
        <w:tc>
          <w:tcPr>
            <w:tcW w:w="1058" w:type="dxa"/>
            <w:shd w:val="clear" w:color="auto" w:fill="auto"/>
            <w:vAlign w:val="center"/>
          </w:tcPr>
          <w:p w:rsidR="00442A1D">
            <w:pPr>
              <w:pStyle w:val="NoList"/>
              <w:jc w:val="center"/>
              <w:rPr>
                <w:rFonts w:hint="eastAsia"/>
                <w:b/>
                <w:bCs/>
                <w:sz w:val="18"/>
                <w:szCs w:val="21"/>
              </w:rPr>
            </w:pPr>
          </w:p>
        </w:tc>
        <w:tc>
          <w:tcPr>
            <w:tcW w:w="1080" w:type="dxa"/>
            <w:shd w:val="clear" w:color="auto" w:fill="auto"/>
            <w:vAlign w:val="center"/>
          </w:tcPr>
          <w:p w:rsidR="00442A1D">
            <w:pPr>
              <w:pStyle w:val="NoList"/>
              <w:jc w:val="center"/>
              <w:rPr>
                <w:rFonts w:hint="eastAsia"/>
                <w:b/>
                <w:bCs/>
                <w:szCs w:val="21"/>
              </w:rPr>
            </w:pPr>
          </w:p>
        </w:tc>
        <w:tc>
          <w:tcPr>
            <w:tcW w:w="2096" w:type="dxa"/>
            <w:shd w:val="clear" w:color="auto" w:fill="auto"/>
            <w:vAlign w:val="center"/>
          </w:tcPr>
          <w:p w:rsidR="00442A1D">
            <w:pPr>
              <w:pStyle w:val="NoList"/>
              <w:rPr>
                <w:rFonts w:hint="eastAsia"/>
                <w:b/>
                <w:bCs/>
                <w:szCs w:val="21"/>
              </w:rPr>
            </w:pPr>
          </w:p>
        </w:tc>
      </w:tr>
    </w:tbl>
    <w:p w:rsidR="00442A1D">
      <w:pPr>
        <w:pStyle w:val="NoList"/>
        <w:ind w:firstLine="790" w:firstLineChars="395"/>
        <w:sectPr>
          <w:pgSz w:w="16838" w:h="11906" w:orient="landscape" w:code="9"/>
          <w:pgMar w:top="1701" w:right="1418" w:bottom="1247" w:left="1418" w:header="851" w:footer="992" w:gutter="0"/>
          <w:pgNumType w:start="9"/>
          <w:cols w:space="425"/>
          <w:docGrid w:type="lines" w:linePitch="312"/>
        </w:sectPr>
      </w:pPr>
    </w:p>
    <w:p w:rsidR="00442A1D">
      <w:pPr>
        <w:pStyle w:val="Heading1"/>
        <w:rPr>
          <w:rFonts w:hint="eastAsia"/>
        </w:rPr>
      </w:pPr>
      <w:bookmarkStart w:id="6" w:name="_Hlt173837823"/>
      <w:bookmarkEnd w:id="6"/>
      <w:r>
        <w:rPr>
          <w:rFonts w:hint="eastAsia"/>
        </w:rPr>
        <w:t>三、线路方案设计</w:t>
      </w:r>
    </w:p>
    <w:p w:rsidR="00442A1D">
      <w:pPr>
        <w:pStyle w:val="Heading2"/>
        <w:rPr>
          <w:rFonts w:hint="eastAsia"/>
        </w:rPr>
      </w:pPr>
      <w:r>
        <w:t>3.1</w:t>
      </w:r>
      <w:r>
        <w:rPr>
          <w:rFonts w:hint="eastAsia"/>
        </w:rPr>
        <w:t>线路起止点、经由及长度</w:t>
      </w:r>
    </w:p>
    <w:p w:rsidR="00442A1D">
      <w:pPr>
        <w:pStyle w:val="Heading3"/>
        <w:rPr>
          <w:rFonts w:hint="eastAsia"/>
        </w:rPr>
      </w:pPr>
      <w:r>
        <w:t>3.1.1</w:t>
      </w:r>
      <w:r>
        <w:rPr>
          <w:rFonts w:hint="eastAsia"/>
        </w:rPr>
        <w:t>线路起点</w:t>
      </w:r>
    </w:p>
    <w:p w:rsidR="00442A1D">
      <w:pPr>
        <w:pStyle w:val="BodyTextIndent2"/>
        <w:rPr>
          <w:rFonts w:hint="eastAsia"/>
        </w:rPr>
      </w:pPr>
      <w:r>
        <w:rPr>
          <w:rFonts w:hint="eastAsia"/>
        </w:rPr>
        <w:t>即接轨点为大古铁路古窑</w:t>
      </w:r>
      <w:r>
        <w:rPr>
          <w:rFonts w:hint="eastAsia"/>
        </w:rPr>
        <w:t>子火车站西牵出线距车挡</w:t>
      </w:r>
      <w:r>
        <w:t>400m</w:t>
      </w:r>
      <w:r>
        <w:rPr>
          <w:rFonts w:hint="eastAsia"/>
        </w:rPr>
        <w:t>处，里程为</w:t>
      </w:r>
      <w:r>
        <w:t>K0+000</w:t>
      </w:r>
      <w:r>
        <w:rPr>
          <w:rFonts w:hint="eastAsia"/>
        </w:rPr>
        <w:t>即大古铁路古窑子火车站</w:t>
      </w:r>
      <w:r>
        <w:t>K68+775</w:t>
      </w:r>
      <w:r>
        <w:rPr>
          <w:rFonts w:hint="eastAsia"/>
        </w:rPr>
        <w:t>处。</w:t>
      </w:r>
    </w:p>
    <w:p w:rsidR="00442A1D">
      <w:pPr>
        <w:pStyle w:val="Heading3"/>
        <w:rPr>
          <w:rFonts w:hint="eastAsia"/>
        </w:rPr>
      </w:pPr>
      <w:r>
        <w:t>3.1.2</w:t>
      </w:r>
      <w:r>
        <w:rPr>
          <w:rFonts w:hint="eastAsia"/>
        </w:rPr>
        <w:t>线路终点</w:t>
      </w:r>
    </w:p>
    <w:p w:rsidR="00442A1D">
      <w:pPr>
        <w:pStyle w:val="BodyTextIndent2"/>
        <w:rPr>
          <w:rFonts w:hint="eastAsia"/>
        </w:rPr>
      </w:pPr>
      <w:r>
        <w:rPr>
          <w:rFonts w:hint="eastAsia"/>
        </w:rPr>
        <w:t>为货四线终点即车挡位置即货物线</w:t>
      </w:r>
      <w:r>
        <w:t>K1+</w:t>
      </w:r>
      <w:r>
        <w:t>413.7</w:t>
      </w:r>
      <w:r>
        <w:rPr>
          <w:rFonts w:hint="eastAsia"/>
        </w:rPr>
        <w:t>处。</w:t>
      </w:r>
    </w:p>
    <w:p w:rsidR="00442A1D">
      <w:pPr>
        <w:pStyle w:val="Heading3"/>
        <w:rPr>
          <w:rFonts w:hint="eastAsia"/>
        </w:rPr>
      </w:pPr>
      <w:r>
        <w:t>3.1.3</w:t>
      </w:r>
      <w:r>
        <w:rPr>
          <w:rFonts w:hint="eastAsia"/>
        </w:rPr>
        <w:t>线路长度</w:t>
      </w:r>
    </w:p>
    <w:p w:rsidR="00442A1D">
      <w:pPr>
        <w:pStyle w:val="BodyTextIndent2"/>
        <w:rPr>
          <w:rFonts w:hint="eastAsia"/>
        </w:rPr>
      </w:pPr>
      <w:r>
        <w:rPr>
          <w:rFonts w:hint="eastAsia"/>
        </w:rPr>
        <w:t>线路总长为</w:t>
      </w:r>
      <w:r>
        <w:t>3.17km</w:t>
      </w:r>
      <w:r>
        <w:rPr>
          <w:rFonts w:hint="eastAsia"/>
        </w:rPr>
        <w:t>，其中货物线五</w:t>
      </w:r>
      <w:r>
        <w:rPr>
          <w:rFonts w:hint="eastAsia"/>
        </w:rPr>
        <w:t>股</w:t>
      </w:r>
      <w:r>
        <w:rPr>
          <w:rFonts w:hint="eastAsia"/>
        </w:rPr>
        <w:t>——</w:t>
      </w:r>
      <w:r>
        <w:t>1</w:t>
      </w:r>
      <w:r>
        <w:rPr>
          <w:rFonts w:hint="eastAsia"/>
        </w:rPr>
        <w:t>道为化工原料、焦炭、聚乙烯、硫磺装卸线有效长度为</w:t>
      </w:r>
      <w:r>
        <w:t>400m</w:t>
      </w:r>
      <w:r>
        <w:rPr>
          <w:rFonts w:hint="eastAsia"/>
        </w:rPr>
        <w:t>；</w:t>
      </w:r>
      <w:r>
        <w:t>2</w:t>
      </w:r>
      <w:r>
        <w:rPr>
          <w:rFonts w:hint="eastAsia"/>
        </w:rPr>
        <w:t>道为宁东站铁路线有效长度为</w:t>
      </w:r>
      <w:r>
        <w:t>400m</w:t>
      </w:r>
      <w:r>
        <w:rPr>
          <w:rFonts w:hint="eastAsia"/>
        </w:rPr>
        <w:t>；</w:t>
      </w:r>
      <w:r>
        <w:t>3</w:t>
      </w:r>
      <w:r>
        <w:rPr>
          <w:rFonts w:hint="eastAsia"/>
        </w:rPr>
        <w:t>道为液化气、丙烯、二甲醚装卸线有效长度为</w:t>
      </w:r>
      <w:r>
        <w:t>400m</w:t>
      </w:r>
      <w:r>
        <w:rPr>
          <w:rFonts w:hint="eastAsia"/>
        </w:rPr>
        <w:t>；</w:t>
      </w:r>
      <w:r>
        <w:t>4</w:t>
      </w:r>
      <w:r>
        <w:rPr>
          <w:rFonts w:hint="eastAsia"/>
        </w:rPr>
        <w:t>道为汽油、柴油、石脑油、甲醇装卸线有效</w:t>
      </w:r>
      <w:r>
        <w:rPr>
          <w:rFonts w:hint="eastAsia"/>
        </w:rPr>
        <w:t>长度为</w:t>
      </w:r>
      <w:r>
        <w:t>550m</w:t>
      </w:r>
      <w:r>
        <w:rPr>
          <w:rFonts w:hint="eastAsia"/>
        </w:rPr>
        <w:t>；</w:t>
      </w:r>
      <w:r>
        <w:t>5</w:t>
      </w:r>
      <w:r>
        <w:rPr>
          <w:rFonts w:hint="eastAsia"/>
        </w:rPr>
        <w:t>道为原油、燃料油装卸线有效长度为</w:t>
      </w:r>
      <w:r>
        <w:t>550m</w:t>
      </w:r>
      <w:r>
        <w:rPr>
          <w:rFonts w:hint="eastAsia"/>
        </w:rPr>
        <w:t>。</w:t>
      </w:r>
    </w:p>
    <w:p w:rsidR="00442A1D">
      <w:pPr>
        <w:pStyle w:val="Heading2"/>
        <w:rPr>
          <w:rFonts w:hint="eastAsia"/>
        </w:rPr>
      </w:pPr>
      <w:r>
        <w:t>3.2</w:t>
      </w:r>
      <w:r>
        <w:rPr>
          <w:rFonts w:hint="eastAsia"/>
        </w:rPr>
        <w:t>有关设计方案与比选</w:t>
      </w:r>
    </w:p>
    <w:p w:rsidR="00442A1D">
      <w:pPr>
        <w:pStyle w:val="Heading3"/>
        <w:rPr>
          <w:rFonts w:hint="eastAsia"/>
        </w:rPr>
      </w:pPr>
      <w:r>
        <w:t>3.2</w:t>
      </w:r>
      <w:r>
        <w:t>.1</w:t>
      </w:r>
      <w:r>
        <w:rPr>
          <w:rFonts w:hint="eastAsia"/>
        </w:rPr>
        <w:t>接轨点</w:t>
      </w:r>
    </w:p>
    <w:p w:rsidR="00442A1D">
      <w:pPr>
        <w:pStyle w:val="BodyTextIndent2"/>
        <w:rPr>
          <w:rFonts w:hint="eastAsia"/>
        </w:rPr>
        <w:sectPr>
          <w:pgSz w:w="11906" w:h="16838"/>
          <w:pgMar w:top="1701" w:right="1134" w:bottom="1418" w:left="1758" w:header="851" w:footer="992" w:gutter="0"/>
          <w:pgNumType w:start="10"/>
          <w:cols w:space="425"/>
          <w:docGrid w:type="lines" w:linePitch="312"/>
        </w:sectPr>
      </w:pPr>
      <w:r>
        <w:rPr>
          <w:rFonts w:hint="eastAsia"/>
        </w:rPr>
        <w:t>依据</w:t>
      </w:r>
      <w:r>
        <w:t xml:space="preserve">2023  </w:t>
      </w:r>
      <w:r>
        <w:rPr>
          <w:rFonts w:hint="eastAsia"/>
        </w:rPr>
        <w:t>年</w:t>
      </w:r>
      <w:r>
        <w:t>4</w:t>
      </w:r>
      <w:r>
        <w:rPr>
          <w:rFonts w:hint="eastAsia"/>
        </w:rPr>
        <w:t>月</w:t>
      </w:r>
      <w:r>
        <w:t>20</w:t>
      </w:r>
      <w:r>
        <w:rPr>
          <w:rFonts w:hint="eastAsia"/>
        </w:rPr>
        <w:t>日《宝塔石化集团新建货场方案审查会会议纪要》和</w:t>
      </w:r>
      <w:r>
        <w:t xml:space="preserve">2023  </w:t>
      </w:r>
      <w:r>
        <w:rPr>
          <w:rFonts w:hint="eastAsia"/>
        </w:rPr>
        <w:t>年</w:t>
      </w:r>
      <w:r>
        <w:t>5</w:t>
      </w:r>
      <w:r>
        <w:rPr>
          <w:rFonts w:hint="eastAsia"/>
        </w:rPr>
        <w:t>月</w:t>
      </w:r>
      <w:r>
        <w:t>21</w:t>
      </w:r>
    </w:p>
    <w:p w:rsidR="00442A1D">
      <w:pPr>
        <w:pStyle w:val="BodyTextIndent2"/>
        <w:rPr>
          <w:rFonts w:hint="eastAsia"/>
        </w:rPr>
      </w:pPr>
      <w:r>
        <w:rPr>
          <w:rFonts w:hint="eastAsia"/>
        </w:rPr>
        <w:t>日《宝塔石化集团古窑子车站新建货场》委托书的内容以及</w:t>
      </w:r>
      <w:r>
        <w:rPr>
          <w:rFonts w:hint="eastAsia"/>
        </w:rPr>
        <w:t>宝塔石化集团提供的项目区位置布置图。结合大古铁路提出的三点要求，在保证予留大古铁路改造股道有效长</w:t>
      </w:r>
      <w:r>
        <w:t>850m</w:t>
      </w:r>
      <w:r>
        <w:rPr>
          <w:rFonts w:hint="eastAsia"/>
        </w:rPr>
        <w:t>，也就是站场咽喉区向北平移</w:t>
      </w:r>
      <w:r>
        <w:t>200m</w:t>
      </w:r>
      <w:r>
        <w:rPr>
          <w:rFonts w:hint="eastAsia"/>
        </w:rPr>
        <w:t>的情况下，经比选，现将接轨点选在了现有西牵出线距车挡</w:t>
      </w:r>
      <w:r>
        <w:t>400m</w:t>
      </w:r>
      <w:r>
        <w:rPr>
          <w:rFonts w:hint="eastAsia"/>
        </w:rPr>
        <w:t>的位置上，以最短的距离出岔</w:t>
      </w:r>
      <w:r>
        <w:t>,</w:t>
      </w:r>
      <w:r>
        <w:rPr>
          <w:rFonts w:hint="eastAsia"/>
        </w:rPr>
        <w:t>来保证了北牵出线最长</w:t>
      </w:r>
      <w:r>
        <w:t>400m</w:t>
      </w:r>
      <w:r>
        <w:rPr>
          <w:rFonts w:hint="eastAsia"/>
        </w:rPr>
        <w:t>（半列），而且</w:t>
      </w:r>
      <w:r>
        <w:rPr>
          <w:rFonts w:hint="eastAsia"/>
        </w:rPr>
        <w:t>现有股道的线间距也满足了大古修建复线的可能。</w:t>
      </w:r>
    </w:p>
    <w:p w:rsidR="00442A1D">
      <w:pPr>
        <w:pStyle w:val="Heading3"/>
        <w:rPr>
          <w:rFonts w:hint="eastAsia"/>
        </w:rPr>
      </w:pPr>
      <w:r>
        <w:t>3.2.2</w:t>
      </w:r>
      <w:r>
        <w:rPr>
          <w:rFonts w:hint="eastAsia"/>
        </w:rPr>
        <w:t>预留接轨点</w:t>
      </w:r>
    </w:p>
    <w:p w:rsidR="00442A1D">
      <w:pPr>
        <w:pStyle w:val="BodyTextIndent2"/>
        <w:rPr>
          <w:rFonts w:hint="eastAsia"/>
        </w:rPr>
      </w:pPr>
      <w:r>
        <w:rPr>
          <w:rFonts w:hint="eastAsia"/>
        </w:rPr>
        <w:t>按照大古铁路的要求，将来机</w:t>
      </w:r>
      <w:r>
        <w:rPr>
          <w:rFonts w:hint="eastAsia"/>
        </w:rPr>
        <w:t>务线在北端接入大古线便于机</w:t>
      </w:r>
      <w:r>
        <w:rPr>
          <w:rFonts w:hint="eastAsia"/>
        </w:rPr>
        <w:t>车走行。现经比选，予留机务线在三角线北端接入大古铁路的接轨点，选在牵</w:t>
      </w:r>
      <w:r>
        <w:t>1</w:t>
      </w:r>
      <w:r>
        <w:rPr>
          <w:rFonts w:hint="eastAsia"/>
        </w:rPr>
        <w:t>九号道岔之后。按照铁路设计规范连接了</w:t>
      </w:r>
      <w:r>
        <w:t>15m</w:t>
      </w:r>
      <w:r>
        <w:rPr>
          <w:rFonts w:hint="eastAsia"/>
        </w:rPr>
        <w:t>的夹直线，以</w:t>
      </w:r>
      <w:r>
        <w:rPr>
          <w:rFonts w:hint="eastAsia"/>
        </w:rPr>
        <w:t>夹直线为基准线放了一个三倍的九号道岔偏角，把货物线方向尽量往下压，目的是保证三角线与新建货物线之间修建一条公路有足够距离，保证大古铁路现有</w:t>
      </w:r>
      <w:r>
        <w:t>8</w:t>
      </w:r>
      <w:r>
        <w:rPr>
          <w:rFonts w:hint="eastAsia"/>
        </w:rPr>
        <w:t>、</w:t>
      </w:r>
      <w:r>
        <w:t>9</w:t>
      </w:r>
      <w:r>
        <w:rPr>
          <w:rFonts w:hint="eastAsia"/>
        </w:rPr>
        <w:t>、</w:t>
      </w:r>
      <w:r>
        <w:t>10</w:t>
      </w:r>
      <w:r>
        <w:rPr>
          <w:rFonts w:hint="eastAsia"/>
        </w:rPr>
        <w:t>道扩能要求，保证机务线在三角线北端接入大古铁路有足够距离和角度。</w:t>
      </w:r>
    </w:p>
    <w:p w:rsidR="00442A1D">
      <w:pPr>
        <w:pStyle w:val="Heading3"/>
        <w:rPr>
          <w:rFonts w:hint="eastAsia"/>
        </w:rPr>
      </w:pPr>
      <w:r>
        <w:t>3.2.3</w:t>
      </w:r>
      <w:r>
        <w:rPr>
          <w:rFonts w:hint="eastAsia"/>
        </w:rPr>
        <w:t>货物线的方位、长度及线间距设计</w:t>
      </w:r>
    </w:p>
    <w:p w:rsidR="00442A1D">
      <w:pPr>
        <w:pStyle w:val="BodyTextIndent2"/>
        <w:rPr>
          <w:rFonts w:hint="eastAsia"/>
        </w:rPr>
        <w:sectPr>
          <w:type w:val="nextPage"/>
          <w:pgSz w:w="11906" w:h="16838"/>
          <w:pgMar w:top="1701" w:right="1134" w:bottom="1418" w:left="1758" w:header="851" w:footer="992" w:gutter="0"/>
          <w:pgNumType w:start="11"/>
          <w:cols w:space="425"/>
          <w:titlePg w:val="0"/>
          <w:docGrid w:type="lines" w:linePitch="312"/>
        </w:sectPr>
      </w:pPr>
      <w:r>
        <w:rPr>
          <w:rFonts w:hint="eastAsia"/>
        </w:rPr>
        <w:t>依据《宝塔</w:t>
      </w:r>
      <w:r>
        <w:rPr>
          <w:rFonts w:hint="eastAsia"/>
        </w:rPr>
        <w:t>石化集团古窑子车站新建货场》委托书的内容及宝塔石化集团提供的项目区位置布置图和宝塔对货物线方位</w:t>
      </w:r>
      <w:r>
        <w:rPr>
          <w:rFonts w:hint="eastAsia"/>
        </w:rPr>
        <w:t>的特殊要求，按照铁路设计规范连接了一</w:t>
      </w:r>
      <w:r>
        <w:t>191.47m</w:t>
      </w:r>
      <w:r>
        <w:rPr>
          <w:rFonts w:hint="eastAsia"/>
        </w:rPr>
        <w:t>的夹直线，之后按照最大限度设计了一</w:t>
      </w:r>
      <w:r>
        <w:t>300m</w:t>
      </w:r>
      <w:r>
        <w:rPr>
          <w:rFonts w:hint="eastAsia"/>
        </w:rPr>
        <w:t>小半径曲线，由曲线尾直接进入货</w:t>
      </w:r>
      <w:r>
        <w:t>4</w:t>
      </w:r>
      <w:r>
        <w:rPr>
          <w:rFonts w:hint="eastAsia"/>
        </w:rPr>
        <w:t>线，以此保证货物线尽量往大</w:t>
      </w:r>
      <w:r>
        <w:rPr>
          <w:rFonts w:hint="eastAsia"/>
        </w:rPr>
        <w:t>古线靠，目的是保证货</w:t>
      </w:r>
      <w:r>
        <w:t>4</w:t>
      </w:r>
      <w:r>
        <w:rPr>
          <w:rFonts w:hint="eastAsia"/>
        </w:rPr>
        <w:t>线和货</w:t>
      </w:r>
      <w:r>
        <w:t>5</w:t>
      </w:r>
      <w:r>
        <w:rPr>
          <w:rFonts w:hint="eastAsia"/>
        </w:rPr>
        <w:t>线</w:t>
      </w:r>
      <w:r>
        <w:t>550m</w:t>
      </w:r>
    </w:p>
    <w:p w:rsidR="00442A1D">
      <w:pPr>
        <w:pStyle w:val="BodyTextIndent2"/>
        <w:rPr>
          <w:rFonts w:hint="eastAsia"/>
        </w:rPr>
      </w:pPr>
      <w:r>
        <w:rPr>
          <w:rFonts w:hint="eastAsia"/>
        </w:rPr>
        <w:t>最大有效长的运量，同时保证了货物线的方位与规划区一致，保证货</w:t>
      </w:r>
      <w:r>
        <w:t>1</w:t>
      </w:r>
      <w:r>
        <w:rPr>
          <w:rFonts w:hint="eastAsia"/>
        </w:rPr>
        <w:t>与南侧牵出线之间</w:t>
      </w:r>
      <w:r>
        <w:t>55m</w:t>
      </w:r>
      <w:r>
        <w:rPr>
          <w:rFonts w:hint="eastAsia"/>
        </w:rPr>
        <w:t>的距离要求。</w:t>
      </w:r>
    </w:p>
    <w:p w:rsidR="00442A1D">
      <w:pPr>
        <w:pStyle w:val="BodyTextIndent2"/>
        <w:rPr>
          <w:rFonts w:hint="eastAsia"/>
        </w:rPr>
      </w:pPr>
      <w:r>
        <w:rPr>
          <w:rFonts w:hint="eastAsia"/>
        </w:rPr>
        <w:t>根据委托书提供的线间距安全距离和股道数量要求，本次设计货物线五股，其中</w:t>
      </w:r>
      <w:r>
        <w:t>1</w:t>
      </w:r>
      <w:r>
        <w:rPr>
          <w:rFonts w:hint="eastAsia"/>
        </w:rPr>
        <w:t>道为化工原料、焦炭、聚乙烯、硫磺装卸线有效长度为</w:t>
      </w:r>
      <w:r>
        <w:t>400m</w:t>
      </w:r>
      <w:r>
        <w:rPr>
          <w:rFonts w:hint="eastAsia"/>
        </w:rPr>
        <w:t>；</w:t>
      </w:r>
      <w:r>
        <w:t>2</w:t>
      </w:r>
      <w:r>
        <w:rPr>
          <w:rFonts w:hint="eastAsia"/>
        </w:rPr>
        <w:t>道为宁东站铁路线有效长度为</w:t>
      </w:r>
      <w:r>
        <w:t>400m</w:t>
      </w:r>
      <w:r>
        <w:rPr>
          <w:rFonts w:hint="eastAsia"/>
        </w:rPr>
        <w:t>；</w:t>
      </w:r>
      <w:r>
        <w:t>3</w:t>
      </w:r>
      <w:r>
        <w:rPr>
          <w:rFonts w:hint="eastAsia"/>
        </w:rPr>
        <w:t>道为液化气、丙烯、二甲醚装卸线有效长度为</w:t>
      </w:r>
      <w:r>
        <w:t>400m</w:t>
      </w:r>
      <w:r>
        <w:rPr>
          <w:rFonts w:hint="eastAsia"/>
        </w:rPr>
        <w:t>；</w:t>
      </w:r>
      <w:r>
        <w:t>4</w:t>
      </w:r>
      <w:r>
        <w:rPr>
          <w:rFonts w:hint="eastAsia"/>
        </w:rPr>
        <w:t>道</w:t>
      </w:r>
      <w:r>
        <w:rPr>
          <w:rFonts w:hint="eastAsia"/>
        </w:rPr>
        <w:t>为</w:t>
      </w:r>
      <w:r>
        <w:rPr>
          <w:rFonts w:hint="eastAsia"/>
        </w:rPr>
        <w:t>汽油、柴油、石脑油、甲醇装卸线有效长度为</w:t>
      </w:r>
      <w:r>
        <w:t>550m</w:t>
      </w:r>
      <w:r>
        <w:rPr>
          <w:rFonts w:hint="eastAsia"/>
        </w:rPr>
        <w:t>；</w:t>
      </w:r>
      <w:r>
        <w:t>5</w:t>
      </w:r>
      <w:r>
        <w:rPr>
          <w:rFonts w:hint="eastAsia"/>
        </w:rPr>
        <w:t>道为原油、燃料油装卸线有效长</w:t>
      </w:r>
      <w:r>
        <w:rPr>
          <w:rFonts w:hint="eastAsia"/>
        </w:rPr>
        <w:t>度为</w:t>
      </w:r>
      <w:r>
        <w:t>550m</w:t>
      </w:r>
      <w:r>
        <w:rPr>
          <w:rFonts w:hint="eastAsia"/>
        </w:rPr>
        <w:t>。</w:t>
      </w:r>
    </w:p>
    <w:p w:rsidR="00442A1D">
      <w:pPr>
        <w:pStyle w:val="BodyTextIndent2"/>
      </w:pPr>
      <w:r>
        <w:rPr>
          <w:rFonts w:hint="eastAsia"/>
        </w:rPr>
        <w:t>设计线间距</w:t>
      </w:r>
      <w:r>
        <w:rPr>
          <w:rFonts w:hint="eastAsia"/>
        </w:rPr>
        <w:t>为</w:t>
      </w:r>
      <w:r>
        <w:rPr>
          <w:rFonts w:hint="eastAsia"/>
        </w:rPr>
        <w:t>—</w:t>
      </w:r>
      <w:r>
        <w:rPr>
          <w:rFonts w:hint="eastAsia"/>
        </w:rPr>
        <w:t>—</w:t>
      </w:r>
      <w:r>
        <w:rPr>
          <w:rFonts w:hint="eastAsia"/>
        </w:rPr>
        <w:t>货</w:t>
      </w:r>
      <w:r>
        <w:t>1</w:t>
      </w:r>
      <w:r>
        <w:rPr>
          <w:rFonts w:hint="eastAsia"/>
        </w:rPr>
        <w:t>和货</w:t>
      </w:r>
      <w:r>
        <w:t>2</w:t>
      </w:r>
      <w:r>
        <w:rPr>
          <w:rFonts w:hint="eastAsia"/>
        </w:rPr>
        <w:t>线间距为</w:t>
      </w:r>
      <w:r>
        <w:t>32m</w:t>
      </w:r>
      <w:r>
        <w:rPr>
          <w:rFonts w:hint="eastAsia"/>
        </w:rPr>
        <w:t>，货</w:t>
      </w:r>
      <w:r>
        <w:t>2</w:t>
      </w:r>
      <w:r>
        <w:rPr>
          <w:rFonts w:hint="eastAsia"/>
        </w:rPr>
        <w:t>和货</w:t>
      </w:r>
      <w:r>
        <w:t>3</w:t>
      </w:r>
      <w:r>
        <w:rPr>
          <w:rFonts w:hint="eastAsia"/>
        </w:rPr>
        <w:t>线间距为</w:t>
      </w:r>
      <w:r>
        <w:t>30m</w:t>
      </w:r>
      <w:r>
        <w:rPr>
          <w:rFonts w:hint="eastAsia"/>
        </w:rPr>
        <w:t>，货</w:t>
      </w:r>
      <w:r>
        <w:t>3</w:t>
      </w:r>
      <w:r>
        <w:rPr>
          <w:rFonts w:hint="eastAsia"/>
        </w:rPr>
        <w:t>和货</w:t>
      </w:r>
      <w:r>
        <w:t>4</w:t>
      </w:r>
      <w:r>
        <w:rPr>
          <w:rFonts w:hint="eastAsia"/>
        </w:rPr>
        <w:t>线间距为</w:t>
      </w:r>
      <w:r>
        <w:t>18m</w:t>
      </w:r>
      <w:r>
        <w:rPr>
          <w:rFonts w:hint="eastAsia"/>
        </w:rPr>
        <w:t>，货</w:t>
      </w:r>
      <w:r>
        <w:t>4</w:t>
      </w:r>
      <w:r>
        <w:rPr>
          <w:rFonts w:hint="eastAsia"/>
        </w:rPr>
        <w:t>和货</w:t>
      </w:r>
      <w:r>
        <w:t>5</w:t>
      </w:r>
      <w:r>
        <w:rPr>
          <w:rFonts w:hint="eastAsia"/>
        </w:rPr>
        <w:t>线间距为</w:t>
      </w:r>
      <w:r>
        <w:t>6.5m</w:t>
      </w:r>
      <w:r>
        <w:rPr>
          <w:rFonts w:hint="eastAsia"/>
        </w:rPr>
        <w:t>。</w:t>
      </w:r>
    </w:p>
    <w:p w:rsidR="00442A1D">
      <w:pPr>
        <w:pStyle w:val="Heading3"/>
        <w:rPr>
          <w:rFonts w:hint="eastAsia"/>
        </w:rPr>
      </w:pPr>
      <w:r>
        <w:t>3.2.4</w:t>
      </w:r>
      <w:r>
        <w:rPr>
          <w:rFonts w:hint="eastAsia"/>
        </w:rPr>
        <w:t>涵洞</w:t>
      </w:r>
    </w:p>
    <w:p w:rsidR="00442A1D">
      <w:pPr>
        <w:pStyle w:val="BodyTextIndent2"/>
        <w:rPr>
          <w:rFonts w:hint="eastAsia"/>
        </w:rPr>
      </w:pPr>
      <w:r>
        <w:rPr>
          <w:rFonts w:hint="eastAsia"/>
        </w:rPr>
        <w:t>按照宝塔石化集团提供的项目区位置布置图，在新建铁路专用线和机务三角线车挡之间有一条公路，在此位置设计一座</w:t>
      </w:r>
      <w:r>
        <w:t>1</w:t>
      </w:r>
      <w:r>
        <w:rPr>
          <w:rFonts w:hint="eastAsia"/>
        </w:rPr>
        <w:t>—</w:t>
      </w:r>
      <w:r>
        <w:t>6.0m</w:t>
      </w:r>
      <w:r>
        <w:rPr>
          <w:rFonts w:hint="eastAsia"/>
        </w:rPr>
        <w:t>斜交钢筋混凝土盖板箱涵，与大古线原有涵洞取直，以解决项目区内通行</w:t>
      </w:r>
      <w:r>
        <w:rPr>
          <w:rFonts w:hint="eastAsia"/>
        </w:rPr>
        <w:t>问题。同时，在专用线南端修建简易道路一条，解决西边村庄过往行人和车辆以及专用线自身的公路交通问</w:t>
      </w:r>
      <w:r>
        <w:rPr>
          <w:rFonts w:hint="eastAsia"/>
        </w:rPr>
        <w:t>题。</w:t>
      </w:r>
    </w:p>
    <w:p w:rsidR="00442A1D">
      <w:pPr>
        <w:pStyle w:val="Heading2"/>
        <w:rPr>
          <w:rFonts w:hint="eastAsia"/>
        </w:rPr>
      </w:pPr>
      <w:r>
        <w:t>3.3</w:t>
      </w:r>
      <w:r>
        <w:rPr>
          <w:rFonts w:hint="eastAsia"/>
        </w:rPr>
        <w:t>线路建设区自然条件</w:t>
      </w:r>
    </w:p>
    <w:p w:rsidR="00442A1D">
      <w:pPr>
        <w:pStyle w:val="Heading3"/>
        <w:rPr>
          <w:rFonts w:hint="eastAsia"/>
        </w:rPr>
      </w:pPr>
      <w:r>
        <w:t>3.3.1</w:t>
      </w:r>
      <w:r>
        <w:rPr>
          <w:rFonts w:hint="eastAsia"/>
        </w:rPr>
        <w:t>地形、地貌及地理位置</w:t>
      </w:r>
    </w:p>
    <w:p w:rsidR="00442A1D">
      <w:pPr>
        <w:pStyle w:val="BodyTextIndent2"/>
        <w:rPr>
          <w:rFonts w:hint="eastAsia"/>
        </w:rPr>
        <w:sectPr>
          <w:type w:val="nextPage"/>
          <w:pgSz w:w="11906" w:h="16838"/>
          <w:pgMar w:top="1701" w:right="1134" w:bottom="1418" w:left="1758" w:header="851" w:footer="992" w:gutter="0"/>
          <w:pgNumType w:start="12"/>
          <w:cols w:space="425"/>
          <w:titlePg w:val="0"/>
          <w:docGrid w:type="lines" w:linePitch="312"/>
        </w:sectPr>
      </w:pPr>
      <w:r>
        <w:rPr>
          <w:rFonts w:hint="eastAsia"/>
        </w:rPr>
        <w:t>宁东能源</w:t>
      </w:r>
      <w:r>
        <w:rPr>
          <w:rFonts w:hint="eastAsia"/>
        </w:rPr>
        <w:t>化工基地宝塔综合项目区（西区），位于宁夏回族自治区银川市所辖灵武市东南部</w:t>
      </w:r>
      <w:r>
        <w:t>30</w:t>
      </w:r>
      <w:r>
        <w:rPr>
          <w:rFonts w:hint="eastAsia"/>
        </w:rPr>
        <w:t>公</w:t>
      </w:r>
      <w:r>
        <w:rPr>
          <w:rFonts w:hint="eastAsia"/>
        </w:rPr>
        <w:t>里境内，占地</w:t>
      </w:r>
      <w:r>
        <w:t>4.62</w:t>
      </w:r>
    </w:p>
    <w:p w:rsidR="00442A1D">
      <w:pPr>
        <w:pStyle w:val="BodyTextIndent2"/>
        <w:rPr>
          <w:rFonts w:hint="eastAsia"/>
        </w:rPr>
      </w:pPr>
      <w:r>
        <w:rPr>
          <w:rFonts w:hint="eastAsia"/>
        </w:rPr>
        <w:t>平方公里，区域范围为黎羊公路以西，西天河以东，北自</w:t>
      </w:r>
      <w:r>
        <w:t>307</w:t>
      </w:r>
      <w:r>
        <w:rPr>
          <w:rFonts w:hint="eastAsia"/>
        </w:rPr>
        <w:t>国道，南至黎羊公路和大古铁路交点。距离银川市约</w:t>
      </w:r>
      <w:r>
        <w:t>56</w:t>
      </w:r>
      <w:r>
        <w:rPr>
          <w:rFonts w:hint="eastAsia"/>
        </w:rPr>
        <w:t>公里。</w:t>
      </w:r>
    </w:p>
    <w:p w:rsidR="00442A1D">
      <w:pPr>
        <w:pStyle w:val="BodyTextIndent2"/>
        <w:rPr>
          <w:rFonts w:hint="eastAsia"/>
          <w:szCs w:val="32"/>
        </w:rPr>
      </w:pPr>
      <w:r>
        <w:rPr>
          <w:rFonts w:hint="eastAsia"/>
        </w:rPr>
        <w:t>地形总体上为四周高，中间低，呈小型山间盆地。地貌为缓坡丘陵与低山丘陵，丘陵间冲沟较发达，局部地段有沙丘存在，植被条件较差，表现为荒漠草</w:t>
      </w:r>
      <w:r>
        <w:rPr>
          <w:rFonts w:hint="eastAsia"/>
        </w:rPr>
        <w:t>原景观。项目区处在该地貌单元内，地势波状起伏，相对高差</w:t>
      </w:r>
      <w:r>
        <w:t>10</w:t>
      </w:r>
      <w:r>
        <w:rPr>
          <w:rFonts w:hint="eastAsia"/>
        </w:rPr>
        <w:t>～</w:t>
      </w:r>
      <w:r>
        <w:t>20m</w:t>
      </w:r>
      <w:r>
        <w:rPr>
          <w:rFonts w:hint="eastAsia"/>
        </w:rPr>
        <w:t>，地面高程</w:t>
      </w:r>
      <w:r>
        <w:t>1260</w:t>
      </w:r>
      <w:r>
        <w:rPr>
          <w:rFonts w:hint="eastAsia"/>
        </w:rPr>
        <w:t>～</w:t>
      </w:r>
      <w:r>
        <w:t>1280</w:t>
      </w:r>
      <w:r>
        <w:t>m</w:t>
      </w:r>
      <w:r>
        <w:rPr>
          <w:rFonts w:hint="eastAsia"/>
        </w:rPr>
        <w:t>。</w:t>
      </w:r>
      <w:r>
        <w:rPr>
          <w:rFonts w:hint="eastAsia"/>
          <w:szCs w:val="32"/>
        </w:rPr>
        <w:t>表土为</w:t>
      </w:r>
      <w:r>
        <w:rPr>
          <w:szCs w:val="32"/>
        </w:rPr>
        <w:t>1</w:t>
      </w:r>
      <w:r>
        <w:rPr>
          <w:rFonts w:hint="eastAsia"/>
          <w:szCs w:val="32"/>
        </w:rPr>
        <w:t>～</w:t>
      </w:r>
      <w:r>
        <w:rPr>
          <w:szCs w:val="32"/>
        </w:rPr>
        <w:t>2m</w:t>
      </w:r>
      <w:r>
        <w:rPr>
          <w:rFonts w:hint="eastAsia"/>
          <w:szCs w:val="32"/>
        </w:rPr>
        <w:t>的冲积砂卵砾石或风积粉细砂，基底为褐红色粉砂质泥岩，缓坡丘陵区，生态环境十分脆弱，植被覆盖率多小于</w:t>
      </w:r>
      <w:r>
        <w:rPr>
          <w:szCs w:val="32"/>
        </w:rPr>
        <w:t>30%</w:t>
      </w:r>
      <w:r>
        <w:rPr>
          <w:rFonts w:hint="eastAsia"/>
          <w:szCs w:val="32"/>
        </w:rPr>
        <w:t>，呈荒漠草原景色。</w:t>
      </w:r>
    </w:p>
    <w:p w:rsidR="00442A1D">
      <w:pPr>
        <w:pStyle w:val="Heading3"/>
        <w:rPr>
          <w:rFonts w:hint="eastAsia"/>
        </w:rPr>
      </w:pPr>
      <w:r>
        <w:t>3.3.</w:t>
      </w:r>
      <w:r>
        <w:t>2</w:t>
      </w:r>
      <w:r>
        <w:rPr>
          <w:rFonts w:hint="eastAsia"/>
        </w:rPr>
        <w:t>地层岩性及工程地质、水文地质条件</w:t>
      </w:r>
    </w:p>
    <w:p w:rsidR="00442A1D">
      <w:pPr>
        <w:pStyle w:val="BodyTextIndent2"/>
        <w:rPr>
          <w:rFonts w:hint="eastAsia"/>
          <w:szCs w:val="32"/>
        </w:rPr>
      </w:pPr>
      <w:r>
        <w:rPr>
          <w:rFonts w:hint="eastAsia"/>
        </w:rPr>
        <w:t>宝塔综合项目区在区域上地表出露的地层比较简单，主要有三叠纪纸坑组、铜川组、延长组，侏罗纪延安组，白垩纪宜君组和第四纪全新世风积层等。</w:t>
      </w:r>
      <w:r>
        <w:rPr>
          <w:rFonts w:hint="eastAsia"/>
          <w:szCs w:val="32"/>
        </w:rPr>
        <w:t>地下水类型主要为碎屑岩类裂隙孔隙水，在地势低洼有利于地表水汇集的地段，零星分布有松散岩类孔隙潜水。</w:t>
      </w:r>
    </w:p>
    <w:p w:rsidR="00442A1D">
      <w:pPr>
        <w:pStyle w:val="BodyTextIndent2"/>
        <w:rPr>
          <w:rFonts w:hint="eastAsia"/>
        </w:rPr>
      </w:pPr>
      <w:r>
        <w:rPr>
          <w:rFonts w:hint="eastAsia"/>
        </w:rPr>
        <w:t>现由老到新将各时代的地层、岩性综述如</w:t>
      </w:r>
      <w:r>
        <w:rPr>
          <w:rFonts w:hint="eastAsia"/>
        </w:rPr>
        <w:t>下</w:t>
      </w:r>
      <w:r>
        <w:rPr>
          <w:rFonts w:hint="eastAsia"/>
        </w:rPr>
        <w:t>——</w:t>
      </w:r>
    </w:p>
    <w:p w:rsidR="00442A1D">
      <w:pPr>
        <w:pStyle w:val="BodyTextIndent2"/>
        <w:numPr>
          <w:ilvl w:val="0"/>
          <w:numId w:val="3"/>
        </w:numPr>
        <w:ind w:firstLineChars="0"/>
        <w:rPr>
          <w:rFonts w:hint="eastAsia"/>
        </w:rPr>
      </w:pPr>
      <w:r>
        <w:rPr>
          <w:rFonts w:hint="eastAsia"/>
        </w:rPr>
        <w:t>三叠纪纸坑组（</w:t>
      </w:r>
      <w:r>
        <w:t>Tz</w:t>
      </w:r>
      <w:r>
        <w:rPr>
          <w:rFonts w:hint="eastAsia"/>
        </w:rPr>
        <w:t>）：零星出露于沙石梁、鸳鸯湖、甜</w:t>
      </w:r>
      <w:r>
        <w:rPr>
          <w:rFonts w:hint="eastAsia"/>
        </w:rPr>
        <w:t>水井北等地、岩性为紫红色粉砂质泥</w:t>
      </w:r>
      <w:r>
        <w:rPr>
          <w:rFonts w:hint="eastAsia"/>
        </w:rPr>
        <w:t>岩夹少量黄绿色砂岩，残留厚度</w:t>
      </w:r>
      <w:r>
        <w:t>10</w:t>
      </w:r>
      <w:r>
        <w:rPr>
          <w:rFonts w:hint="eastAsia"/>
        </w:rPr>
        <w:t>～</w:t>
      </w:r>
      <w:r>
        <w:t>9</w:t>
      </w:r>
      <w:r>
        <w:t>0m</w:t>
      </w:r>
      <w:r>
        <w:rPr>
          <w:rFonts w:hint="eastAsia"/>
        </w:rPr>
        <w:t>；</w:t>
      </w:r>
    </w:p>
    <w:p w:rsidR="00442A1D">
      <w:pPr>
        <w:pStyle w:val="BodyTextIndent2"/>
        <w:numPr>
          <w:ilvl w:val="0"/>
          <w:numId w:val="3"/>
        </w:numPr>
        <w:ind w:firstLineChars="0"/>
        <w:rPr>
          <w:rFonts w:hint="eastAsia"/>
        </w:rPr>
        <w:sectPr>
          <w:type w:val="nextPage"/>
          <w:pgSz w:w="11906" w:h="16838"/>
          <w:pgMar w:top="1701" w:right="1134" w:bottom="1418" w:left="1758" w:header="851" w:footer="992" w:gutter="0"/>
          <w:pgNumType w:start="13"/>
          <w:cols w:space="425"/>
          <w:titlePg w:val="0"/>
          <w:docGrid w:type="lines" w:linePitch="312"/>
        </w:sectPr>
      </w:pPr>
      <w:r>
        <w:rPr>
          <w:rFonts w:hint="eastAsia"/>
        </w:rPr>
        <w:t>三叠纪铜川组（</w:t>
      </w:r>
      <w:r>
        <w:t>Tt</w:t>
      </w:r>
      <w:r>
        <w:rPr>
          <w:rFonts w:hint="eastAsia"/>
        </w:rPr>
        <w:t>）：分布较广。出露于</w:t>
      </w:r>
      <w:r>
        <w:t>307</w:t>
      </w:r>
      <w:r>
        <w:rPr>
          <w:rFonts w:hint="eastAsia"/>
        </w:rPr>
        <w:t>国道黄羊</w:t>
      </w:r>
      <w:r>
        <w:rPr>
          <w:rFonts w:hint="eastAsia"/>
        </w:rPr>
        <w:t>墩</w:t>
      </w:r>
      <w:r>
        <w:rPr>
          <w:rFonts w:hint="eastAsia"/>
        </w:rPr>
        <w:t>—</w:t>
      </w:r>
      <w:r>
        <w:rPr>
          <w:rFonts w:hint="eastAsia"/>
        </w:rPr>
        <w:t>回民巷段南北两侧，</w:t>
      </w:r>
      <w:r>
        <w:rPr>
          <w:rFonts w:hint="eastAsia"/>
        </w:rPr>
        <w:t>构成一系列复式背向斜。岩性：下部（</w:t>
      </w:r>
      <w:r>
        <w:t>Tt1</w:t>
      </w:r>
      <w:r>
        <w:rPr>
          <w:rFonts w:hint="eastAsia"/>
        </w:rPr>
        <w:t>）为黄绿色砂岩；上部（</w:t>
      </w:r>
      <w:r>
        <w:t>Tt2</w:t>
      </w:r>
      <w:r>
        <w:rPr>
          <w:rFonts w:hint="eastAsia"/>
        </w:rPr>
        <w:t>）为砖红色砂岩夹黄绿色粉砂质泥岩。本组厚</w:t>
      </w:r>
      <w:r>
        <w:t>650m</w:t>
      </w:r>
      <w:r>
        <w:rPr>
          <w:rFonts w:hint="eastAsia"/>
        </w:rPr>
        <w:t>；</w:t>
      </w:r>
    </w:p>
    <w:p w:rsidR="00442A1D">
      <w:pPr>
        <w:pStyle w:val="BodyTextIndent2"/>
        <w:numPr>
          <w:ilvl w:val="0"/>
          <w:numId w:val="3"/>
        </w:numPr>
        <w:ind w:firstLineChars="0"/>
        <w:rPr>
          <w:rFonts w:hint="eastAsia"/>
        </w:rPr>
      </w:pPr>
      <w:r>
        <w:rPr>
          <w:rFonts w:hint="eastAsia"/>
        </w:rPr>
        <w:t>三叠纪延长组（</w:t>
      </w:r>
      <w:r>
        <w:t>Ty</w:t>
      </w:r>
      <w:r>
        <w:rPr>
          <w:rFonts w:hint="eastAsia"/>
        </w:rPr>
        <w:t>）：出露于灵新井田周围。岩性：下部（</w:t>
      </w:r>
      <w:r>
        <w:t>Ty1</w:t>
      </w:r>
      <w:r>
        <w:rPr>
          <w:rFonts w:hint="eastAsia"/>
        </w:rPr>
        <w:t>）为灰白、灰黄色砂岩夹粉砂质泥岩、粉砂岩；上部（</w:t>
      </w:r>
      <w:r>
        <w:t>Ty2</w:t>
      </w:r>
      <w:r>
        <w:rPr>
          <w:rFonts w:hint="eastAsia"/>
        </w:rPr>
        <w:t>）为浅灰、灰白色砂岩夹黑色泥岩、砂</w:t>
      </w:r>
      <w:r>
        <w:rPr>
          <w:rFonts w:hint="eastAsia"/>
        </w:rPr>
        <w:t>质泥岩。本组厚</w:t>
      </w:r>
      <w:r>
        <w:t>50</w:t>
      </w:r>
      <w:r>
        <w:rPr>
          <w:rFonts w:hint="eastAsia"/>
        </w:rPr>
        <w:t>～</w:t>
      </w:r>
      <w:r>
        <w:t>120m</w:t>
      </w:r>
      <w:r>
        <w:rPr>
          <w:rFonts w:hint="eastAsia"/>
        </w:rPr>
        <w:t>；</w:t>
      </w:r>
    </w:p>
    <w:p w:rsidR="00442A1D">
      <w:pPr>
        <w:pStyle w:val="BodyTextIndent2"/>
        <w:numPr>
          <w:ilvl w:val="0"/>
          <w:numId w:val="3"/>
        </w:numPr>
        <w:ind w:firstLineChars="0"/>
        <w:rPr>
          <w:rFonts w:hint="eastAsia"/>
        </w:rPr>
      </w:pPr>
      <w:r>
        <w:rPr>
          <w:rFonts w:hint="eastAsia"/>
        </w:rPr>
        <w:t>侏罗纪延安组（</w:t>
      </w:r>
      <w:r>
        <w:t>Jyn</w:t>
      </w:r>
      <w:r>
        <w:rPr>
          <w:rFonts w:hint="eastAsia"/>
        </w:rPr>
        <w:t>）：大部分隐伏于地下，地表仅出露于灵新矿以</w:t>
      </w:r>
      <w:r>
        <w:rPr>
          <w:rFonts w:hint="eastAsia"/>
        </w:rPr>
        <w:t>北</w:t>
      </w:r>
      <w:r>
        <w:rPr>
          <w:rFonts w:hint="eastAsia"/>
        </w:rPr>
        <w:t>—</w:t>
      </w:r>
      <w:r>
        <w:rPr>
          <w:rFonts w:hint="eastAsia"/>
        </w:rPr>
        <w:t>—</w:t>
      </w:r>
      <w:r>
        <w:rPr>
          <w:rFonts w:hint="eastAsia"/>
        </w:rPr>
        <w:t>回民巷一带，为灵武矿区磁窑堡井田、鸳鸯湖矿区清水营井田、梅花井井田的含煤地层。岩性：下部（</w:t>
      </w:r>
      <w:r>
        <w:t>Jyn1</w:t>
      </w:r>
      <w:r>
        <w:rPr>
          <w:rFonts w:hint="eastAsia"/>
        </w:rPr>
        <w:t>）为灰、紫红、浅灰色含砾砂岩、砂岩，上部（</w:t>
      </w:r>
      <w:r>
        <w:t>Jy</w:t>
      </w:r>
      <w:r>
        <w:t>n2</w:t>
      </w:r>
      <w:r>
        <w:rPr>
          <w:rFonts w:hint="eastAsia"/>
        </w:rPr>
        <w:t>）为灰白色砂岩夹灰黑色粉砂岩。本组厚</w:t>
      </w:r>
      <w:r>
        <w:t>339m</w:t>
      </w:r>
      <w:r>
        <w:rPr>
          <w:rFonts w:hint="eastAsia"/>
        </w:rPr>
        <w:t>。含煤多达</w:t>
      </w:r>
      <w:r>
        <w:t>26</w:t>
      </w:r>
      <w:r>
        <w:rPr>
          <w:rFonts w:hint="eastAsia"/>
        </w:rPr>
        <w:t>层；</w:t>
      </w:r>
    </w:p>
    <w:p w:rsidR="00442A1D">
      <w:pPr>
        <w:pStyle w:val="BodyTextIndent2"/>
        <w:numPr>
          <w:ilvl w:val="0"/>
          <w:numId w:val="3"/>
        </w:numPr>
        <w:ind w:firstLineChars="0"/>
        <w:rPr>
          <w:rFonts w:hint="eastAsia"/>
        </w:rPr>
      </w:pPr>
      <w:r>
        <w:rPr>
          <w:rFonts w:hint="eastAsia"/>
        </w:rPr>
        <w:t>白垩纪宜君组（</w:t>
      </w:r>
      <w:r>
        <w:t>Ky</w:t>
      </w:r>
      <w:r>
        <w:rPr>
          <w:rFonts w:hint="eastAsia"/>
        </w:rPr>
        <w:t>）：大面积分布于高利</w:t>
      </w:r>
      <w:r>
        <w:rPr>
          <w:rFonts w:hint="eastAsia"/>
        </w:rPr>
        <w:t>墩</w:t>
      </w:r>
      <w:r>
        <w:rPr>
          <w:rFonts w:hint="eastAsia"/>
        </w:rPr>
        <w:t>—</w:t>
      </w:r>
      <w:r>
        <w:rPr>
          <w:rFonts w:hint="eastAsia"/>
        </w:rPr>
        <w:t>—</w:t>
      </w:r>
      <w:r>
        <w:rPr>
          <w:rFonts w:hint="eastAsia"/>
        </w:rPr>
        <w:t>车路沟一带的低山丘陵地区，岩性为灰绿、浅棕红色砾岩夹砂岩，厚度大于</w:t>
      </w:r>
      <w:r>
        <w:t>126m</w:t>
      </w:r>
      <w:r>
        <w:rPr>
          <w:rFonts w:hint="eastAsia"/>
        </w:rPr>
        <w:t>；</w:t>
      </w:r>
    </w:p>
    <w:p w:rsidR="00442A1D">
      <w:pPr>
        <w:pStyle w:val="BodyTextIndent2"/>
        <w:numPr>
          <w:ilvl w:val="0"/>
          <w:numId w:val="3"/>
        </w:numPr>
        <w:ind w:firstLineChars="0"/>
        <w:rPr>
          <w:rFonts w:hint="eastAsia"/>
        </w:rPr>
      </w:pPr>
      <w:r>
        <w:rPr>
          <w:rFonts w:hint="eastAsia"/>
        </w:rPr>
        <w:t>晚更新统洪积层（</w:t>
      </w:r>
      <w:r>
        <w:t>Qppl</w:t>
      </w:r>
      <w:r>
        <w:rPr>
          <w:rFonts w:hint="eastAsia"/>
        </w:rPr>
        <w:t>）分布于刘家寨子东面，岩性为浅灰色钙质胶结砾岩；</w:t>
      </w:r>
    </w:p>
    <w:p w:rsidR="00442A1D">
      <w:pPr>
        <w:pStyle w:val="BodyTextIndent2"/>
        <w:numPr>
          <w:ilvl w:val="0"/>
          <w:numId w:val="3"/>
        </w:numPr>
        <w:ind w:firstLineChars="0"/>
        <w:rPr>
          <w:rFonts w:hint="eastAsia"/>
        </w:rPr>
      </w:pPr>
      <w:r>
        <w:rPr>
          <w:rFonts w:hint="eastAsia"/>
        </w:rPr>
        <w:t>晚更</w:t>
      </w:r>
      <w:r>
        <w:rPr>
          <w:rFonts w:hint="eastAsia"/>
        </w:rPr>
        <w:t>新统风积层（</w:t>
      </w:r>
      <w:r>
        <w:t>Qp3eol</w:t>
      </w:r>
      <w:r>
        <w:rPr>
          <w:rFonts w:hint="eastAsia"/>
        </w:rPr>
        <w:t>）：为现代覆盖沙地地貌，岩性为黄土状粉砂，细粉砂；</w:t>
      </w:r>
    </w:p>
    <w:p w:rsidR="00442A1D">
      <w:pPr>
        <w:pStyle w:val="BodyTextIndent2"/>
        <w:numPr>
          <w:ilvl w:val="0"/>
          <w:numId w:val="3"/>
        </w:numPr>
        <w:ind w:firstLineChars="0"/>
        <w:rPr>
          <w:rFonts w:hint="eastAsia"/>
        </w:rPr>
      </w:pPr>
      <w:r>
        <w:rPr>
          <w:rFonts w:hint="eastAsia"/>
        </w:rPr>
        <w:t>全新统风积层（</w:t>
      </w:r>
      <w:r>
        <w:t>Qp</w:t>
      </w:r>
      <w:r>
        <w:t>leol</w:t>
      </w:r>
      <w:r>
        <w:rPr>
          <w:rFonts w:hint="eastAsia"/>
        </w:rPr>
        <w:t>）：固定半固定沙丘地貌，岩性为黄色粉砂、细粉砂；</w:t>
      </w:r>
    </w:p>
    <w:p w:rsidR="00442A1D">
      <w:pPr>
        <w:pStyle w:val="BodyTextIndent2"/>
        <w:numPr>
          <w:ilvl w:val="0"/>
          <w:numId w:val="3"/>
        </w:numPr>
        <w:ind w:firstLineChars="0"/>
        <w:rPr>
          <w:rFonts w:hint="eastAsia"/>
        </w:rPr>
        <w:sectPr>
          <w:type w:val="nextPage"/>
          <w:pgSz w:w="11906" w:h="16838"/>
          <w:pgMar w:top="1701" w:right="1134" w:bottom="1418" w:left="1758" w:header="851" w:footer="992" w:gutter="0"/>
          <w:pgNumType w:start="14"/>
          <w:cols w:space="425"/>
          <w:titlePg w:val="0"/>
          <w:docGrid w:type="lines" w:linePitch="312"/>
        </w:sectPr>
      </w:pPr>
      <w:r>
        <w:rPr>
          <w:rFonts w:hint="eastAsia"/>
        </w:rPr>
        <w:t>全新统风积层（</w:t>
      </w:r>
      <w:r>
        <w:t>Qh2eol</w:t>
      </w:r>
      <w:r>
        <w:rPr>
          <w:rFonts w:hint="eastAsia"/>
        </w:rPr>
        <w:t>）：大面积分布在</w:t>
      </w:r>
      <w:r>
        <w:t>307</w:t>
      </w:r>
      <w:r>
        <w:rPr>
          <w:rFonts w:hint="eastAsia"/>
        </w:rPr>
        <w:t>国道两侧，呈流动沙丘地貌，岩性为黄色粉砂、细</w:t>
      </w:r>
      <w:r>
        <w:rPr>
          <w:rFonts w:hint="eastAsia"/>
        </w:rPr>
        <w:t>粉砂。</w:t>
      </w:r>
    </w:p>
    <w:p w:rsidR="00442A1D">
      <w:pPr>
        <w:pStyle w:val="Heading3"/>
        <w:rPr>
          <w:rFonts w:hint="eastAsia"/>
        </w:rPr>
      </w:pPr>
      <w:r>
        <w:t>3.3.3</w:t>
      </w:r>
      <w:r>
        <w:rPr>
          <w:rFonts w:hint="eastAsia"/>
        </w:rPr>
        <w:t>气象及地震资料</w:t>
      </w:r>
    </w:p>
    <w:p w:rsidR="00442A1D">
      <w:pPr>
        <w:pStyle w:val="BodyTextIndent2"/>
        <w:rPr>
          <w:rFonts w:hint="eastAsia"/>
        </w:rPr>
      </w:pPr>
      <w:r>
        <w:rPr>
          <w:rFonts w:hint="eastAsia"/>
        </w:rPr>
        <w:t>场地年平均气温</w:t>
      </w:r>
      <w:r>
        <w:t>8.8</w:t>
      </w:r>
      <w:r>
        <w:rPr>
          <w:rFonts w:hint="eastAsia"/>
        </w:rPr>
        <w:t>℃</w:t>
      </w:r>
      <w:r>
        <w:rPr>
          <w:rFonts w:hint="eastAsia"/>
        </w:rPr>
        <w:t>，年均降水量</w:t>
      </w:r>
      <w:r>
        <w:t>203.4mm</w:t>
      </w:r>
      <w:r>
        <w:rPr>
          <w:rFonts w:hint="eastAsia"/>
        </w:rPr>
        <w:t>，属于中温带大陆性干旱气候地区，平均风速</w:t>
      </w:r>
      <w:r>
        <w:t>2.6m/s</w:t>
      </w:r>
      <w:r>
        <w:rPr>
          <w:rFonts w:hint="eastAsia"/>
        </w:rPr>
        <w:t>，全年平均沙尘暴日数</w:t>
      </w:r>
      <w:r>
        <w:t>11.3</w:t>
      </w:r>
      <w:r>
        <w:rPr>
          <w:rFonts w:hint="eastAsia"/>
        </w:rPr>
        <w:t>天，该区最大冻结深度</w:t>
      </w:r>
      <w:r>
        <w:t>1.09m</w:t>
      </w:r>
      <w:r>
        <w:rPr>
          <w:rFonts w:hint="eastAsia"/>
        </w:rPr>
        <w:t>。</w:t>
      </w:r>
    </w:p>
    <w:p w:rsidR="00442A1D">
      <w:pPr>
        <w:pStyle w:val="BodyTextIndent2"/>
        <w:rPr>
          <w:rFonts w:hint="eastAsia"/>
        </w:rPr>
      </w:pPr>
      <w:r>
        <w:rPr>
          <w:rFonts w:hint="eastAsia"/>
        </w:rPr>
        <w:t>该地区最大地震的震级为</w:t>
      </w:r>
      <w:r>
        <w:t>6</w:t>
      </w:r>
      <w:r>
        <w:rPr>
          <w:rFonts w:hint="eastAsia"/>
        </w:rPr>
        <w:t>级，双震型，抗震设防烈度为</w:t>
      </w:r>
      <w:r>
        <w:t>7</w:t>
      </w:r>
      <w:r>
        <w:rPr>
          <w:rFonts w:hint="eastAsia"/>
        </w:rPr>
        <w:t>度，基本地震加速度为</w:t>
      </w:r>
      <w:r>
        <w:t>0.165g</w:t>
      </w:r>
      <w:r>
        <w:rPr>
          <w:rFonts w:hint="eastAsia"/>
        </w:rPr>
        <w:t>。</w:t>
      </w:r>
    </w:p>
    <w:p w:rsidR="00442A1D">
      <w:pPr>
        <w:pStyle w:val="Heading2"/>
        <w:rPr>
          <w:rFonts w:hint="eastAsia"/>
        </w:rPr>
      </w:pPr>
      <w:r>
        <w:t>3.4</w:t>
      </w:r>
      <w:r>
        <w:rPr>
          <w:rFonts w:hint="eastAsia"/>
        </w:rPr>
        <w:t>拟建项目与邻线的关系</w:t>
      </w:r>
    </w:p>
    <w:p w:rsidR="00442A1D">
      <w:pPr>
        <w:pStyle w:val="BodyTextIndent2"/>
        <w:ind w:firstLine="560"/>
        <w:rPr>
          <w:rFonts w:hint="eastAsia"/>
        </w:rPr>
        <w:sectPr>
          <w:type w:val="nextPage"/>
          <w:pgSz w:w="11906" w:h="16838"/>
          <w:pgMar w:top="1701" w:right="1134" w:bottom="1418" w:left="1758" w:header="851" w:footer="992" w:gutter="0"/>
          <w:pgNumType w:start="15"/>
          <w:cols w:space="425"/>
          <w:titlePg w:val="0"/>
          <w:docGrid w:type="lines" w:linePitch="312"/>
        </w:sectPr>
      </w:pPr>
      <w:r>
        <w:rPr>
          <w:rFonts w:hint="eastAsia"/>
          <w:sz w:val="28"/>
          <w:szCs w:val="28"/>
        </w:rPr>
        <w:t>大</w:t>
      </w:r>
      <w:r>
        <w:rPr>
          <w:rFonts w:hint="eastAsia"/>
        </w:rPr>
        <w:t>古铁路古窑子车站位于大古铁路</w:t>
      </w:r>
      <w:r>
        <w:t>K69+450</w:t>
      </w:r>
      <w:r>
        <w:rPr>
          <w:rFonts w:hint="eastAsia"/>
        </w:rPr>
        <w:t>处，是</w:t>
      </w:r>
      <w:r>
        <w:rPr>
          <w:rFonts w:hint="eastAsia"/>
        </w:rPr>
        <w:t>大古线</w:t>
      </w:r>
      <w:r>
        <w:rPr>
          <w:rFonts w:hint="eastAsia"/>
        </w:rPr>
        <w:t>的终点站，距磁窑堡北</w:t>
      </w:r>
      <w:r>
        <w:t>6km</w:t>
      </w:r>
      <w:r>
        <w:rPr>
          <w:rFonts w:hint="eastAsia"/>
        </w:rPr>
        <w:t>，附近有灵新、羊场湾、枣泉、鸳鸯湖等四个矿区及矿区附属企业的专用线在两端</w:t>
      </w:r>
      <w:r>
        <w:rPr>
          <w:rFonts w:hint="eastAsia"/>
        </w:rPr>
        <w:t>接轨，古黎（古窑</w:t>
      </w:r>
      <w:r>
        <w:rPr>
          <w:rFonts w:hint="eastAsia"/>
        </w:rPr>
        <w:t>子</w:t>
      </w:r>
      <w:r>
        <w:rPr>
          <w:rFonts w:hint="eastAsia"/>
        </w:rPr>
        <w:t>—</w:t>
      </w:r>
      <w:r>
        <w:rPr>
          <w:rFonts w:hint="eastAsia"/>
        </w:rPr>
        <w:t>黎家新庄）铁路也在此站北端</w:t>
      </w:r>
      <w:r>
        <w:rPr>
          <w:rFonts w:hint="eastAsia"/>
        </w:rPr>
        <w:t>接轨。全站有正线</w:t>
      </w:r>
      <w:r>
        <w:t>1</w:t>
      </w:r>
      <w:r>
        <w:rPr>
          <w:rFonts w:hint="eastAsia"/>
        </w:rPr>
        <w:t>股，到发线</w:t>
      </w:r>
      <w:r>
        <w:t>5</w:t>
      </w:r>
      <w:r>
        <w:rPr>
          <w:rFonts w:hint="eastAsia"/>
        </w:rPr>
        <w:t>股，编组线</w:t>
      </w:r>
      <w:r>
        <w:t>5</w:t>
      </w:r>
      <w:r>
        <w:rPr>
          <w:rFonts w:hint="eastAsia"/>
        </w:rPr>
        <w:t>股（已撤除</w:t>
      </w:r>
      <w:r>
        <w:t>2</w:t>
      </w:r>
      <w:r>
        <w:rPr>
          <w:rFonts w:hint="eastAsia"/>
        </w:rPr>
        <w:t>股），宝塔公司油品专用线装卸油品货物线</w:t>
      </w:r>
      <w:r>
        <w:t>3</w:t>
      </w:r>
      <w:r>
        <w:rPr>
          <w:rFonts w:hint="eastAsia"/>
        </w:rPr>
        <w:t>股，工化公司原油专用线的货物线</w:t>
      </w:r>
      <w:r>
        <w:t>1</w:t>
      </w:r>
      <w:r>
        <w:rPr>
          <w:rFonts w:hint="eastAsia"/>
        </w:rPr>
        <w:t>股，轨道车库线</w:t>
      </w:r>
      <w:r>
        <w:t>2</w:t>
      </w:r>
      <w:r>
        <w:rPr>
          <w:rFonts w:hint="eastAsia"/>
        </w:rPr>
        <w:t>股，南、北牵出线各一条，诸条安全线等，基本站台一座。本站设有机务车辆段，机车整备线与车辆停留线，段内有机车整备待班线</w:t>
      </w:r>
      <w:r>
        <w:t>2</w:t>
      </w:r>
      <w:r>
        <w:rPr>
          <w:rFonts w:hint="eastAsia"/>
        </w:rPr>
        <w:t>条，机车</w:t>
      </w:r>
      <w:r>
        <w:rPr>
          <w:rFonts w:hint="eastAsia"/>
        </w:rPr>
        <w:t>走行、转向用三角线、救援列车线、备用机车停留线、中检库线、洗修库线、出入段线等，段下设列检所</w:t>
      </w:r>
      <w:r>
        <w:t>1</w:t>
      </w:r>
      <w:r>
        <w:rPr>
          <w:rFonts w:hint="eastAsia"/>
        </w:rPr>
        <w:t>处。车站信号设备为微机联锁，站间半自动闭塞。拟建项目的接轨点在现大古铁路西牵出线距车挡</w:t>
      </w:r>
      <w:r>
        <w:t>400m</w:t>
      </w:r>
      <w:r>
        <w:rPr>
          <w:rFonts w:hint="eastAsia"/>
        </w:rPr>
        <w:t>处，即相对大古铁路</w:t>
      </w:r>
      <w:r>
        <w:t>K68+775</w:t>
      </w:r>
      <w:r>
        <w:rPr>
          <w:rFonts w:hint="eastAsia"/>
        </w:rPr>
        <w:t>处。建成后的宝塔铁路专用</w:t>
      </w:r>
      <w:r>
        <w:rPr>
          <w:rFonts w:hint="eastAsia"/>
        </w:rPr>
        <w:t>线，距离古窑子车站较近，大约</w:t>
      </w:r>
      <w:r>
        <w:t>1KM</w:t>
      </w:r>
    </w:p>
    <w:p w:rsidR="00442A1D">
      <w:pPr>
        <w:pStyle w:val="BodyTextIndent2"/>
        <w:ind w:firstLine="560"/>
        <w:rPr>
          <w:rFonts w:hint="eastAsia"/>
        </w:rPr>
      </w:pPr>
      <w:r>
        <w:rPr>
          <w:rFonts w:hint="eastAsia"/>
        </w:rPr>
        <w:t>左右，其运营管理模式，应由大古铁路有限责任公司进行运营管理。宝塔铁路专用线的经营管理、养护维修、运输、行车组织、机车车辆等与运营有关的事宜，均由甲方委托大古铁路有关部门进行，因此，具备雄厚的技术条件。</w:t>
      </w:r>
    </w:p>
    <w:p w:rsidR="00442A1D">
      <w:pPr>
        <w:pStyle w:val="Heading2"/>
        <w:rPr>
          <w:rFonts w:hint="eastAsia"/>
        </w:rPr>
      </w:pPr>
      <w:r>
        <w:t>3.5</w:t>
      </w:r>
      <w:r>
        <w:rPr>
          <w:rFonts w:hint="eastAsia"/>
        </w:rPr>
        <w:t>拟建项目与公路、铁路等运输</w:t>
      </w:r>
      <w:r>
        <w:rPr>
          <w:rFonts w:hint="eastAsia"/>
        </w:rPr>
        <w:t>的关系</w:t>
      </w:r>
    </w:p>
    <w:p w:rsidR="00442A1D">
      <w:pPr>
        <w:pStyle w:val="BodyTextIndent2"/>
        <w:rPr>
          <w:rFonts w:hint="eastAsia"/>
        </w:rPr>
      </w:pPr>
      <w:r>
        <w:rPr>
          <w:rFonts w:hint="eastAsia"/>
        </w:rPr>
        <w:t>项目区东面紧邻古窑子车站，大古铁路和拟建的古黎铁路支线从规划区域通过，使规划项目区与煤</w:t>
      </w:r>
      <w:r>
        <w:rPr>
          <w:rFonts w:hint="eastAsia"/>
        </w:rPr>
        <w:t>矿及包兰铁路紧密相连；规划中的太（原</w:t>
      </w:r>
      <w:r>
        <w:rPr>
          <w:rFonts w:hint="eastAsia"/>
        </w:rPr>
        <w:t>）</w:t>
      </w:r>
      <w:r>
        <w:rPr>
          <w:rFonts w:hint="eastAsia"/>
        </w:rPr>
        <w:t>—</w:t>
      </w:r>
      <w:r>
        <w:rPr>
          <w:rFonts w:hint="eastAsia"/>
        </w:rPr>
        <w:t>—</w:t>
      </w:r>
      <w:r>
        <w:rPr>
          <w:rFonts w:hint="eastAsia"/>
        </w:rPr>
        <w:t>中（卫）铁路东接石太线，西接干武铁路至兰新线，是宁夏</w:t>
      </w:r>
      <w:r>
        <w:rPr>
          <w:rFonts w:hint="eastAsia"/>
        </w:rPr>
        <w:t>对外交通运输新增的东西向大通道。项目区东西和南面与黎羊公</w:t>
      </w:r>
      <w:r>
        <w:rPr>
          <w:rFonts w:hint="eastAsia"/>
        </w:rPr>
        <w:t>路相邻，北临</w:t>
      </w:r>
      <w:r>
        <w:t>307</w:t>
      </w:r>
      <w:r>
        <w:rPr>
          <w:rFonts w:hint="eastAsia"/>
        </w:rPr>
        <w:t>国道，邻近银古高速公路，距银（川）青（岛）高速公路</w:t>
      </w:r>
      <w:r>
        <w:t>3</w:t>
      </w:r>
      <w:r>
        <w:rPr>
          <w:rFonts w:hint="eastAsia"/>
        </w:rPr>
        <w:t>公里，公路交通比较便利。</w:t>
      </w:r>
    </w:p>
    <w:p w:rsidR="00442A1D">
      <w:pPr>
        <w:pStyle w:val="Heading2"/>
        <w:rPr>
          <w:rFonts w:hint="eastAsia"/>
        </w:rPr>
      </w:pPr>
      <w:r>
        <w:t>3.6</w:t>
      </w:r>
      <w:r>
        <w:rPr>
          <w:rFonts w:hint="eastAsia"/>
        </w:rPr>
        <w:t>沿线的社会条件</w:t>
      </w:r>
    </w:p>
    <w:p w:rsidR="00442A1D">
      <w:pPr>
        <w:pStyle w:val="BodyTextIndent2"/>
        <w:rPr>
          <w:rFonts w:hint="eastAsia"/>
        </w:rPr>
      </w:pPr>
      <w:r>
        <w:rPr>
          <w:rFonts w:hint="eastAsia"/>
        </w:rPr>
        <w:t>宝塔铁路专用线范围内的购地，已征得大古铁路有限责任公司和当地政府的同意，并满足古窑子车站站场扩建，大古铁路修建复线和机车走行线北端联络线的可能。并征得</w:t>
      </w:r>
      <w:r>
        <w:rPr>
          <w:rFonts w:hint="eastAsia"/>
        </w:rPr>
        <w:t>当地村民的认可。</w:t>
      </w:r>
    </w:p>
    <w:p w:rsidR="00442A1D">
      <w:pPr>
        <w:pStyle w:val="Heading2"/>
        <w:rPr>
          <w:rFonts w:hint="eastAsia"/>
        </w:rPr>
      </w:pPr>
      <w:r>
        <w:t>3.7</w:t>
      </w:r>
      <w:r>
        <w:rPr>
          <w:rFonts w:hint="eastAsia"/>
        </w:rPr>
        <w:t>行政支持条件</w:t>
      </w:r>
    </w:p>
    <w:p w:rsidR="00442A1D">
      <w:pPr>
        <w:pStyle w:val="BodyTextIndent2"/>
        <w:rPr>
          <w:rFonts w:hint="eastAsia"/>
        </w:rPr>
        <w:sectPr>
          <w:type w:val="nextPage"/>
          <w:pgSz w:w="11906" w:h="16838"/>
          <w:pgMar w:top="1701" w:right="1134" w:bottom="1418" w:left="1758" w:header="851" w:footer="992" w:gutter="0"/>
          <w:pgNumType w:start="16"/>
          <w:cols w:space="425"/>
          <w:titlePg w:val="0"/>
          <w:docGrid w:type="lines" w:linePitch="312"/>
        </w:sectPr>
      </w:pPr>
      <w:r>
        <w:rPr>
          <w:rFonts w:hint="eastAsia"/>
        </w:rPr>
        <w:t>宁东能源化工基地宝塔综合项目区（西区）的建设已经自治区政</w:t>
      </w:r>
      <w:r>
        <w:rPr>
          <w:rFonts w:hint="eastAsia"/>
        </w:rPr>
        <w:t>府有关部门批准（宁夏发改委文件</w:t>
      </w:r>
      <w:r>
        <w:t>[2023]238</w:t>
      </w:r>
      <w:r>
        <w:rPr>
          <w:rFonts w:hint="eastAsia"/>
        </w:rPr>
        <w:t>号《关于宁夏宝塔石化集团宁东能源</w:t>
      </w:r>
      <w:r>
        <w:rPr>
          <w:rFonts w:hint="eastAsia"/>
        </w:rPr>
        <w:t>重化工基地宝塔综合项目区发展规划的批复》）；具体建设方案已得到</w:t>
      </w:r>
      <w:r>
        <w:rPr>
          <w:rFonts w:hint="eastAsia"/>
        </w:rPr>
        <w:t>兰州铁路局和大古铁路有限责任公司的认可。</w:t>
      </w:r>
    </w:p>
    <w:p w:rsidR="00442A1D">
      <w:pPr>
        <w:pStyle w:val="BodyTextIndent2"/>
        <w:rPr>
          <w:rFonts w:hint="eastAsia"/>
        </w:rPr>
      </w:pPr>
    </w:p>
    <w:p w:rsidR="00442A1D">
      <w:pPr>
        <w:pStyle w:val="BodyTextIndent2"/>
        <w:sectPr>
          <w:type w:val="nextPage"/>
          <w:pgSz w:w="11906" w:h="16838"/>
          <w:pgMar w:top="1701" w:right="1134" w:bottom="1418" w:left="1758" w:header="851" w:footer="992" w:gutter="0"/>
          <w:pgNumType w:start="17"/>
          <w:cols w:space="425"/>
          <w:titlePg w:val="0"/>
          <w:docGrid w:type="lines" w:linePitch="312"/>
        </w:sectPr>
      </w:pPr>
    </w:p>
    <w:p w:rsidR="00442A1D">
      <w:pPr>
        <w:pStyle w:val="Heading1"/>
        <w:rPr>
          <w:rFonts w:hint="eastAsia"/>
        </w:rPr>
      </w:pPr>
      <w:r>
        <w:rPr>
          <w:rFonts w:hint="eastAsia"/>
        </w:rPr>
        <w:t>四、建设规模与标准</w:t>
      </w:r>
    </w:p>
    <w:p w:rsidR="00442A1D">
      <w:pPr>
        <w:pStyle w:val="Heading2"/>
        <w:rPr>
          <w:rFonts w:hint="eastAsia"/>
        </w:rPr>
      </w:pPr>
      <w:r>
        <w:t>4.1</w:t>
      </w:r>
      <w:r>
        <w:rPr>
          <w:rFonts w:hint="eastAsia"/>
        </w:rPr>
        <w:t>建设规模</w:t>
      </w:r>
    </w:p>
    <w:p w:rsidR="00442A1D">
      <w:pPr>
        <w:pStyle w:val="Heading3"/>
        <w:rPr>
          <w:rFonts w:hint="eastAsia"/>
        </w:rPr>
      </w:pPr>
      <w:r>
        <w:t>4.1.1</w:t>
      </w:r>
      <w:r>
        <w:rPr>
          <w:rFonts w:hint="eastAsia"/>
        </w:rPr>
        <w:t>设计线路长度</w:t>
      </w:r>
    </w:p>
    <w:p w:rsidR="00442A1D">
      <w:pPr>
        <w:pStyle w:val="NoList"/>
        <w:numPr>
          <w:ilvl w:val="0"/>
          <w:numId w:val="11"/>
        </w:numPr>
        <w:jc w:val="left"/>
        <w:rPr>
          <w:rFonts w:hint="eastAsia"/>
          <w:sz w:val="30"/>
          <w:szCs w:val="32"/>
        </w:rPr>
      </w:pPr>
      <w:r>
        <w:rPr>
          <w:rFonts w:hint="eastAsia"/>
          <w:sz w:val="30"/>
          <w:szCs w:val="32"/>
        </w:rPr>
        <w:t>线路总长度为</w:t>
      </w:r>
      <w:r>
        <w:rPr>
          <w:sz w:val="30"/>
          <w:szCs w:val="32"/>
        </w:rPr>
        <w:t>3.18km</w:t>
      </w:r>
      <w:r>
        <w:rPr>
          <w:rFonts w:hint="eastAsia"/>
          <w:sz w:val="30"/>
          <w:szCs w:val="32"/>
        </w:rPr>
        <w:t>；共有货物线五股；</w:t>
      </w:r>
    </w:p>
    <w:p w:rsidR="00442A1D">
      <w:pPr>
        <w:pStyle w:val="NoList"/>
        <w:numPr>
          <w:ilvl w:val="0"/>
          <w:numId w:val="11"/>
        </w:numPr>
        <w:jc w:val="left"/>
        <w:rPr>
          <w:rFonts w:hint="eastAsia"/>
          <w:sz w:val="30"/>
          <w:szCs w:val="32"/>
        </w:rPr>
      </w:pPr>
      <w:r>
        <w:rPr>
          <w:sz w:val="30"/>
          <w:szCs w:val="32"/>
        </w:rPr>
        <w:t>1</w:t>
      </w:r>
      <w:r>
        <w:rPr>
          <w:rFonts w:hint="eastAsia"/>
          <w:sz w:val="30"/>
          <w:szCs w:val="32"/>
        </w:rPr>
        <w:t>道为化工原料、焦炭、聚乙烯、硫磺装卸线，有效长度为</w:t>
      </w:r>
      <w:r>
        <w:rPr>
          <w:sz w:val="30"/>
          <w:szCs w:val="32"/>
        </w:rPr>
        <w:t>400m</w:t>
      </w:r>
      <w:r>
        <w:rPr>
          <w:rFonts w:hint="eastAsia"/>
          <w:sz w:val="30"/>
          <w:szCs w:val="32"/>
        </w:rPr>
        <w:t>；</w:t>
      </w:r>
    </w:p>
    <w:p w:rsidR="00442A1D">
      <w:pPr>
        <w:pStyle w:val="NoList"/>
        <w:numPr>
          <w:ilvl w:val="0"/>
          <w:numId w:val="11"/>
        </w:numPr>
        <w:jc w:val="left"/>
        <w:rPr>
          <w:rFonts w:hint="eastAsia"/>
          <w:sz w:val="30"/>
          <w:szCs w:val="32"/>
        </w:rPr>
      </w:pPr>
      <w:r>
        <w:rPr>
          <w:sz w:val="30"/>
          <w:szCs w:val="32"/>
        </w:rPr>
        <w:t>2</w:t>
      </w:r>
      <w:r>
        <w:rPr>
          <w:rFonts w:hint="eastAsia"/>
          <w:sz w:val="30"/>
          <w:szCs w:val="32"/>
        </w:rPr>
        <w:t>道为固体货物线，有效长度为</w:t>
      </w:r>
      <w:r>
        <w:rPr>
          <w:sz w:val="30"/>
          <w:szCs w:val="32"/>
        </w:rPr>
        <w:t>400m</w:t>
      </w:r>
      <w:r>
        <w:rPr>
          <w:rFonts w:hint="eastAsia"/>
          <w:sz w:val="30"/>
          <w:szCs w:val="32"/>
        </w:rPr>
        <w:t>；</w:t>
      </w:r>
    </w:p>
    <w:p w:rsidR="00442A1D">
      <w:pPr>
        <w:pStyle w:val="NoList"/>
        <w:numPr>
          <w:ilvl w:val="0"/>
          <w:numId w:val="11"/>
        </w:numPr>
        <w:jc w:val="left"/>
        <w:rPr>
          <w:rFonts w:hint="eastAsia"/>
          <w:sz w:val="30"/>
          <w:szCs w:val="32"/>
        </w:rPr>
      </w:pPr>
      <w:r>
        <w:rPr>
          <w:sz w:val="30"/>
          <w:szCs w:val="32"/>
        </w:rPr>
        <w:t>3</w:t>
      </w:r>
      <w:r>
        <w:rPr>
          <w:rFonts w:hint="eastAsia"/>
          <w:sz w:val="30"/>
          <w:szCs w:val="32"/>
        </w:rPr>
        <w:t>道为液化气、</w:t>
      </w:r>
      <w:r>
        <w:rPr>
          <w:rFonts w:hint="eastAsia"/>
          <w:sz w:val="30"/>
          <w:szCs w:val="32"/>
        </w:rPr>
        <w:t>丙烯、二甲醚装卸线，有效长度为</w:t>
      </w:r>
      <w:r>
        <w:rPr>
          <w:sz w:val="30"/>
          <w:szCs w:val="32"/>
        </w:rPr>
        <w:t>400m</w:t>
      </w:r>
      <w:r>
        <w:rPr>
          <w:rFonts w:hint="eastAsia"/>
          <w:sz w:val="30"/>
          <w:szCs w:val="32"/>
        </w:rPr>
        <w:t>；</w:t>
      </w:r>
    </w:p>
    <w:p w:rsidR="00442A1D">
      <w:pPr>
        <w:pStyle w:val="NoList"/>
        <w:numPr>
          <w:ilvl w:val="0"/>
          <w:numId w:val="11"/>
        </w:numPr>
        <w:jc w:val="left"/>
        <w:rPr>
          <w:rFonts w:hint="eastAsia"/>
          <w:sz w:val="30"/>
          <w:szCs w:val="32"/>
        </w:rPr>
      </w:pPr>
      <w:r>
        <w:rPr>
          <w:sz w:val="30"/>
          <w:szCs w:val="32"/>
        </w:rPr>
        <w:t>4</w:t>
      </w:r>
      <w:r>
        <w:rPr>
          <w:rFonts w:hint="eastAsia"/>
          <w:sz w:val="30"/>
          <w:szCs w:val="32"/>
        </w:rPr>
        <w:t>道为汽油、柴油、石脑油、甲醇装卸线，有效长度为</w:t>
      </w:r>
      <w:r>
        <w:rPr>
          <w:sz w:val="30"/>
          <w:szCs w:val="32"/>
        </w:rPr>
        <w:t>55</w:t>
      </w:r>
      <w:r>
        <w:rPr>
          <w:sz w:val="30"/>
          <w:szCs w:val="32"/>
        </w:rPr>
        <w:t>0m</w:t>
      </w:r>
      <w:r>
        <w:rPr>
          <w:rFonts w:hint="eastAsia"/>
          <w:sz w:val="30"/>
          <w:szCs w:val="32"/>
        </w:rPr>
        <w:t>；</w:t>
      </w:r>
    </w:p>
    <w:p w:rsidR="00442A1D">
      <w:pPr>
        <w:pStyle w:val="NoList"/>
        <w:numPr>
          <w:ilvl w:val="0"/>
          <w:numId w:val="11"/>
        </w:numPr>
        <w:jc w:val="left"/>
        <w:rPr>
          <w:rFonts w:hint="eastAsia"/>
          <w:sz w:val="30"/>
          <w:szCs w:val="32"/>
        </w:rPr>
      </w:pPr>
      <w:r>
        <w:rPr>
          <w:sz w:val="30"/>
          <w:szCs w:val="32"/>
        </w:rPr>
        <w:t>5</w:t>
      </w:r>
      <w:r>
        <w:rPr>
          <w:rFonts w:hint="eastAsia"/>
          <w:sz w:val="30"/>
          <w:szCs w:val="32"/>
        </w:rPr>
        <w:t>道为原油、燃料油装卸线，有效长度为</w:t>
      </w:r>
      <w:r>
        <w:rPr>
          <w:sz w:val="30"/>
          <w:szCs w:val="32"/>
        </w:rPr>
        <w:t>550m</w:t>
      </w:r>
      <w:r>
        <w:rPr>
          <w:rFonts w:hint="eastAsia"/>
          <w:sz w:val="30"/>
          <w:szCs w:val="32"/>
        </w:rPr>
        <w:t>。</w:t>
      </w:r>
    </w:p>
    <w:p w:rsidR="00442A1D">
      <w:pPr>
        <w:pStyle w:val="Heading3"/>
        <w:rPr>
          <w:rFonts w:hint="eastAsia"/>
        </w:rPr>
      </w:pPr>
      <w:r>
        <w:t>4.1.2</w:t>
      </w:r>
      <w:r>
        <w:rPr>
          <w:rFonts w:hint="eastAsia"/>
        </w:rPr>
        <w:t>设计</w:t>
      </w:r>
      <w:r>
        <w:rPr>
          <w:rFonts w:hint="eastAsia"/>
        </w:rPr>
        <w:t>线间距</w:t>
      </w:r>
    </w:p>
    <w:p w:rsidR="00442A1D">
      <w:pPr>
        <w:pStyle w:val="NoList"/>
        <w:numPr>
          <w:ilvl w:val="0"/>
          <w:numId w:val="11"/>
        </w:numPr>
        <w:jc w:val="left"/>
        <w:rPr>
          <w:rFonts w:hint="eastAsia"/>
          <w:sz w:val="30"/>
          <w:szCs w:val="32"/>
        </w:rPr>
      </w:pPr>
      <w:r>
        <w:rPr>
          <w:rFonts w:hint="eastAsia"/>
          <w:sz w:val="30"/>
          <w:szCs w:val="32"/>
        </w:rPr>
        <w:t>货</w:t>
      </w:r>
      <w:r>
        <w:rPr>
          <w:sz w:val="30"/>
          <w:szCs w:val="32"/>
        </w:rPr>
        <w:t>1</w:t>
      </w:r>
      <w:r>
        <w:rPr>
          <w:rFonts w:hint="eastAsia"/>
          <w:sz w:val="30"/>
          <w:szCs w:val="32"/>
        </w:rPr>
        <w:t>和货</w:t>
      </w:r>
      <w:r>
        <w:rPr>
          <w:sz w:val="30"/>
          <w:szCs w:val="32"/>
        </w:rPr>
        <w:t>2</w:t>
      </w:r>
      <w:r>
        <w:rPr>
          <w:rFonts w:hint="eastAsia"/>
          <w:sz w:val="30"/>
          <w:szCs w:val="32"/>
        </w:rPr>
        <w:t>线间距为</w:t>
      </w:r>
      <w:r>
        <w:rPr>
          <w:sz w:val="30"/>
          <w:szCs w:val="32"/>
        </w:rPr>
        <w:t>32m</w:t>
      </w:r>
      <w:r>
        <w:rPr>
          <w:rFonts w:hint="eastAsia"/>
          <w:sz w:val="30"/>
          <w:szCs w:val="32"/>
        </w:rPr>
        <w:t>；</w:t>
      </w:r>
    </w:p>
    <w:p w:rsidR="00442A1D">
      <w:pPr>
        <w:pStyle w:val="NoList"/>
        <w:numPr>
          <w:ilvl w:val="0"/>
          <w:numId w:val="11"/>
        </w:numPr>
        <w:jc w:val="left"/>
        <w:rPr>
          <w:rFonts w:hint="eastAsia"/>
          <w:sz w:val="30"/>
          <w:szCs w:val="32"/>
        </w:rPr>
      </w:pPr>
      <w:r>
        <w:rPr>
          <w:rFonts w:hint="eastAsia"/>
          <w:sz w:val="30"/>
          <w:szCs w:val="32"/>
        </w:rPr>
        <w:t>货</w:t>
      </w:r>
      <w:r>
        <w:rPr>
          <w:sz w:val="30"/>
          <w:szCs w:val="32"/>
        </w:rPr>
        <w:t>2</w:t>
      </w:r>
      <w:r>
        <w:rPr>
          <w:rFonts w:hint="eastAsia"/>
          <w:sz w:val="30"/>
          <w:szCs w:val="32"/>
        </w:rPr>
        <w:t>和货</w:t>
      </w:r>
      <w:r>
        <w:rPr>
          <w:sz w:val="30"/>
          <w:szCs w:val="32"/>
        </w:rPr>
        <w:t>3</w:t>
      </w:r>
      <w:r>
        <w:rPr>
          <w:rFonts w:hint="eastAsia"/>
          <w:sz w:val="30"/>
          <w:szCs w:val="32"/>
        </w:rPr>
        <w:t>线间距为</w:t>
      </w:r>
      <w:r>
        <w:rPr>
          <w:sz w:val="30"/>
          <w:szCs w:val="32"/>
        </w:rPr>
        <w:t>30m</w:t>
      </w:r>
      <w:r>
        <w:rPr>
          <w:rFonts w:hint="eastAsia"/>
          <w:sz w:val="30"/>
          <w:szCs w:val="32"/>
        </w:rPr>
        <w:t>；</w:t>
      </w:r>
    </w:p>
    <w:p w:rsidR="00442A1D">
      <w:pPr>
        <w:pStyle w:val="NoList"/>
        <w:numPr>
          <w:ilvl w:val="0"/>
          <w:numId w:val="11"/>
        </w:numPr>
        <w:jc w:val="left"/>
        <w:rPr>
          <w:rFonts w:hint="eastAsia"/>
          <w:sz w:val="30"/>
          <w:szCs w:val="32"/>
        </w:rPr>
      </w:pPr>
      <w:r>
        <w:rPr>
          <w:rFonts w:hint="eastAsia"/>
          <w:sz w:val="30"/>
          <w:szCs w:val="32"/>
        </w:rPr>
        <w:t>货</w:t>
      </w:r>
      <w:r>
        <w:rPr>
          <w:sz w:val="30"/>
          <w:szCs w:val="32"/>
        </w:rPr>
        <w:t>3</w:t>
      </w:r>
      <w:r>
        <w:rPr>
          <w:rFonts w:hint="eastAsia"/>
          <w:sz w:val="30"/>
          <w:szCs w:val="32"/>
        </w:rPr>
        <w:t>和货</w:t>
      </w:r>
      <w:r>
        <w:rPr>
          <w:sz w:val="30"/>
          <w:szCs w:val="32"/>
        </w:rPr>
        <w:t>4</w:t>
      </w:r>
      <w:r>
        <w:rPr>
          <w:rFonts w:hint="eastAsia"/>
          <w:sz w:val="30"/>
          <w:szCs w:val="32"/>
        </w:rPr>
        <w:t>线间距</w:t>
      </w:r>
      <w:r>
        <w:rPr>
          <w:rFonts w:hint="eastAsia"/>
          <w:sz w:val="30"/>
          <w:szCs w:val="32"/>
        </w:rPr>
        <w:t>为</w:t>
      </w:r>
      <w:r>
        <w:rPr>
          <w:sz w:val="30"/>
          <w:szCs w:val="32"/>
        </w:rPr>
        <w:t>18m</w:t>
      </w:r>
      <w:r>
        <w:rPr>
          <w:rFonts w:hint="eastAsia"/>
          <w:sz w:val="30"/>
          <w:szCs w:val="32"/>
        </w:rPr>
        <w:t>；</w:t>
      </w:r>
    </w:p>
    <w:p w:rsidR="00442A1D">
      <w:pPr>
        <w:pStyle w:val="NoList"/>
        <w:numPr>
          <w:ilvl w:val="0"/>
          <w:numId w:val="11"/>
        </w:numPr>
        <w:jc w:val="left"/>
        <w:rPr>
          <w:rFonts w:hint="eastAsia"/>
          <w:sz w:val="30"/>
          <w:szCs w:val="32"/>
        </w:rPr>
      </w:pPr>
      <w:r>
        <w:rPr>
          <w:rFonts w:hint="eastAsia"/>
          <w:sz w:val="30"/>
          <w:szCs w:val="32"/>
        </w:rPr>
        <w:t>货</w:t>
      </w:r>
      <w:r>
        <w:rPr>
          <w:sz w:val="30"/>
          <w:szCs w:val="32"/>
        </w:rPr>
        <w:t>4</w:t>
      </w:r>
      <w:r>
        <w:rPr>
          <w:rFonts w:hint="eastAsia"/>
          <w:sz w:val="30"/>
          <w:szCs w:val="32"/>
        </w:rPr>
        <w:t>和货</w:t>
      </w:r>
      <w:r>
        <w:rPr>
          <w:sz w:val="30"/>
          <w:szCs w:val="32"/>
        </w:rPr>
        <w:t>5</w:t>
      </w:r>
      <w:r>
        <w:rPr>
          <w:rFonts w:hint="eastAsia"/>
          <w:sz w:val="30"/>
          <w:szCs w:val="32"/>
        </w:rPr>
        <w:t>线间距为</w:t>
      </w:r>
      <w:r>
        <w:rPr>
          <w:sz w:val="30"/>
          <w:szCs w:val="32"/>
        </w:rPr>
        <w:t>6.5m</w:t>
      </w:r>
      <w:r>
        <w:rPr>
          <w:rFonts w:hint="eastAsia"/>
          <w:sz w:val="30"/>
          <w:szCs w:val="32"/>
        </w:rPr>
        <w:t>。</w:t>
      </w:r>
    </w:p>
    <w:p w:rsidR="00442A1D">
      <w:pPr>
        <w:pStyle w:val="Heading3"/>
        <w:rPr>
          <w:rFonts w:hint="eastAsia"/>
        </w:rPr>
      </w:pPr>
      <w:r>
        <w:t>4.1.3</w:t>
      </w:r>
      <w:r>
        <w:rPr>
          <w:rFonts w:hint="eastAsia"/>
        </w:rPr>
        <w:t>货运输送能力</w:t>
      </w:r>
    </w:p>
    <w:p w:rsidR="00442A1D">
      <w:pPr>
        <w:pStyle w:val="BodyTextIndent2"/>
        <w:rPr>
          <w:rFonts w:hint="eastAsia"/>
        </w:rPr>
        <w:sectPr>
          <w:pgSz w:w="11906" w:h="16838"/>
          <w:pgMar w:top="1701" w:right="1134" w:bottom="1418" w:left="1758" w:header="851" w:footer="992" w:gutter="0"/>
          <w:pgNumType w:start="18"/>
          <w:cols w:space="425"/>
          <w:docGrid w:type="lines" w:linePitch="312"/>
        </w:sectPr>
      </w:pPr>
      <w:r>
        <w:rPr>
          <w:rFonts w:hint="eastAsia"/>
        </w:rPr>
        <w:t>在</w:t>
      </w:r>
      <w:r>
        <w:t>2023</w:t>
      </w:r>
      <w:r>
        <w:rPr>
          <w:rFonts w:hint="eastAsia"/>
        </w:rPr>
        <w:t>年和</w:t>
      </w:r>
      <w:r>
        <w:t>2023</w:t>
      </w:r>
      <w:r>
        <w:rPr>
          <w:rFonts w:hint="eastAsia"/>
        </w:rPr>
        <w:t>年，运量将会分别增加到</w:t>
      </w:r>
      <w:r>
        <w:t>265</w:t>
      </w:r>
      <w:r>
        <w:rPr>
          <w:rFonts w:hint="eastAsia"/>
        </w:rPr>
        <w:t>万</w:t>
      </w:r>
      <w:r>
        <w:t>t</w:t>
      </w:r>
      <w:r>
        <w:rPr>
          <w:rFonts w:hint="eastAsia"/>
        </w:rPr>
        <w:t>和</w:t>
      </w:r>
      <w:r>
        <w:t>440</w:t>
      </w:r>
      <w:r>
        <w:rPr>
          <w:rFonts w:hint="eastAsia"/>
        </w:rPr>
        <w:t>万</w:t>
      </w:r>
      <w:r>
        <w:t>t</w:t>
      </w:r>
    </w:p>
    <w:p w:rsidR="00442A1D">
      <w:pPr>
        <w:pStyle w:val="BodyTextIndent2"/>
        <w:rPr>
          <w:rFonts w:hint="eastAsia"/>
        </w:rPr>
      </w:pPr>
      <w:r>
        <w:rPr>
          <w:rFonts w:hint="eastAsia"/>
        </w:rPr>
        <w:t>。满足完全替代现租用的大古铁路公司货场的装卸能力的需求。满足近期</w:t>
      </w:r>
      <w:r>
        <w:t>265</w:t>
      </w:r>
      <w:r>
        <w:rPr>
          <w:rFonts w:hint="eastAsia"/>
        </w:rPr>
        <w:t>万</w:t>
      </w:r>
      <w:r>
        <w:t>t</w:t>
      </w:r>
      <w:r>
        <w:rPr>
          <w:rFonts w:hint="eastAsia"/>
        </w:rPr>
        <w:t>和远期</w:t>
      </w:r>
      <w:r>
        <w:t>440</w:t>
      </w:r>
      <w:r>
        <w:rPr>
          <w:rFonts w:hint="eastAsia"/>
        </w:rPr>
        <w:t>万</w:t>
      </w:r>
      <w:r>
        <w:t>t</w:t>
      </w:r>
      <w:r>
        <w:rPr>
          <w:rFonts w:hint="eastAsia"/>
        </w:rPr>
        <w:t>装卸能力的需求。</w:t>
      </w:r>
    </w:p>
    <w:p w:rsidR="00442A1D">
      <w:pPr>
        <w:pStyle w:val="Heading2"/>
        <w:rPr>
          <w:rFonts w:hint="eastAsia"/>
        </w:rPr>
      </w:pPr>
      <w:r>
        <w:t>4.2</w:t>
      </w:r>
      <w:r>
        <w:rPr>
          <w:rFonts w:hint="eastAsia"/>
        </w:rPr>
        <w:t>技术标准</w:t>
      </w:r>
    </w:p>
    <w:p w:rsidR="00442A1D">
      <w:pPr>
        <w:pStyle w:val="Heading3"/>
        <w:rPr>
          <w:rFonts w:hint="eastAsia"/>
        </w:rPr>
      </w:pPr>
      <w:r>
        <w:t>4.2.1</w:t>
      </w:r>
      <w:r>
        <w:rPr>
          <w:rFonts w:hint="eastAsia"/>
        </w:rPr>
        <w:t>铁</w:t>
      </w:r>
      <w:r>
        <w:rPr>
          <w:rFonts w:hint="eastAsia"/>
        </w:rPr>
        <w:t>路等级</w:t>
      </w:r>
    </w:p>
    <w:p w:rsidR="00442A1D">
      <w:pPr>
        <w:pStyle w:val="BodyTextIndent2"/>
        <w:rPr>
          <w:rFonts w:hint="eastAsia"/>
        </w:rPr>
      </w:pPr>
      <w:r>
        <w:rPr>
          <w:rFonts w:hint="eastAsia"/>
        </w:rPr>
        <w:t>本线近、远期货物运输总量</w:t>
      </w:r>
      <w:r>
        <w:t>1000</w:t>
      </w:r>
      <w:r>
        <w:rPr>
          <w:rFonts w:hint="eastAsia"/>
        </w:rPr>
        <w:t>万</w:t>
      </w:r>
      <w:r>
        <w:t>t/</w:t>
      </w:r>
      <w:r>
        <w:rPr>
          <w:rFonts w:hint="eastAsia"/>
        </w:rPr>
        <w:t>年，运量大于</w:t>
      </w:r>
      <w:r>
        <w:t>400</w:t>
      </w:r>
      <w:r>
        <w:rPr>
          <w:rFonts w:hint="eastAsia"/>
        </w:rPr>
        <w:t>万</w:t>
      </w:r>
      <w:r>
        <w:t>t</w:t>
      </w:r>
      <w:r>
        <w:rPr>
          <w:rFonts w:hint="eastAsia"/>
        </w:rPr>
        <w:t>，根据《工业企业标准轨距铁</w:t>
      </w:r>
      <w:r>
        <w:rPr>
          <w:rFonts w:hint="eastAsia"/>
        </w:rPr>
        <w:t>路设计规范》，确定铁路等级</w:t>
      </w:r>
      <w:r>
        <w:rPr>
          <w:rFonts w:hint="eastAsia"/>
        </w:rPr>
        <w:t>为工</w:t>
      </w:r>
      <w:r>
        <w:rPr>
          <w:rFonts w:hint="eastAsia"/>
        </w:rPr>
        <w:t>企</w:t>
      </w:r>
      <w:r>
        <w:rPr>
          <w:rFonts w:hint="eastAsia"/>
        </w:rPr>
        <w:t>Ⅰ</w:t>
      </w:r>
      <w:r>
        <w:rPr>
          <w:rFonts w:hint="eastAsia"/>
        </w:rPr>
        <w:t>级。</w:t>
      </w:r>
    </w:p>
    <w:p w:rsidR="00442A1D">
      <w:pPr>
        <w:pStyle w:val="Heading3"/>
        <w:rPr>
          <w:rFonts w:hint="eastAsia"/>
        </w:rPr>
      </w:pPr>
      <w:r>
        <w:t>4.2.2</w:t>
      </w:r>
      <w:r>
        <w:rPr>
          <w:rFonts w:hint="eastAsia"/>
        </w:rPr>
        <w:t>正线数目</w:t>
      </w:r>
    </w:p>
    <w:p w:rsidR="00442A1D">
      <w:pPr>
        <w:pStyle w:val="BodyTextIndent2"/>
        <w:rPr>
          <w:rFonts w:hint="eastAsia"/>
        </w:rPr>
      </w:pPr>
      <w:r>
        <w:rPr>
          <w:rFonts w:hint="eastAsia"/>
        </w:rPr>
        <w:t>根据本线研究年度</w:t>
      </w:r>
      <w:r>
        <w:rPr>
          <w:rFonts w:hint="eastAsia"/>
        </w:rPr>
        <w:t>的运量水平，正线数目应为单线。</w:t>
      </w:r>
    </w:p>
    <w:p w:rsidR="00442A1D">
      <w:pPr>
        <w:pStyle w:val="Heading3"/>
        <w:rPr>
          <w:rFonts w:hint="eastAsia"/>
        </w:rPr>
      </w:pPr>
      <w:r>
        <w:t>4.2.3</w:t>
      </w:r>
      <w:r>
        <w:rPr>
          <w:rFonts w:hint="eastAsia"/>
        </w:rPr>
        <w:t>限制坡度</w:t>
      </w:r>
    </w:p>
    <w:p w:rsidR="00442A1D">
      <w:pPr>
        <w:pStyle w:val="BodyTextIndent2"/>
        <w:rPr>
          <w:rFonts w:hint="eastAsia"/>
        </w:rPr>
      </w:pPr>
      <w:r>
        <w:rPr>
          <w:rFonts w:hint="eastAsia"/>
        </w:rPr>
        <w:t>限制坡度</w:t>
      </w:r>
      <w:r>
        <w:t>6</w:t>
      </w:r>
      <w:r>
        <w:t>‰</w:t>
      </w:r>
      <w:r>
        <w:rPr>
          <w:rFonts w:hint="eastAsia"/>
        </w:rPr>
        <w:t>。</w:t>
      </w:r>
    </w:p>
    <w:p w:rsidR="00442A1D">
      <w:pPr>
        <w:pStyle w:val="Heading3"/>
        <w:rPr>
          <w:rFonts w:hint="eastAsia"/>
        </w:rPr>
      </w:pPr>
      <w:r>
        <w:t>4.2</w:t>
      </w:r>
      <w:r>
        <w:t>.4</w:t>
      </w:r>
      <w:r>
        <w:rPr>
          <w:rFonts w:hint="eastAsia"/>
        </w:rPr>
        <w:t>最小曲线半径</w:t>
      </w:r>
    </w:p>
    <w:p w:rsidR="00442A1D">
      <w:pPr>
        <w:pStyle w:val="BodyTextIndent2"/>
        <w:rPr>
          <w:rFonts w:hint="eastAsia"/>
        </w:rPr>
      </w:pPr>
      <w:r>
        <w:rPr>
          <w:rFonts w:hint="eastAsia"/>
        </w:rPr>
        <w:t>曲线半径不小于</w:t>
      </w:r>
      <w:r>
        <w:t>300m</w:t>
      </w:r>
      <w:r>
        <w:rPr>
          <w:rFonts w:hint="eastAsia"/>
        </w:rPr>
        <w:t>。</w:t>
      </w:r>
    </w:p>
    <w:p w:rsidR="00442A1D">
      <w:pPr>
        <w:pStyle w:val="Heading3"/>
        <w:rPr>
          <w:rFonts w:hint="eastAsia"/>
        </w:rPr>
      </w:pPr>
      <w:r>
        <w:t>4.2.5</w:t>
      </w:r>
      <w:r>
        <w:rPr>
          <w:rFonts w:hint="eastAsia"/>
        </w:rPr>
        <w:t>牵引种类、机车类型、牵引质量、到发线有效长度</w:t>
      </w:r>
    </w:p>
    <w:p w:rsidR="00442A1D">
      <w:pPr>
        <w:pStyle w:val="BodyTextIndent2"/>
        <w:rPr>
          <w:rFonts w:hint="eastAsia"/>
        </w:rPr>
        <w:sectPr>
          <w:type w:val="nextPage"/>
          <w:pgSz w:w="11906" w:h="16838"/>
          <w:pgMar w:top="1701" w:right="1134" w:bottom="1418" w:left="1758" w:header="851" w:footer="992" w:gutter="0"/>
          <w:pgNumType w:start="19"/>
          <w:cols w:space="425"/>
          <w:titlePg w:val="0"/>
          <w:docGrid w:type="lines" w:linePitch="312"/>
        </w:sectPr>
      </w:pPr>
      <w:r>
        <w:rPr>
          <w:rFonts w:hint="eastAsia"/>
        </w:rPr>
        <w:t>既有大古地方铁路采用内燃机车牵引，牵引质量重车（上行）方向为</w:t>
      </w:r>
      <w:r>
        <w:t>4000t</w:t>
      </w:r>
      <w:r>
        <w:rPr>
          <w:rFonts w:hint="eastAsia"/>
        </w:rPr>
        <w:t>，到发线有效长度为</w:t>
      </w:r>
      <w:r>
        <w:t>650m</w:t>
      </w:r>
      <w:r>
        <w:rPr>
          <w:rFonts w:hint="eastAsia"/>
        </w:rPr>
        <w:t>。设计年度内近远期，大古地方铁路拟采用</w:t>
      </w:r>
      <w:r>
        <w:t>DF</w:t>
      </w:r>
      <w:r>
        <w:rPr>
          <w:vertAlign w:val="subscript"/>
        </w:rPr>
        <w:t>4D</w:t>
      </w:r>
      <w:r>
        <w:rPr>
          <w:rFonts w:hint="eastAsia"/>
        </w:rPr>
        <w:t>、</w:t>
      </w:r>
      <w:r>
        <w:t>DF</w:t>
      </w:r>
      <w:r>
        <w:rPr>
          <w:vertAlign w:val="subscript"/>
        </w:rPr>
        <w:t>4B</w:t>
      </w:r>
      <w:r>
        <w:rPr>
          <w:rFonts w:hint="eastAsia"/>
        </w:rPr>
        <w:t>型内燃机车牵引，</w:t>
      </w:r>
      <w:r>
        <w:rPr>
          <w:rFonts w:hint="eastAsia"/>
        </w:rPr>
        <w:t>牵引质量重车（上行）方向为</w:t>
      </w:r>
      <w:r>
        <w:t>4000t</w:t>
      </w:r>
      <w:r>
        <w:rPr>
          <w:rFonts w:hint="eastAsia"/>
        </w:rPr>
        <w:t>、轻车（下行）方向为</w:t>
      </w:r>
      <w:r>
        <w:t>2023t</w:t>
      </w:r>
      <w:r>
        <w:rPr>
          <w:rFonts w:hint="eastAsia"/>
        </w:rPr>
        <w:t>，到发线有效长度为</w:t>
      </w:r>
      <w:r>
        <w:t>850m</w:t>
      </w:r>
      <w:r>
        <w:rPr>
          <w:rFonts w:hint="eastAsia"/>
        </w:rPr>
        <w:t>。</w:t>
      </w:r>
      <w:r>
        <w:rPr>
          <w:rFonts w:hint="eastAsia"/>
        </w:rPr>
        <w:t>为</w:t>
      </w:r>
    </w:p>
    <w:p w:rsidR="00442A1D">
      <w:pPr>
        <w:pStyle w:val="BodyTextIndent2"/>
        <w:rPr>
          <w:rFonts w:hint="eastAsia"/>
        </w:rPr>
      </w:pPr>
      <w:r>
        <w:rPr>
          <w:rFonts w:hint="eastAsia"/>
        </w:rPr>
        <w:t>了方便运输组织，本线应考虑与改造后的大古地方铁路技术标准一致。因此，本线的标准分述如</w:t>
      </w:r>
      <w:r>
        <w:rPr>
          <w:rFonts w:hint="eastAsia"/>
        </w:rPr>
        <w:t>下</w:t>
      </w:r>
      <w:r>
        <w:rPr>
          <w:rFonts w:hint="eastAsia"/>
        </w:rPr>
        <w:t>——</w:t>
      </w:r>
    </w:p>
    <w:p w:rsidR="00442A1D">
      <w:pPr>
        <w:pStyle w:val="BodyTextIndent2"/>
        <w:rPr>
          <w:rFonts w:hint="eastAsia"/>
        </w:rPr>
      </w:pPr>
      <w:r>
        <w:rPr>
          <w:rFonts w:hint="eastAsia"/>
        </w:rPr>
        <w:t>牵引种类：内燃</w:t>
      </w:r>
    </w:p>
    <w:p w:rsidR="00442A1D">
      <w:pPr>
        <w:pStyle w:val="BodyTextIndent2"/>
        <w:rPr>
          <w:rFonts w:hint="eastAsia"/>
        </w:rPr>
      </w:pPr>
      <w:r>
        <w:rPr>
          <w:rFonts w:hint="eastAsia"/>
        </w:rPr>
        <w:t>机车类型：东风</w:t>
      </w:r>
      <w:r>
        <w:t>4D</w:t>
      </w:r>
      <w:r>
        <w:rPr>
          <w:rFonts w:hint="eastAsia"/>
        </w:rPr>
        <w:t>（</w:t>
      </w:r>
      <w:r>
        <w:t>DF</w:t>
      </w:r>
      <w:r>
        <w:rPr>
          <w:vertAlign w:val="subscript"/>
        </w:rPr>
        <w:t>4D</w:t>
      </w:r>
      <w:r>
        <w:rPr>
          <w:rFonts w:hint="eastAsia"/>
        </w:rPr>
        <w:t>）</w:t>
      </w:r>
    </w:p>
    <w:p w:rsidR="00442A1D">
      <w:pPr>
        <w:pStyle w:val="BodyTextIndent2"/>
        <w:rPr>
          <w:rFonts w:hint="eastAsia"/>
        </w:rPr>
      </w:pPr>
      <w:r>
        <w:rPr>
          <w:rFonts w:hint="eastAsia"/>
        </w:rPr>
        <w:t>牵引质量</w:t>
      </w:r>
      <w:r>
        <w:rPr>
          <w:rFonts w:hint="eastAsia"/>
        </w:rPr>
        <w:t>：重车（上行）方向为</w:t>
      </w:r>
      <w:r>
        <w:t>4000t</w:t>
      </w:r>
      <w:r>
        <w:rPr>
          <w:rFonts w:hint="eastAsia"/>
        </w:rPr>
        <w:t>、轻车（下行）方向为</w:t>
      </w:r>
      <w:r>
        <w:t>2023t</w:t>
      </w:r>
    </w:p>
    <w:p w:rsidR="00442A1D">
      <w:pPr>
        <w:pStyle w:val="BodyTextIndent2"/>
        <w:rPr>
          <w:rFonts w:hint="eastAsia"/>
        </w:rPr>
      </w:pPr>
      <w:r>
        <w:rPr>
          <w:rFonts w:hint="eastAsia"/>
        </w:rPr>
        <w:t>装卸线有效长度：</w:t>
      </w:r>
      <w:r>
        <w:t>400m</w:t>
      </w:r>
      <w:r>
        <w:rPr>
          <w:rFonts w:hint="eastAsia"/>
        </w:rPr>
        <w:t>（半列）</w:t>
      </w:r>
    </w:p>
    <w:p w:rsidR="00442A1D">
      <w:pPr>
        <w:pStyle w:val="Heading3"/>
        <w:rPr>
          <w:rFonts w:hint="eastAsia"/>
        </w:rPr>
      </w:pPr>
      <w:r>
        <w:t>4.2.6</w:t>
      </w:r>
      <w:r>
        <w:rPr>
          <w:rFonts w:hint="eastAsia"/>
        </w:rPr>
        <w:t>道岔控制</w:t>
      </w:r>
    </w:p>
    <w:p w:rsidR="00442A1D">
      <w:pPr>
        <w:pStyle w:val="BodyTextIndent2"/>
        <w:rPr>
          <w:rFonts w:hint="eastAsia"/>
          <w:sz w:val="32"/>
        </w:rPr>
      </w:pPr>
      <w:r>
        <w:rPr>
          <w:rFonts w:hint="eastAsia"/>
        </w:rPr>
        <w:t>本次设计的宝塔铁路危险品专用线，距离古窑子车站较近，不到</w:t>
      </w:r>
      <w:r>
        <w:t>1km</w:t>
      </w:r>
      <w:r>
        <w:rPr>
          <w:rFonts w:hint="eastAsia"/>
        </w:rPr>
        <w:t>，因此两站间宜采用场间联系电话，专用线内道</w:t>
      </w:r>
      <w:r>
        <w:rPr>
          <w:rFonts w:hint="eastAsia"/>
          <w:sz w:val="32"/>
        </w:rPr>
        <w:t>岔由古窑子站集中控制。</w:t>
      </w:r>
    </w:p>
    <w:p w:rsidR="00442A1D">
      <w:pPr>
        <w:pStyle w:val="BodyTextIndent2"/>
        <w:ind w:firstLine="640"/>
        <w:rPr>
          <w:rFonts w:hint="eastAsia"/>
          <w:sz w:val="32"/>
        </w:rPr>
      </w:pPr>
    </w:p>
    <w:p w:rsidR="00442A1D">
      <w:pPr>
        <w:pStyle w:val="BodyTextIndent2"/>
        <w:sectPr>
          <w:type w:val="nextPage"/>
          <w:pgSz w:w="11906" w:h="16838"/>
          <w:pgMar w:top="1701" w:right="1134" w:bottom="1418" w:left="1758" w:header="851" w:footer="992" w:gutter="0"/>
          <w:pgNumType w:start="20"/>
          <w:cols w:space="425"/>
          <w:titlePg w:val="0"/>
          <w:docGrid w:type="lines" w:linePitch="312"/>
        </w:sectPr>
      </w:pPr>
    </w:p>
    <w:p w:rsidR="00442A1D">
      <w:pPr>
        <w:pStyle w:val="Heading1"/>
        <w:rPr>
          <w:rFonts w:hint="eastAsia"/>
        </w:rPr>
      </w:pPr>
      <w:bookmarkStart w:id="7" w:name="_Hlt173837825"/>
      <w:bookmarkEnd w:id="7"/>
      <w:r>
        <w:rPr>
          <w:rFonts w:hint="eastAsia"/>
        </w:rPr>
        <w:t>五、工程和设备方案</w:t>
      </w:r>
    </w:p>
    <w:p w:rsidR="00442A1D">
      <w:pPr>
        <w:pStyle w:val="Heading2"/>
        <w:rPr>
          <w:rFonts w:hint="eastAsia"/>
        </w:rPr>
      </w:pPr>
      <w:r>
        <w:t>5.1</w:t>
      </w:r>
      <w:r>
        <w:rPr>
          <w:rFonts w:hint="eastAsia"/>
        </w:rPr>
        <w:t>工程方案</w:t>
      </w:r>
    </w:p>
    <w:p w:rsidR="00442A1D">
      <w:pPr>
        <w:pStyle w:val="Heading3"/>
        <w:rPr>
          <w:rFonts w:hint="eastAsia"/>
        </w:rPr>
      </w:pPr>
      <w:r>
        <w:t>5.1.1</w:t>
      </w:r>
      <w:r>
        <w:rPr>
          <w:rFonts w:hint="eastAsia"/>
        </w:rPr>
        <w:t>线路工程方案</w:t>
      </w:r>
    </w:p>
    <w:p w:rsidR="00442A1D">
      <w:pPr>
        <w:pStyle w:val="BodyTextIndent2"/>
        <w:rPr>
          <w:rFonts w:hint="eastAsia"/>
        </w:rPr>
      </w:pPr>
      <w:r>
        <w:rPr>
          <w:rFonts w:hint="eastAsia"/>
        </w:rPr>
        <w:t>本次设计新增货物线五股，其中装运固体货物二股，每股长约</w:t>
      </w:r>
      <w:r>
        <w:t>400m</w:t>
      </w:r>
      <w:r>
        <w:rPr>
          <w:rFonts w:hint="eastAsia"/>
        </w:rPr>
        <w:t>，液化气、二甲醚、丙烯一股长</w:t>
      </w:r>
      <w:r>
        <w:t>400m</w:t>
      </w:r>
      <w:r>
        <w:rPr>
          <w:rFonts w:hint="eastAsia"/>
        </w:rPr>
        <w:t>，汽柴油、石脑油一股，长</w:t>
      </w:r>
      <w:r>
        <w:t>550m</w:t>
      </w:r>
      <w:r>
        <w:rPr>
          <w:rFonts w:hint="eastAsia"/>
        </w:rPr>
        <w:t>。原油、燃料油罐车线一股长</w:t>
      </w:r>
      <w:r>
        <w:t>550m</w:t>
      </w:r>
      <w:r>
        <w:rPr>
          <w:rFonts w:hint="eastAsia"/>
        </w:rPr>
        <w:t>。</w:t>
      </w:r>
    </w:p>
    <w:p w:rsidR="00442A1D">
      <w:pPr>
        <w:pStyle w:val="NoList"/>
        <w:numPr>
          <w:ilvl w:val="0"/>
          <w:numId w:val="12"/>
        </w:numPr>
        <w:jc w:val="left"/>
        <w:rPr>
          <w:rFonts w:hint="eastAsia"/>
          <w:sz w:val="30"/>
          <w:szCs w:val="32"/>
        </w:rPr>
      </w:pPr>
      <w:r>
        <w:rPr>
          <w:rFonts w:hint="eastAsia"/>
          <w:sz w:val="30"/>
          <w:szCs w:val="32"/>
        </w:rPr>
        <w:t>线路平</w:t>
      </w:r>
      <w:r>
        <w:rPr>
          <w:rFonts w:hint="eastAsia"/>
          <w:sz w:val="30"/>
          <w:szCs w:val="32"/>
        </w:rPr>
        <w:t>面</w:t>
      </w:r>
      <w:r>
        <w:rPr>
          <w:rFonts w:hint="eastAsia"/>
          <w:sz w:val="30"/>
          <w:szCs w:val="32"/>
        </w:rPr>
        <w:t>—</w:t>
      </w:r>
      <w:r>
        <w:rPr>
          <w:rFonts w:hint="eastAsia"/>
          <w:sz w:val="30"/>
          <w:szCs w:val="32"/>
        </w:rPr>
        <w:t>—</w:t>
      </w:r>
      <w:r>
        <w:rPr>
          <w:rFonts w:hint="eastAsia"/>
          <w:sz w:val="30"/>
          <w:szCs w:val="32"/>
        </w:rPr>
        <w:t>线路平面位置依据宝塔石化</w:t>
      </w:r>
      <w:r>
        <w:rPr>
          <w:rFonts w:hint="eastAsia"/>
          <w:sz w:val="30"/>
          <w:szCs w:val="32"/>
        </w:rPr>
        <w:t>集团对《宝塔石化集团大古铁路古窑子车站新建货场工程设计方案》审查会议纪要确定。最小曲线半径不得小于</w:t>
      </w:r>
      <w:r>
        <w:rPr>
          <w:sz w:val="30"/>
          <w:szCs w:val="32"/>
        </w:rPr>
        <w:t>300m</w:t>
      </w:r>
      <w:r>
        <w:rPr>
          <w:rFonts w:hint="eastAsia"/>
          <w:sz w:val="30"/>
          <w:szCs w:val="32"/>
        </w:rPr>
        <w:t>，缓和曲线外轨超高不足</w:t>
      </w:r>
      <w:r>
        <w:rPr>
          <w:sz w:val="30"/>
          <w:szCs w:val="32"/>
        </w:rPr>
        <w:t>10mm</w:t>
      </w:r>
      <w:r>
        <w:rPr>
          <w:rFonts w:hint="eastAsia"/>
          <w:sz w:val="30"/>
          <w:szCs w:val="32"/>
        </w:rPr>
        <w:t>时，可不设缓和曲线。</w:t>
      </w:r>
    </w:p>
    <w:p w:rsidR="00442A1D">
      <w:pPr>
        <w:pStyle w:val="NoList"/>
        <w:numPr>
          <w:ilvl w:val="0"/>
          <w:numId w:val="12"/>
        </w:numPr>
        <w:spacing w:line="600" w:lineRule="exact"/>
        <w:ind w:left="1219"/>
        <w:rPr>
          <w:rFonts w:hint="eastAsia"/>
          <w:sz w:val="30"/>
          <w:szCs w:val="32"/>
        </w:rPr>
      </w:pPr>
      <w:r>
        <w:rPr>
          <w:rFonts w:hint="eastAsia"/>
          <w:sz w:val="30"/>
          <w:szCs w:val="32"/>
        </w:rPr>
        <w:t>线路纵断</w:t>
      </w:r>
      <w:r>
        <w:rPr>
          <w:rFonts w:hint="eastAsia"/>
          <w:sz w:val="30"/>
          <w:szCs w:val="32"/>
        </w:rPr>
        <w:t>面</w:t>
      </w:r>
      <w:r>
        <w:rPr>
          <w:rFonts w:hint="eastAsia"/>
          <w:sz w:val="30"/>
          <w:szCs w:val="32"/>
        </w:rPr>
        <w:t>—</w:t>
      </w:r>
      <w:r>
        <w:rPr>
          <w:rFonts w:hint="eastAsia"/>
          <w:sz w:val="30"/>
          <w:szCs w:val="32"/>
        </w:rPr>
        <w:t>—</w:t>
      </w:r>
      <w:r>
        <w:rPr>
          <w:rFonts w:hint="eastAsia"/>
          <w:sz w:val="30"/>
          <w:szCs w:val="32"/>
        </w:rPr>
        <w:t>线路纵断面的坡段长度一般不应小于到发线有效长度的一半，站内到发线坡度不大于</w:t>
      </w:r>
      <w:r>
        <w:rPr>
          <w:sz w:val="30"/>
          <w:szCs w:val="32"/>
        </w:rPr>
        <w:t>1.</w:t>
      </w:r>
      <w:r>
        <w:rPr>
          <w:sz w:val="30"/>
          <w:szCs w:val="32"/>
        </w:rPr>
        <w:t>5</w:t>
      </w:r>
      <w:r>
        <w:rPr>
          <w:sz w:val="30"/>
          <w:szCs w:val="32"/>
        </w:rPr>
        <w:t>‰</w:t>
      </w:r>
      <w:r>
        <w:rPr>
          <w:rFonts w:hint="eastAsia"/>
          <w:sz w:val="30"/>
          <w:szCs w:val="32"/>
        </w:rPr>
        <w:t>；装卸线设在平</w:t>
      </w:r>
      <w:r>
        <w:rPr>
          <w:rFonts w:hint="eastAsia"/>
          <w:sz w:val="30"/>
          <w:szCs w:val="32"/>
        </w:rPr>
        <w:t>坡道上。</w:t>
      </w:r>
    </w:p>
    <w:p w:rsidR="00442A1D">
      <w:pPr>
        <w:pStyle w:val="Heading3"/>
        <w:rPr>
          <w:rFonts w:hint="eastAsia"/>
        </w:rPr>
      </w:pPr>
      <w:r>
        <w:t>5.1.2</w:t>
      </w:r>
      <w:r>
        <w:rPr>
          <w:rFonts w:hint="eastAsia"/>
        </w:rPr>
        <w:t>路基及排水</w:t>
      </w:r>
    </w:p>
    <w:p w:rsidR="00442A1D">
      <w:pPr>
        <w:pStyle w:val="NoList"/>
        <w:numPr>
          <w:ilvl w:val="0"/>
          <w:numId w:val="12"/>
        </w:numPr>
        <w:spacing w:line="600" w:lineRule="exact"/>
        <w:ind w:left="1219"/>
        <w:rPr>
          <w:rFonts w:hint="eastAsia"/>
          <w:sz w:val="30"/>
          <w:szCs w:val="32"/>
        </w:rPr>
        <w:sectPr>
          <w:pgSz w:w="11906" w:h="16838"/>
          <w:pgMar w:top="1701" w:right="1134" w:bottom="1418" w:left="1701" w:header="851" w:footer="992" w:gutter="0"/>
          <w:pgNumType w:start="21"/>
          <w:cols w:space="425"/>
          <w:docGrid w:type="lines" w:linePitch="312"/>
        </w:sectPr>
      </w:pPr>
      <w:r>
        <w:rPr>
          <w:rFonts w:hint="eastAsia"/>
          <w:sz w:val="30"/>
          <w:szCs w:val="32"/>
        </w:rPr>
        <w:t>路</w:t>
      </w:r>
      <w:r>
        <w:rPr>
          <w:rFonts w:hint="eastAsia"/>
          <w:sz w:val="30"/>
          <w:szCs w:val="32"/>
        </w:rPr>
        <w:t>基</w:t>
      </w:r>
      <w:r>
        <w:rPr>
          <w:rFonts w:hint="eastAsia"/>
          <w:sz w:val="30"/>
          <w:szCs w:val="32"/>
        </w:rPr>
        <w:t>—</w:t>
      </w:r>
      <w:r>
        <w:rPr>
          <w:rFonts w:hint="eastAsia"/>
          <w:sz w:val="30"/>
          <w:szCs w:val="32"/>
        </w:rPr>
        <w:t>—</w:t>
      </w:r>
      <w:r>
        <w:rPr>
          <w:rFonts w:hint="eastAsia"/>
          <w:sz w:val="30"/>
          <w:szCs w:val="32"/>
        </w:rPr>
        <w:t>单线直线地段路基宽度：非渗水土路基宽</w:t>
      </w:r>
      <w:r>
        <w:rPr>
          <w:sz w:val="30"/>
          <w:szCs w:val="32"/>
        </w:rPr>
        <w:t>5.4m</w:t>
      </w:r>
      <w:r>
        <w:rPr>
          <w:rFonts w:hint="eastAsia"/>
          <w:sz w:val="30"/>
          <w:szCs w:val="32"/>
        </w:rPr>
        <w:t>，其调车人员经常上下</w:t>
      </w:r>
      <w:r>
        <w:rPr>
          <w:rFonts w:hint="eastAsia"/>
          <w:sz w:val="30"/>
          <w:szCs w:val="32"/>
        </w:rPr>
        <w:t>车的一侧线路中心至中基面边缘加宽至</w:t>
      </w:r>
      <w:r>
        <w:rPr>
          <w:sz w:val="30"/>
          <w:szCs w:val="32"/>
        </w:rPr>
        <w:t>3.5m</w:t>
      </w:r>
      <w:r>
        <w:rPr>
          <w:rFonts w:hint="eastAsia"/>
          <w:sz w:val="30"/>
          <w:szCs w:val="32"/>
        </w:rPr>
        <w:t>；站场路基面宽度按配线设计定，从</w:t>
      </w:r>
      <w:r>
        <w:rPr>
          <w:rFonts w:hint="eastAsia"/>
          <w:sz w:val="30"/>
          <w:szCs w:val="32"/>
        </w:rPr>
        <w:t>站场外侧的线路中心线至路基面边缘不应小于</w:t>
      </w:r>
      <w:r>
        <w:rPr>
          <w:sz w:val="30"/>
          <w:szCs w:val="32"/>
        </w:rPr>
        <w:t>3m</w:t>
      </w:r>
      <w:r>
        <w:rPr>
          <w:rFonts w:hint="eastAsia"/>
          <w:sz w:val="30"/>
          <w:szCs w:val="32"/>
        </w:rPr>
        <w:t>，在经常有调车人员作业</w:t>
      </w:r>
    </w:p>
    <w:p w:rsidR="00442A1D">
      <w:pPr>
        <w:pStyle w:val="NoList"/>
        <w:numPr>
          <w:ilvl w:val="0"/>
          <w:numId w:val="0"/>
        </w:numPr>
        <w:spacing w:line="600" w:lineRule="exact"/>
        <w:ind w:left="1220"/>
        <w:rPr>
          <w:rFonts w:hint="eastAsia"/>
          <w:sz w:val="30"/>
          <w:szCs w:val="32"/>
        </w:rPr>
      </w:pPr>
      <w:r>
        <w:rPr>
          <w:rFonts w:hint="eastAsia"/>
          <w:sz w:val="30"/>
          <w:szCs w:val="32"/>
        </w:rPr>
        <w:t>的一侧，不应小于</w:t>
      </w:r>
      <w:r>
        <w:rPr>
          <w:sz w:val="30"/>
          <w:szCs w:val="32"/>
        </w:rPr>
        <w:t>3.5m</w:t>
      </w:r>
      <w:r>
        <w:rPr>
          <w:rFonts w:hint="eastAsia"/>
          <w:sz w:val="30"/>
          <w:szCs w:val="32"/>
        </w:rPr>
        <w:t>；装卸线路基宽度采用</w:t>
      </w:r>
      <w:r>
        <w:rPr>
          <w:sz w:val="30"/>
          <w:szCs w:val="32"/>
        </w:rPr>
        <w:t>6m</w:t>
      </w:r>
      <w:r>
        <w:rPr>
          <w:rFonts w:hint="eastAsia"/>
          <w:sz w:val="30"/>
          <w:szCs w:val="32"/>
        </w:rPr>
        <w:t>，路基面横向坡度采用</w:t>
      </w:r>
      <w:r>
        <w:rPr>
          <w:sz w:val="30"/>
          <w:szCs w:val="32"/>
        </w:rPr>
        <w:t>2%</w:t>
      </w:r>
      <w:r>
        <w:rPr>
          <w:rFonts w:hint="eastAsia"/>
          <w:sz w:val="30"/>
          <w:szCs w:val="32"/>
        </w:rPr>
        <w:t>。</w:t>
      </w:r>
    </w:p>
    <w:p w:rsidR="00442A1D">
      <w:pPr>
        <w:pStyle w:val="NoList"/>
        <w:numPr>
          <w:ilvl w:val="0"/>
          <w:numId w:val="4"/>
        </w:numPr>
        <w:spacing w:line="600" w:lineRule="exact"/>
        <w:ind w:left="1219"/>
        <w:rPr>
          <w:rFonts w:hint="eastAsia"/>
          <w:sz w:val="30"/>
          <w:szCs w:val="32"/>
        </w:rPr>
      </w:pPr>
      <w:r>
        <w:rPr>
          <w:rFonts w:hint="eastAsia"/>
          <w:sz w:val="30"/>
          <w:szCs w:val="32"/>
        </w:rPr>
        <w:t>排</w:t>
      </w:r>
      <w:r>
        <w:rPr>
          <w:rFonts w:hint="eastAsia"/>
          <w:sz w:val="30"/>
          <w:szCs w:val="32"/>
        </w:rPr>
        <w:t>水</w:t>
      </w:r>
      <w:r>
        <w:rPr>
          <w:rFonts w:hint="eastAsia"/>
          <w:sz w:val="30"/>
          <w:szCs w:val="32"/>
        </w:rPr>
        <w:t>—</w:t>
      </w:r>
      <w:r>
        <w:rPr>
          <w:rFonts w:hint="eastAsia"/>
          <w:sz w:val="30"/>
          <w:szCs w:val="32"/>
        </w:rPr>
        <w:t>—</w:t>
      </w:r>
      <w:r>
        <w:rPr>
          <w:rFonts w:hint="eastAsia"/>
          <w:sz w:val="30"/>
          <w:szCs w:val="32"/>
        </w:rPr>
        <w:t>根据地形情况，路基外侧设置排水沟，将路基范围内的水引排至附近沟渠，在成品油原油装卸线、货</w:t>
      </w:r>
      <w:r>
        <w:rPr>
          <w:sz w:val="30"/>
          <w:szCs w:val="32"/>
        </w:rPr>
        <w:t>4</w:t>
      </w:r>
      <w:r>
        <w:rPr>
          <w:rFonts w:hint="eastAsia"/>
          <w:sz w:val="30"/>
          <w:szCs w:val="32"/>
        </w:rPr>
        <w:t>、货</w:t>
      </w:r>
      <w:r>
        <w:rPr>
          <w:sz w:val="30"/>
          <w:szCs w:val="32"/>
        </w:rPr>
        <w:t>5</w:t>
      </w:r>
      <w:r>
        <w:rPr>
          <w:rFonts w:hint="eastAsia"/>
          <w:sz w:val="30"/>
          <w:szCs w:val="32"/>
        </w:rPr>
        <w:t>设置排污管道直通厂区排污系统，进行处理；厂内铁路装卸线设两侧排水沟。</w:t>
      </w:r>
    </w:p>
    <w:p w:rsidR="00442A1D">
      <w:pPr>
        <w:pStyle w:val="NoList"/>
        <w:numPr>
          <w:ilvl w:val="0"/>
          <w:numId w:val="4"/>
        </w:numPr>
        <w:spacing w:line="600" w:lineRule="exact"/>
        <w:ind w:left="1219"/>
        <w:rPr>
          <w:rFonts w:hint="eastAsia"/>
          <w:sz w:val="30"/>
          <w:szCs w:val="32"/>
        </w:rPr>
      </w:pPr>
      <w:r>
        <w:rPr>
          <w:rFonts w:hint="eastAsia"/>
          <w:sz w:val="30"/>
          <w:szCs w:val="32"/>
        </w:rPr>
        <w:t>为考虑装卸油气线鹤</w:t>
      </w:r>
      <w:r>
        <w:rPr>
          <w:rFonts w:hint="eastAsia"/>
          <w:sz w:val="30"/>
          <w:szCs w:val="32"/>
        </w:rPr>
        <w:t>管、栈桥、下汇油管预留二座</w:t>
      </w:r>
      <w:r>
        <w:rPr>
          <w:sz w:val="30"/>
          <w:szCs w:val="32"/>
        </w:rPr>
        <w:t>1</w:t>
      </w:r>
      <w:r>
        <w:rPr>
          <w:rFonts w:hint="eastAsia"/>
          <w:sz w:val="30"/>
          <w:szCs w:val="32"/>
        </w:rPr>
        <w:t>～</w:t>
      </w:r>
      <w:r>
        <w:rPr>
          <w:sz w:val="30"/>
          <w:szCs w:val="32"/>
        </w:rPr>
        <w:t>1.5m</w:t>
      </w:r>
      <w:r>
        <w:rPr>
          <w:rFonts w:hint="eastAsia"/>
          <w:sz w:val="30"/>
          <w:szCs w:val="32"/>
        </w:rPr>
        <w:t>盖板箱涵，电缆迁移，动力电缆穿越铁路处预留套管</w:t>
      </w:r>
      <w:r>
        <w:rPr>
          <w:rFonts w:hint="eastAsia"/>
          <w:sz w:val="30"/>
          <w:szCs w:val="32"/>
        </w:rPr>
        <w:t>。</w:t>
      </w:r>
    </w:p>
    <w:p w:rsidR="00442A1D">
      <w:pPr>
        <w:pStyle w:val="Heading3"/>
        <w:rPr>
          <w:rFonts w:hint="eastAsia"/>
        </w:rPr>
      </w:pPr>
      <w:r>
        <w:t>5.1.3</w:t>
      </w:r>
      <w:r>
        <w:rPr>
          <w:rFonts w:hint="eastAsia"/>
        </w:rPr>
        <w:t>轨道</w:t>
      </w:r>
    </w:p>
    <w:p w:rsidR="00442A1D">
      <w:pPr>
        <w:pStyle w:val="NoList"/>
        <w:numPr>
          <w:ilvl w:val="0"/>
          <w:numId w:val="4"/>
        </w:numPr>
        <w:spacing w:line="600" w:lineRule="exact"/>
        <w:ind w:left="1219"/>
        <w:rPr>
          <w:rFonts w:hint="eastAsia"/>
          <w:sz w:val="30"/>
          <w:szCs w:val="32"/>
        </w:rPr>
      </w:pPr>
      <w:r>
        <w:rPr>
          <w:rFonts w:hint="eastAsia"/>
          <w:sz w:val="30"/>
          <w:szCs w:val="32"/>
        </w:rPr>
        <w:t>站线、装卸线轨道标</w:t>
      </w:r>
      <w:r>
        <w:rPr>
          <w:rFonts w:hint="eastAsia"/>
          <w:sz w:val="30"/>
          <w:szCs w:val="32"/>
        </w:rPr>
        <w:t>准</w:t>
      </w:r>
      <w:r>
        <w:rPr>
          <w:rFonts w:hint="eastAsia"/>
          <w:sz w:val="30"/>
          <w:szCs w:val="32"/>
        </w:rPr>
        <w:t>—</w:t>
      </w:r>
      <w:r>
        <w:rPr>
          <w:rFonts w:hint="eastAsia"/>
          <w:sz w:val="30"/>
          <w:szCs w:val="32"/>
        </w:rPr>
        <w:t>—</w:t>
      </w:r>
      <w:r>
        <w:rPr>
          <w:rFonts w:hint="eastAsia"/>
          <w:sz w:val="30"/>
          <w:szCs w:val="32"/>
        </w:rPr>
        <w:t>厂前站及厂内装卸线采用</w:t>
      </w:r>
      <w:r>
        <w:rPr>
          <w:sz w:val="30"/>
          <w:szCs w:val="32"/>
        </w:rPr>
        <w:t>50kg/m</w:t>
      </w:r>
      <w:r>
        <w:rPr>
          <w:rFonts w:hint="eastAsia"/>
          <w:sz w:val="30"/>
          <w:szCs w:val="32"/>
        </w:rPr>
        <w:t>轨，铺设</w:t>
      </w:r>
      <w:r>
        <w:rPr>
          <w:sz w:val="30"/>
          <w:szCs w:val="32"/>
        </w:rPr>
        <w:t>1600</w:t>
      </w:r>
      <w:r>
        <w:rPr>
          <w:rFonts w:hint="eastAsia"/>
          <w:sz w:val="30"/>
          <w:szCs w:val="32"/>
        </w:rPr>
        <w:t>根</w:t>
      </w:r>
      <w:r>
        <w:rPr>
          <w:sz w:val="30"/>
          <w:szCs w:val="32"/>
        </w:rPr>
        <w:t>/km</w:t>
      </w:r>
      <w:r>
        <w:rPr>
          <w:rFonts w:hint="eastAsia"/>
          <w:sz w:val="30"/>
          <w:szCs w:val="32"/>
        </w:rPr>
        <w:t>钢筋混凝土枕，木枕地段铺设</w:t>
      </w:r>
      <w:r>
        <w:rPr>
          <w:sz w:val="30"/>
          <w:szCs w:val="32"/>
        </w:rPr>
        <w:t>1680</w:t>
      </w:r>
      <w:r>
        <w:rPr>
          <w:sz w:val="30"/>
          <w:szCs w:val="32"/>
        </w:rPr>
        <w:br/>
      </w:r>
      <w:r>
        <w:rPr>
          <w:rFonts w:hint="eastAsia"/>
          <w:sz w:val="30"/>
          <w:szCs w:val="32"/>
        </w:rPr>
        <w:t>根</w:t>
      </w:r>
      <w:r>
        <w:rPr>
          <w:sz w:val="30"/>
          <w:szCs w:val="32"/>
        </w:rPr>
        <w:t>/km</w:t>
      </w:r>
      <w:r>
        <w:rPr>
          <w:rFonts w:hint="eastAsia"/>
          <w:sz w:val="30"/>
          <w:szCs w:val="32"/>
        </w:rPr>
        <w:t>线路，道床采用</w:t>
      </w:r>
      <w:r>
        <w:rPr>
          <w:rFonts w:hint="eastAsia"/>
          <w:sz w:val="30"/>
          <w:szCs w:val="32"/>
        </w:rPr>
        <w:t>碎石道砟，铺设厚度为</w:t>
      </w:r>
      <w:r>
        <w:rPr>
          <w:sz w:val="30"/>
          <w:szCs w:val="32"/>
        </w:rPr>
        <w:t>0.3m</w:t>
      </w:r>
      <w:r>
        <w:rPr>
          <w:rFonts w:hint="eastAsia"/>
          <w:sz w:val="30"/>
          <w:szCs w:val="32"/>
        </w:rPr>
        <w:t>。</w:t>
      </w:r>
    </w:p>
    <w:p w:rsidR="00442A1D">
      <w:pPr>
        <w:pStyle w:val="NoList"/>
        <w:numPr>
          <w:ilvl w:val="0"/>
          <w:numId w:val="4"/>
        </w:numPr>
        <w:spacing w:line="600" w:lineRule="exact"/>
        <w:ind w:left="1219"/>
        <w:rPr>
          <w:rFonts w:hint="eastAsia"/>
          <w:sz w:val="30"/>
          <w:szCs w:val="32"/>
        </w:rPr>
      </w:pPr>
      <w:r>
        <w:rPr>
          <w:rFonts w:hint="eastAsia"/>
          <w:sz w:val="30"/>
          <w:szCs w:val="32"/>
        </w:rPr>
        <w:t>轨枕及扣</w:t>
      </w:r>
      <w:r>
        <w:rPr>
          <w:rFonts w:hint="eastAsia"/>
          <w:sz w:val="30"/>
          <w:szCs w:val="32"/>
        </w:rPr>
        <w:t>件</w:t>
      </w:r>
      <w:r>
        <w:rPr>
          <w:rFonts w:hint="eastAsia"/>
          <w:sz w:val="30"/>
          <w:szCs w:val="32"/>
        </w:rPr>
        <w:t>—</w:t>
      </w:r>
      <w:r>
        <w:rPr>
          <w:rFonts w:hint="eastAsia"/>
          <w:sz w:val="30"/>
          <w:szCs w:val="32"/>
        </w:rPr>
        <w:t>—</w:t>
      </w:r>
      <w:r>
        <w:rPr>
          <w:rFonts w:hint="eastAsia"/>
          <w:sz w:val="30"/>
          <w:szCs w:val="32"/>
        </w:rPr>
        <w:t>优先采用混凝土枕；半径为</w:t>
      </w:r>
      <w:r>
        <w:rPr>
          <w:sz w:val="30"/>
          <w:szCs w:val="32"/>
        </w:rPr>
        <w:t>300m</w:t>
      </w:r>
      <w:r>
        <w:rPr>
          <w:rFonts w:hint="eastAsia"/>
          <w:sz w:val="30"/>
          <w:szCs w:val="32"/>
        </w:rPr>
        <w:t>以下的曲线地段铺设木枕。混凝土枕及木枕使用的扣件，根据确定的轨道类型选用</w:t>
      </w:r>
      <w:r>
        <w:rPr>
          <w:sz w:val="30"/>
          <w:szCs w:val="32"/>
        </w:rPr>
        <w:t>S</w:t>
      </w:r>
      <w:r>
        <w:rPr>
          <w:rFonts w:hint="eastAsia"/>
          <w:sz w:val="30"/>
          <w:szCs w:val="32"/>
        </w:rPr>
        <w:t>型弹条。线路部分采用再用轨、再用枕。</w:t>
      </w:r>
    </w:p>
    <w:p w:rsidR="00442A1D">
      <w:pPr>
        <w:pStyle w:val="NoList"/>
        <w:numPr>
          <w:ilvl w:val="0"/>
          <w:numId w:val="4"/>
        </w:numPr>
        <w:spacing w:line="600" w:lineRule="exact"/>
        <w:ind w:left="1219"/>
        <w:rPr>
          <w:rFonts w:hint="eastAsia"/>
          <w:sz w:val="30"/>
          <w:szCs w:val="32"/>
        </w:rPr>
      </w:pPr>
      <w:r>
        <w:rPr>
          <w:rFonts w:hint="eastAsia"/>
          <w:sz w:val="30"/>
          <w:szCs w:val="32"/>
        </w:rPr>
        <w:t>轨道加强设</w:t>
      </w:r>
      <w:r>
        <w:rPr>
          <w:rFonts w:hint="eastAsia"/>
          <w:sz w:val="30"/>
          <w:szCs w:val="32"/>
        </w:rPr>
        <w:t>备</w:t>
      </w:r>
      <w:r>
        <w:rPr>
          <w:rFonts w:hint="eastAsia"/>
          <w:sz w:val="30"/>
          <w:szCs w:val="32"/>
        </w:rPr>
        <w:t>—</w:t>
      </w:r>
      <w:r>
        <w:rPr>
          <w:rFonts w:hint="eastAsia"/>
          <w:sz w:val="30"/>
          <w:szCs w:val="32"/>
        </w:rPr>
        <w:t>—</w:t>
      </w:r>
      <w:r>
        <w:rPr>
          <w:rFonts w:hint="eastAsia"/>
          <w:sz w:val="30"/>
          <w:szCs w:val="32"/>
        </w:rPr>
        <w:t>站线曲线半径为</w:t>
      </w:r>
      <w:r>
        <w:rPr>
          <w:sz w:val="30"/>
          <w:szCs w:val="32"/>
        </w:rPr>
        <w:t>450m</w:t>
      </w:r>
      <w:r>
        <w:rPr>
          <w:rFonts w:hint="eastAsia"/>
          <w:sz w:val="30"/>
          <w:szCs w:val="32"/>
        </w:rPr>
        <w:t>以下铺设木枕时，安</w:t>
      </w:r>
      <w:r>
        <w:rPr>
          <w:rFonts w:hint="eastAsia"/>
          <w:sz w:val="30"/>
          <w:szCs w:val="32"/>
        </w:rPr>
        <w:t>装</w:t>
      </w:r>
      <w:r>
        <w:rPr>
          <w:rFonts w:hint="eastAsia"/>
          <w:sz w:val="30"/>
          <w:szCs w:val="32"/>
        </w:rPr>
        <w:t>φ</w:t>
      </w:r>
      <w:r>
        <w:rPr>
          <w:sz w:val="30"/>
          <w:szCs w:val="32"/>
        </w:rPr>
        <w:t>32mm</w:t>
      </w:r>
      <w:r>
        <w:rPr>
          <w:rFonts w:hint="eastAsia"/>
          <w:sz w:val="30"/>
          <w:szCs w:val="32"/>
        </w:rPr>
        <w:t>轨距杆。</w:t>
      </w:r>
      <w:r>
        <w:rPr>
          <w:sz w:val="30"/>
          <w:szCs w:val="32"/>
        </w:rPr>
        <w:t>2</w:t>
      </w:r>
      <w:r>
        <w:rPr>
          <w:sz w:val="30"/>
          <w:szCs w:val="32"/>
        </w:rPr>
        <w:t>5m</w:t>
      </w:r>
      <w:r>
        <w:rPr>
          <w:rFonts w:hint="eastAsia"/>
          <w:sz w:val="30"/>
          <w:szCs w:val="32"/>
        </w:rPr>
        <w:t>轨每节安装</w:t>
      </w:r>
      <w:r>
        <w:rPr>
          <w:sz w:val="30"/>
          <w:szCs w:val="32"/>
        </w:rPr>
        <w:t>10</w:t>
      </w:r>
      <w:r>
        <w:rPr>
          <w:rFonts w:hint="eastAsia"/>
          <w:sz w:val="30"/>
          <w:szCs w:val="32"/>
        </w:rPr>
        <w:t>根，</w:t>
      </w:r>
      <w:r>
        <w:rPr>
          <w:sz w:val="30"/>
          <w:szCs w:val="32"/>
        </w:rPr>
        <w:t>12.5m</w:t>
      </w:r>
      <w:r>
        <w:rPr>
          <w:rFonts w:hint="eastAsia"/>
          <w:sz w:val="30"/>
          <w:szCs w:val="32"/>
        </w:rPr>
        <w:t>轨每节安装</w:t>
      </w:r>
      <w:r>
        <w:rPr>
          <w:sz w:val="30"/>
          <w:szCs w:val="32"/>
        </w:rPr>
        <w:t>5</w:t>
      </w:r>
      <w:r>
        <w:rPr>
          <w:rFonts w:hint="eastAsia"/>
          <w:sz w:val="30"/>
          <w:szCs w:val="32"/>
        </w:rPr>
        <w:t>根。</w:t>
      </w:r>
    </w:p>
    <w:p w:rsidR="00442A1D">
      <w:pPr>
        <w:pStyle w:val="NoList"/>
        <w:numPr>
          <w:ilvl w:val="0"/>
          <w:numId w:val="4"/>
        </w:numPr>
        <w:spacing w:line="600" w:lineRule="exact"/>
        <w:ind w:left="1219"/>
        <w:rPr>
          <w:sz w:val="30"/>
          <w:szCs w:val="32"/>
        </w:rPr>
      </w:pPr>
      <w:r>
        <w:rPr>
          <w:rFonts w:hint="eastAsia"/>
          <w:sz w:val="30"/>
          <w:szCs w:val="32"/>
        </w:rPr>
        <w:t>防爬设</w:t>
      </w:r>
      <w:r>
        <w:rPr>
          <w:rFonts w:hint="eastAsia"/>
          <w:sz w:val="30"/>
          <w:szCs w:val="32"/>
        </w:rPr>
        <w:t>备</w:t>
      </w:r>
      <w:r>
        <w:rPr>
          <w:rFonts w:hint="eastAsia"/>
          <w:sz w:val="30"/>
          <w:szCs w:val="32"/>
        </w:rPr>
        <w:t>——</w:t>
      </w:r>
      <w:r>
        <w:rPr>
          <w:sz w:val="30"/>
          <w:szCs w:val="32"/>
        </w:rPr>
        <w:br/>
      </w:r>
      <w:r>
        <w:rPr>
          <w:sz w:val="30"/>
          <w:szCs w:val="32"/>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 w:history="1">
        <w:r>
          <w:rPr>
            <w:rFonts w:ascii="SimSun" w:eastAsia="SimSun" w:hAnsi="SimSun" w:cs="SimSun"/>
            <w:b/>
            <w:bCs/>
            <w:color w:val="0000EE"/>
            <w:kern w:val="0"/>
            <w:sz w:val="30"/>
            <w:szCs w:val="30"/>
            <w:u w:val="single" w:color="0000EE"/>
          </w:rPr>
          <w:t>https://d.book118.com/667134140112006031</w:t>
        </w:r>
      </w:hyperlink>
    </w:p>
    <w:p w:rsidR="00442A1D">
      <w:pPr>
        <w:pStyle w:val="NoList"/>
        <w:numPr>
          <w:ilvl w:val="0"/>
          <w:numId w:val="4"/>
        </w:numPr>
        <w:spacing w:line="600" w:lineRule="exact"/>
        <w:ind w:left="1219"/>
        <w:rPr>
          <w:sz w:val="30"/>
          <w:szCs w:val="32"/>
        </w:rPr>
      </w:pPr>
    </w:p>
    <w:sectPr>
      <w:type w:val="nextPage"/>
      <w:pgSz w:w="11906" w:h="16838"/>
      <w:pgMar w:top="1701" w:right="1134" w:bottom="1418" w:left="1701" w:header="851" w:footer="992" w:gutter="0"/>
      <w:pgNumType w:start="22"/>
      <w:cols w:space="425"/>
      <w:titlePg w:val="0"/>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 w:name="Calibri">
    <w:panose1 w:val="020F0502020204030204"/>
    <w:charset w:val="00"/>
    <w:family w:val="swiss"/>
    <w:pitch w:val="variable"/>
    <w:sig w:usb0="E4002EFF" w:usb1="C000247B" w:usb2="00000009" w:usb3="00000000" w:csb0="000001FF" w:csb1="00000000"/>
  </w:font>
  <w:font w:name="仿宋_GB2312">
    <w:altName w:val="Arial Unicode MS"/>
    <w:charset w:val="86"/>
    <w:family w:val="modern"/>
    <w:pitch w:val="fixed"/>
    <w:sig w:usb0="00000000"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CB0F9A"/>
    <w:multiLevelType w:val="hybridMultilevel"/>
    <w:tmpl w:val="99799373"/>
    <w:lvl w:ilvl="0">
      <w:start w:val="1"/>
      <w:numFmt w:val="bullet"/>
      <w:lvlText w:val=""/>
      <w:lvlJc w:val="left"/>
      <w:pPr>
        <w:tabs>
          <w:tab w:val="num" w:pos="1220"/>
        </w:tabs>
        <w:ind w:left="1220" w:hanging="420"/>
      </w:pPr>
      <w:rPr>
        <w:rFonts w:ascii="Wingdings" w:eastAsia="Wingdings" w:hAnsi="Wingdings" w:hint="default"/>
      </w:rPr>
    </w:lvl>
    <w:lvl w:ilvl="1">
      <w:start w:val="1"/>
      <w:numFmt w:val="bullet"/>
      <w:lvlText w:val=""/>
      <w:lvlJc w:val="left"/>
      <w:pPr>
        <w:tabs>
          <w:tab w:val="num" w:pos="1640"/>
        </w:tabs>
        <w:ind w:left="1640" w:hanging="420"/>
      </w:pPr>
      <w:rPr>
        <w:rFonts w:ascii="Wingdings" w:eastAsia="Wingdings" w:hAnsi="Wingdings" w:hint="default"/>
      </w:rPr>
    </w:lvl>
    <w:lvl w:ilvl="2">
      <w:start w:val="1"/>
      <w:numFmt w:val="bullet"/>
      <w:lvlText w:val=""/>
      <w:lvlJc w:val="left"/>
      <w:pPr>
        <w:tabs>
          <w:tab w:val="num" w:pos="2060"/>
        </w:tabs>
        <w:ind w:left="2060" w:hanging="420"/>
      </w:pPr>
      <w:rPr>
        <w:rFonts w:ascii="Wingdings" w:eastAsia="Wingdings" w:hAnsi="Wingdings" w:hint="default"/>
      </w:rPr>
    </w:lvl>
    <w:lvl w:ilvl="3">
      <w:start w:val="1"/>
      <w:numFmt w:val="bullet"/>
      <w:lvlText w:val=""/>
      <w:lvlJc w:val="left"/>
      <w:pPr>
        <w:tabs>
          <w:tab w:val="num" w:pos="2480"/>
        </w:tabs>
        <w:ind w:left="2480" w:hanging="420"/>
      </w:pPr>
      <w:rPr>
        <w:rFonts w:ascii="Wingdings" w:eastAsia="Wingdings" w:hAnsi="Wingdings" w:hint="default"/>
      </w:rPr>
    </w:lvl>
    <w:lvl w:ilvl="4">
      <w:start w:val="1"/>
      <w:numFmt w:val="bullet"/>
      <w:lvlText w:val=""/>
      <w:lvlJc w:val="left"/>
      <w:pPr>
        <w:tabs>
          <w:tab w:val="num" w:pos="2900"/>
        </w:tabs>
        <w:ind w:left="2900" w:hanging="420"/>
      </w:pPr>
      <w:rPr>
        <w:rFonts w:ascii="Wingdings" w:eastAsia="Wingdings" w:hAnsi="Wingdings" w:hint="default"/>
      </w:rPr>
    </w:lvl>
    <w:lvl w:ilvl="5">
      <w:start w:val="1"/>
      <w:numFmt w:val="bullet"/>
      <w:lvlText w:val=""/>
      <w:lvlJc w:val="left"/>
      <w:pPr>
        <w:tabs>
          <w:tab w:val="num" w:pos="3320"/>
        </w:tabs>
        <w:ind w:left="3320" w:hanging="420"/>
      </w:pPr>
      <w:rPr>
        <w:rFonts w:ascii="Wingdings" w:eastAsia="Wingdings" w:hAnsi="Wingdings" w:hint="default"/>
      </w:rPr>
    </w:lvl>
    <w:lvl w:ilvl="6">
      <w:start w:val="1"/>
      <w:numFmt w:val="bullet"/>
      <w:lvlText w:val=""/>
      <w:lvlJc w:val="left"/>
      <w:pPr>
        <w:tabs>
          <w:tab w:val="num" w:pos="3740"/>
        </w:tabs>
        <w:ind w:left="3740" w:hanging="420"/>
      </w:pPr>
      <w:rPr>
        <w:rFonts w:ascii="Wingdings" w:eastAsia="Wingdings" w:hAnsi="Wingdings" w:hint="default"/>
      </w:rPr>
    </w:lvl>
    <w:lvl w:ilvl="7">
      <w:start w:val="1"/>
      <w:numFmt w:val="bullet"/>
      <w:lvlText w:val=""/>
      <w:lvlJc w:val="left"/>
      <w:pPr>
        <w:tabs>
          <w:tab w:val="num" w:pos="4160"/>
        </w:tabs>
        <w:ind w:left="4160" w:hanging="420"/>
      </w:pPr>
      <w:rPr>
        <w:rFonts w:ascii="Wingdings" w:eastAsia="Wingdings" w:hAnsi="Wingdings" w:hint="default"/>
      </w:rPr>
    </w:lvl>
    <w:lvl w:ilvl="8">
      <w:start w:val="1"/>
      <w:numFmt w:val="bullet"/>
      <w:lvlText w:val=""/>
      <w:lvlJc w:val="left"/>
      <w:pPr>
        <w:tabs>
          <w:tab w:val="num" w:pos="4580"/>
        </w:tabs>
        <w:ind w:left="4580" w:hanging="420"/>
      </w:pPr>
      <w:rPr>
        <w:rFonts w:ascii="Wingdings" w:eastAsia="Wingdings" w:hAnsi="Wingdings" w:hint="default"/>
      </w:rPr>
    </w:lvl>
  </w:abstractNum>
  <w:abstractNum w:abstractNumId="1">
    <w:nsid w:val="3DA69E1E"/>
    <w:multiLevelType w:val="hybridMultilevel"/>
    <w:tmpl w:val="99799373"/>
    <w:lvl w:ilvl="0">
      <w:start w:val="1"/>
      <w:numFmt w:val="bullet"/>
      <w:lvlText w:val=""/>
      <w:lvlJc w:val="left"/>
      <w:pPr>
        <w:tabs>
          <w:tab w:val="num" w:pos="1220"/>
        </w:tabs>
        <w:ind w:left="1220" w:hanging="420"/>
      </w:pPr>
      <w:rPr>
        <w:rFonts w:ascii="Wingdings" w:eastAsia="Wingdings" w:hAnsi="Wingdings" w:hint="default"/>
      </w:rPr>
    </w:lvl>
    <w:lvl w:ilvl="1">
      <w:start w:val="1"/>
      <w:numFmt w:val="bullet"/>
      <w:lvlText w:val=""/>
      <w:lvlJc w:val="left"/>
      <w:pPr>
        <w:tabs>
          <w:tab w:val="num" w:pos="1640"/>
        </w:tabs>
        <w:ind w:left="1640" w:hanging="420"/>
      </w:pPr>
      <w:rPr>
        <w:rFonts w:ascii="Wingdings" w:eastAsia="Wingdings" w:hAnsi="Wingdings" w:hint="default"/>
      </w:rPr>
    </w:lvl>
    <w:lvl w:ilvl="2">
      <w:start w:val="1"/>
      <w:numFmt w:val="bullet"/>
      <w:lvlText w:val=""/>
      <w:lvlJc w:val="left"/>
      <w:pPr>
        <w:tabs>
          <w:tab w:val="num" w:pos="2060"/>
        </w:tabs>
        <w:ind w:left="2060" w:hanging="420"/>
      </w:pPr>
      <w:rPr>
        <w:rFonts w:ascii="Wingdings" w:eastAsia="Wingdings" w:hAnsi="Wingdings" w:hint="default"/>
      </w:rPr>
    </w:lvl>
    <w:lvl w:ilvl="3">
      <w:start w:val="1"/>
      <w:numFmt w:val="bullet"/>
      <w:lvlText w:val=""/>
      <w:lvlJc w:val="left"/>
      <w:pPr>
        <w:tabs>
          <w:tab w:val="num" w:pos="2480"/>
        </w:tabs>
        <w:ind w:left="2480" w:hanging="420"/>
      </w:pPr>
      <w:rPr>
        <w:rFonts w:ascii="Wingdings" w:eastAsia="Wingdings" w:hAnsi="Wingdings" w:hint="default"/>
      </w:rPr>
    </w:lvl>
    <w:lvl w:ilvl="4">
      <w:start w:val="1"/>
      <w:numFmt w:val="bullet"/>
      <w:lvlText w:val=""/>
      <w:lvlJc w:val="left"/>
      <w:pPr>
        <w:tabs>
          <w:tab w:val="num" w:pos="2900"/>
        </w:tabs>
        <w:ind w:left="2900" w:hanging="420"/>
      </w:pPr>
      <w:rPr>
        <w:rFonts w:ascii="Wingdings" w:eastAsia="Wingdings" w:hAnsi="Wingdings" w:hint="default"/>
      </w:rPr>
    </w:lvl>
    <w:lvl w:ilvl="5">
      <w:start w:val="1"/>
      <w:numFmt w:val="bullet"/>
      <w:lvlText w:val=""/>
      <w:lvlJc w:val="left"/>
      <w:pPr>
        <w:tabs>
          <w:tab w:val="num" w:pos="3320"/>
        </w:tabs>
        <w:ind w:left="3320" w:hanging="420"/>
      </w:pPr>
      <w:rPr>
        <w:rFonts w:ascii="Wingdings" w:eastAsia="Wingdings" w:hAnsi="Wingdings" w:hint="default"/>
      </w:rPr>
    </w:lvl>
    <w:lvl w:ilvl="6">
      <w:start w:val="1"/>
      <w:numFmt w:val="bullet"/>
      <w:lvlText w:val=""/>
      <w:lvlJc w:val="left"/>
      <w:pPr>
        <w:tabs>
          <w:tab w:val="num" w:pos="3740"/>
        </w:tabs>
        <w:ind w:left="3740" w:hanging="420"/>
      </w:pPr>
      <w:rPr>
        <w:rFonts w:ascii="Wingdings" w:eastAsia="Wingdings" w:hAnsi="Wingdings" w:hint="default"/>
      </w:rPr>
    </w:lvl>
    <w:lvl w:ilvl="7">
      <w:start w:val="1"/>
      <w:numFmt w:val="bullet"/>
      <w:lvlText w:val=""/>
      <w:lvlJc w:val="left"/>
      <w:pPr>
        <w:tabs>
          <w:tab w:val="num" w:pos="4160"/>
        </w:tabs>
        <w:ind w:left="4160" w:hanging="420"/>
      </w:pPr>
      <w:rPr>
        <w:rFonts w:ascii="Wingdings" w:eastAsia="Wingdings" w:hAnsi="Wingdings" w:hint="default"/>
      </w:rPr>
    </w:lvl>
    <w:lvl w:ilvl="8">
      <w:start w:val="1"/>
      <w:numFmt w:val="bullet"/>
      <w:lvlText w:val=""/>
      <w:lvlJc w:val="left"/>
      <w:pPr>
        <w:tabs>
          <w:tab w:val="num" w:pos="4580"/>
        </w:tabs>
        <w:ind w:left="4580" w:hanging="420"/>
      </w:pPr>
      <w:rPr>
        <w:rFonts w:ascii="Wingdings" w:eastAsia="Wingdings" w:hAnsi="Wingdings" w:hint="default"/>
      </w:rPr>
    </w:lvl>
  </w:abstractNum>
  <w:abstractNum w:abstractNumId="2">
    <w:nsid w:val="45104721"/>
    <w:multiLevelType w:val="hybridMultilevel"/>
    <w:tmpl w:val="99799375"/>
    <w:lvl w:ilvl="0">
      <w:start w:val="1"/>
      <w:numFmt w:val="bullet"/>
      <w:lvlText w:val=""/>
      <w:lvlJc w:val="left"/>
      <w:pPr>
        <w:tabs>
          <w:tab w:val="num" w:pos="1260"/>
        </w:tabs>
        <w:ind w:left="1260" w:hanging="420"/>
      </w:pPr>
      <w:rPr>
        <w:rFonts w:ascii="Wingdings" w:eastAsia="Wingdings" w:hAnsi="Wingdings" w:hint="default"/>
      </w:rPr>
    </w:lvl>
    <w:lvl w:ilvl="1">
      <w:start w:val="1"/>
      <w:numFmt w:val="bullet"/>
      <w:lvlText w:val=""/>
      <w:lvlJc w:val="left"/>
      <w:pPr>
        <w:tabs>
          <w:tab w:val="num" w:pos="1260"/>
        </w:tabs>
        <w:ind w:left="1260" w:hanging="420"/>
      </w:pPr>
      <w:rPr>
        <w:rFonts w:ascii="Wingdings" w:eastAsia="Wingdings" w:hAnsi="Wingdings" w:hint="default"/>
      </w:rPr>
    </w:lvl>
    <w:lvl w:ilvl="2">
      <w:start w:val="1"/>
      <w:numFmt w:val="bullet"/>
      <w:lvlText w:val=""/>
      <w:lvlJc w:val="left"/>
      <w:pPr>
        <w:tabs>
          <w:tab w:val="num" w:pos="2100"/>
        </w:tabs>
        <w:ind w:left="2100" w:hanging="420"/>
      </w:pPr>
      <w:rPr>
        <w:rFonts w:ascii="Wingdings" w:eastAsia="Wingdings" w:hAnsi="Wingdings" w:hint="default"/>
      </w:rPr>
    </w:lvl>
    <w:lvl w:ilvl="3">
      <w:start w:val="1"/>
      <w:numFmt w:val="decimal"/>
      <w:lvlText w:val="%4."/>
      <w:lvlJc w:val="left"/>
      <w:pPr>
        <w:tabs>
          <w:tab w:val="num" w:pos="2520"/>
        </w:tabs>
        <w:ind w:left="2520" w:hanging="420"/>
      </w:pPr>
    </w:lvl>
    <w:lvl w:ilvl="4">
      <w:start w:val="1"/>
      <w:numFmt w:val="lowerLetter"/>
      <w:lvlText w:val="%5)"/>
      <w:lvlJc w:val="left"/>
      <w:pPr>
        <w:tabs>
          <w:tab w:val="num" w:pos="2940"/>
        </w:tabs>
        <w:ind w:left="2940" w:hanging="420"/>
      </w:pPr>
    </w:lvl>
    <w:lvl w:ilvl="5">
      <w:start w:val="1"/>
      <w:numFmt w:val="lowerRoman"/>
      <w:lvlText w:val="%6."/>
      <w:lvlJc w:val="right"/>
      <w:pPr>
        <w:tabs>
          <w:tab w:val="num" w:pos="3360"/>
        </w:tabs>
        <w:ind w:left="3360" w:hanging="420"/>
      </w:pPr>
    </w:lvl>
    <w:lvl w:ilvl="6">
      <w:start w:val="1"/>
      <w:numFmt w:val="decimal"/>
      <w:lvlText w:val="%7."/>
      <w:lvlJc w:val="left"/>
      <w:pPr>
        <w:tabs>
          <w:tab w:val="num" w:pos="3780"/>
        </w:tabs>
        <w:ind w:left="3780" w:hanging="420"/>
      </w:pPr>
    </w:lvl>
    <w:lvl w:ilvl="7">
      <w:start w:val="1"/>
      <w:numFmt w:val="lowerLetter"/>
      <w:lvlText w:val="%8)"/>
      <w:lvlJc w:val="left"/>
      <w:pPr>
        <w:tabs>
          <w:tab w:val="num" w:pos="4200"/>
        </w:tabs>
        <w:ind w:left="4200" w:hanging="420"/>
      </w:pPr>
    </w:lvl>
    <w:lvl w:ilvl="8">
      <w:start w:val="1"/>
      <w:numFmt w:val="lowerRoman"/>
      <w:lvlText w:val="%9."/>
      <w:lvlJc w:val="right"/>
      <w:pPr>
        <w:tabs>
          <w:tab w:val="num" w:pos="4620"/>
        </w:tabs>
        <w:ind w:left="4620" w:hanging="420"/>
      </w:pPr>
    </w:lvl>
  </w:abstractNum>
  <w:abstractNum w:abstractNumId="3">
    <w:nsid w:val="5681998B"/>
    <w:multiLevelType w:val="hybridMultilevel"/>
    <w:tmpl w:val="99799375"/>
    <w:lvl w:ilvl="0">
      <w:start w:val="1"/>
      <w:numFmt w:val="bullet"/>
      <w:lvlText w:val=""/>
      <w:lvlJc w:val="left"/>
      <w:pPr>
        <w:tabs>
          <w:tab w:val="num" w:pos="1260"/>
        </w:tabs>
        <w:ind w:left="1260" w:hanging="420"/>
      </w:pPr>
      <w:rPr>
        <w:rFonts w:ascii="Wingdings" w:eastAsia="Wingdings" w:hAnsi="Wingdings" w:hint="default"/>
      </w:rPr>
    </w:lvl>
    <w:lvl w:ilvl="1">
      <w:start w:val="1"/>
      <w:numFmt w:val="bullet"/>
      <w:lvlText w:val=""/>
      <w:lvlJc w:val="left"/>
      <w:pPr>
        <w:tabs>
          <w:tab w:val="num" w:pos="1260"/>
        </w:tabs>
        <w:ind w:left="1260" w:hanging="420"/>
      </w:pPr>
      <w:rPr>
        <w:rFonts w:ascii="Wingdings" w:eastAsia="Wingdings" w:hAnsi="Wingdings" w:hint="default"/>
      </w:rPr>
    </w:lvl>
    <w:lvl w:ilvl="2">
      <w:start w:val="1"/>
      <w:numFmt w:val="bullet"/>
      <w:lvlText w:val=""/>
      <w:lvlJc w:val="left"/>
      <w:pPr>
        <w:tabs>
          <w:tab w:val="num" w:pos="2100"/>
        </w:tabs>
        <w:ind w:left="2100" w:hanging="420"/>
      </w:pPr>
      <w:rPr>
        <w:rFonts w:ascii="Wingdings" w:eastAsia="Wingdings" w:hAnsi="Wingdings" w:hint="default"/>
      </w:rPr>
    </w:lvl>
    <w:lvl w:ilvl="3">
      <w:start w:val="1"/>
      <w:numFmt w:val="decimal"/>
      <w:lvlText w:val="%4."/>
      <w:lvlJc w:val="left"/>
      <w:pPr>
        <w:tabs>
          <w:tab w:val="num" w:pos="2520"/>
        </w:tabs>
        <w:ind w:left="2520" w:hanging="420"/>
      </w:pPr>
    </w:lvl>
    <w:lvl w:ilvl="4">
      <w:start w:val="1"/>
      <w:numFmt w:val="lowerLetter"/>
      <w:lvlText w:val="%5)"/>
      <w:lvlJc w:val="left"/>
      <w:pPr>
        <w:tabs>
          <w:tab w:val="num" w:pos="2940"/>
        </w:tabs>
        <w:ind w:left="2940" w:hanging="420"/>
      </w:pPr>
    </w:lvl>
    <w:lvl w:ilvl="5">
      <w:start w:val="1"/>
      <w:numFmt w:val="lowerRoman"/>
      <w:lvlText w:val="%6."/>
      <w:lvlJc w:val="right"/>
      <w:pPr>
        <w:tabs>
          <w:tab w:val="num" w:pos="3360"/>
        </w:tabs>
        <w:ind w:left="3360" w:hanging="420"/>
      </w:pPr>
    </w:lvl>
    <w:lvl w:ilvl="6">
      <w:start w:val="1"/>
      <w:numFmt w:val="decimal"/>
      <w:lvlText w:val="%7."/>
      <w:lvlJc w:val="left"/>
      <w:pPr>
        <w:tabs>
          <w:tab w:val="num" w:pos="3780"/>
        </w:tabs>
        <w:ind w:left="3780" w:hanging="420"/>
      </w:pPr>
    </w:lvl>
    <w:lvl w:ilvl="7">
      <w:start w:val="1"/>
      <w:numFmt w:val="lowerLetter"/>
      <w:lvlText w:val="%8)"/>
      <w:lvlJc w:val="left"/>
      <w:pPr>
        <w:tabs>
          <w:tab w:val="num" w:pos="4200"/>
        </w:tabs>
        <w:ind w:left="4200" w:hanging="420"/>
      </w:pPr>
    </w:lvl>
    <w:lvl w:ilvl="8">
      <w:start w:val="1"/>
      <w:numFmt w:val="lowerRoman"/>
      <w:lvlText w:val="%9."/>
      <w:lvlJc w:val="right"/>
      <w:pPr>
        <w:tabs>
          <w:tab w:val="num" w:pos="4620"/>
        </w:tabs>
        <w:ind w:left="4620" w:hanging="420"/>
      </w:pPr>
    </w:lvl>
  </w:abstractNum>
  <w:abstractNum w:abstractNumId="4">
    <w:nsid w:val="61D9D7FE"/>
    <w:multiLevelType w:val="hybridMultilevel"/>
    <w:tmpl w:val="99799375"/>
    <w:lvl w:ilvl="0">
      <w:start w:val="1"/>
      <w:numFmt w:val="bullet"/>
      <w:lvlText w:val=""/>
      <w:lvlJc w:val="left"/>
      <w:pPr>
        <w:tabs>
          <w:tab w:val="num" w:pos="1260"/>
        </w:tabs>
        <w:ind w:left="1260" w:hanging="420"/>
      </w:pPr>
      <w:rPr>
        <w:rFonts w:ascii="Wingdings" w:eastAsia="Wingdings" w:hAnsi="Wingdings" w:hint="default"/>
      </w:rPr>
    </w:lvl>
    <w:lvl w:ilvl="1">
      <w:start w:val="1"/>
      <w:numFmt w:val="bullet"/>
      <w:lvlText w:val=""/>
      <w:lvlJc w:val="left"/>
      <w:pPr>
        <w:tabs>
          <w:tab w:val="num" w:pos="1260"/>
        </w:tabs>
        <w:ind w:left="1260" w:hanging="420"/>
      </w:pPr>
      <w:rPr>
        <w:rFonts w:ascii="Wingdings" w:eastAsia="Wingdings" w:hAnsi="Wingdings" w:hint="default"/>
      </w:rPr>
    </w:lvl>
    <w:lvl w:ilvl="2">
      <w:start w:val="1"/>
      <w:numFmt w:val="bullet"/>
      <w:lvlText w:val=""/>
      <w:lvlJc w:val="left"/>
      <w:pPr>
        <w:tabs>
          <w:tab w:val="num" w:pos="2100"/>
        </w:tabs>
        <w:ind w:left="2100" w:hanging="420"/>
      </w:pPr>
      <w:rPr>
        <w:rFonts w:ascii="Wingdings" w:eastAsia="Wingdings" w:hAnsi="Wingdings" w:hint="default"/>
      </w:rPr>
    </w:lvl>
    <w:lvl w:ilvl="3">
      <w:start w:val="1"/>
      <w:numFmt w:val="decimal"/>
      <w:lvlText w:val="%4."/>
      <w:lvlJc w:val="left"/>
      <w:pPr>
        <w:tabs>
          <w:tab w:val="num" w:pos="2520"/>
        </w:tabs>
        <w:ind w:left="2520" w:hanging="420"/>
      </w:pPr>
    </w:lvl>
    <w:lvl w:ilvl="4">
      <w:start w:val="1"/>
      <w:numFmt w:val="lowerLetter"/>
      <w:lvlText w:val="%5)"/>
      <w:lvlJc w:val="left"/>
      <w:pPr>
        <w:tabs>
          <w:tab w:val="num" w:pos="2940"/>
        </w:tabs>
        <w:ind w:left="2940" w:hanging="420"/>
      </w:pPr>
    </w:lvl>
    <w:lvl w:ilvl="5">
      <w:start w:val="1"/>
      <w:numFmt w:val="lowerRoman"/>
      <w:lvlText w:val="%6."/>
      <w:lvlJc w:val="right"/>
      <w:pPr>
        <w:tabs>
          <w:tab w:val="num" w:pos="3360"/>
        </w:tabs>
        <w:ind w:left="3360" w:hanging="420"/>
      </w:pPr>
    </w:lvl>
    <w:lvl w:ilvl="6">
      <w:start w:val="1"/>
      <w:numFmt w:val="decimal"/>
      <w:lvlText w:val="%7."/>
      <w:lvlJc w:val="left"/>
      <w:pPr>
        <w:tabs>
          <w:tab w:val="num" w:pos="3780"/>
        </w:tabs>
        <w:ind w:left="3780" w:hanging="420"/>
      </w:pPr>
    </w:lvl>
    <w:lvl w:ilvl="7">
      <w:start w:val="1"/>
      <w:numFmt w:val="lowerLetter"/>
      <w:lvlText w:val="%8)"/>
      <w:lvlJc w:val="left"/>
      <w:pPr>
        <w:tabs>
          <w:tab w:val="num" w:pos="4200"/>
        </w:tabs>
        <w:ind w:left="4200" w:hanging="420"/>
      </w:pPr>
    </w:lvl>
    <w:lvl w:ilvl="8">
      <w:start w:val="1"/>
      <w:numFmt w:val="lowerRoman"/>
      <w:lvlText w:val="%9."/>
      <w:lvlJc w:val="right"/>
      <w:pPr>
        <w:tabs>
          <w:tab w:val="num" w:pos="4620"/>
        </w:tabs>
        <w:ind w:left="4620" w:hanging="420"/>
      </w:pPr>
    </w:lvl>
  </w:abstractNum>
  <w:abstractNum w:abstractNumId="5">
    <w:nsid w:val="66866C89"/>
    <w:multiLevelType w:val="hybridMultilevel"/>
    <w:tmpl w:val="99799376"/>
    <w:lvl w:ilvl="0">
      <w:start w:val="1"/>
      <w:numFmt w:val="bullet"/>
      <w:lvlText w:val=""/>
      <w:lvlJc w:val="left"/>
      <w:pPr>
        <w:tabs>
          <w:tab w:val="num" w:pos="720"/>
        </w:tabs>
        <w:ind w:left="720" w:hanging="360"/>
      </w:pPr>
      <w:rPr>
        <w:rFonts w:ascii="Wingdings" w:eastAsia="Wingdings" w:hAnsi="Wingdings" w:hint="default"/>
      </w:rPr>
    </w:lvl>
    <w:lvl w:ilvl="1">
      <w:start w:val="1"/>
      <w:numFmt w:val="bullet"/>
      <w:lvlText w:val=""/>
      <w:lvlJc w:val="left"/>
      <w:pPr>
        <w:tabs>
          <w:tab w:val="num" w:pos="1440"/>
        </w:tabs>
        <w:ind w:left="1440" w:hanging="360"/>
      </w:pPr>
      <w:rPr>
        <w:rFonts w:ascii="Wingdings" w:eastAsia="Wingdings" w:hAnsi="Wingdings" w:hint="default"/>
      </w:rPr>
    </w:lvl>
    <w:lvl w:ilvl="2">
      <w:start w:val="1"/>
      <w:numFmt w:val="bullet"/>
      <w:lvlText w:val=""/>
      <w:lvlJc w:val="left"/>
      <w:pPr>
        <w:tabs>
          <w:tab w:val="num" w:pos="2160"/>
        </w:tabs>
        <w:ind w:left="2160" w:hanging="360"/>
      </w:pPr>
      <w:rPr>
        <w:rFonts w:ascii="Wingdings" w:eastAsia="Wingdings" w:hAnsi="Wingdings" w:hint="default"/>
      </w:rPr>
    </w:lvl>
    <w:lvl w:ilvl="3">
      <w:start w:val="1"/>
      <w:numFmt w:val="bullet"/>
      <w:lvlText w:val=""/>
      <w:lvlJc w:val="left"/>
      <w:pPr>
        <w:tabs>
          <w:tab w:val="num" w:pos="2880"/>
        </w:tabs>
        <w:ind w:left="2880" w:hanging="360"/>
      </w:pPr>
      <w:rPr>
        <w:rFonts w:ascii="Wingdings" w:eastAsia="Wingdings" w:hAnsi="Wingdings" w:hint="default"/>
      </w:rPr>
    </w:lvl>
    <w:lvl w:ilvl="4">
      <w:start w:val="1"/>
      <w:numFmt w:val="bullet"/>
      <w:lvlText w:val=""/>
      <w:lvlJc w:val="left"/>
      <w:pPr>
        <w:tabs>
          <w:tab w:val="num" w:pos="3600"/>
        </w:tabs>
        <w:ind w:left="3600" w:hanging="360"/>
      </w:pPr>
      <w:rPr>
        <w:rFonts w:ascii="Wingdings" w:eastAsia="Wingdings" w:hAnsi="Wingdings" w:hint="default"/>
      </w:rPr>
    </w:lvl>
    <w:lvl w:ilvl="5">
      <w:start w:val="1"/>
      <w:numFmt w:val="bullet"/>
      <w:lvlText w:val=""/>
      <w:lvlJc w:val="left"/>
      <w:pPr>
        <w:tabs>
          <w:tab w:val="num" w:pos="4320"/>
        </w:tabs>
        <w:ind w:left="4320" w:hanging="360"/>
      </w:pPr>
      <w:rPr>
        <w:rFonts w:ascii="Wingdings" w:eastAsia="Wingdings" w:hAnsi="Wingdings" w:hint="default"/>
      </w:rPr>
    </w:lvl>
    <w:lvl w:ilvl="6">
      <w:start w:val="1"/>
      <w:numFmt w:val="bullet"/>
      <w:lvlText w:val=""/>
      <w:lvlJc w:val="left"/>
      <w:pPr>
        <w:tabs>
          <w:tab w:val="num" w:pos="5040"/>
        </w:tabs>
        <w:ind w:left="5040" w:hanging="360"/>
      </w:pPr>
      <w:rPr>
        <w:rFonts w:ascii="Wingdings" w:eastAsia="Wingdings" w:hAnsi="Wingdings" w:hint="default"/>
      </w:rPr>
    </w:lvl>
    <w:lvl w:ilvl="7">
      <w:start w:val="1"/>
      <w:numFmt w:val="bullet"/>
      <w:lvlText w:val=""/>
      <w:lvlJc w:val="left"/>
      <w:pPr>
        <w:tabs>
          <w:tab w:val="num" w:pos="5760"/>
        </w:tabs>
        <w:ind w:left="5760" w:hanging="360"/>
      </w:pPr>
      <w:rPr>
        <w:rFonts w:ascii="Wingdings" w:eastAsia="Wingdings" w:hAnsi="Wingdings" w:hint="default"/>
      </w:rPr>
    </w:lvl>
    <w:lvl w:ilvl="8">
      <w:start w:val="1"/>
      <w:numFmt w:val="bullet"/>
      <w:lvlText w:val=""/>
      <w:lvlJc w:val="left"/>
      <w:pPr>
        <w:tabs>
          <w:tab w:val="num" w:pos="6480"/>
        </w:tabs>
        <w:ind w:left="6480" w:hanging="360"/>
      </w:pPr>
      <w:rPr>
        <w:rFonts w:ascii="Wingdings" w:eastAsia="Wingdings" w:hAnsi="Wingdings" w:hint="default"/>
      </w:rPr>
    </w:lvl>
  </w:abstractNum>
  <w:abstractNum w:abstractNumId="6">
    <w:nsid w:val="66866C8A"/>
    <w:multiLevelType w:val="hybridMultilevel"/>
    <w:tmpl w:val="99799375"/>
    <w:lvl w:ilvl="0">
      <w:start w:val="1"/>
      <w:numFmt w:val="bullet"/>
      <w:lvlText w:val=""/>
      <w:lvlJc w:val="left"/>
      <w:pPr>
        <w:tabs>
          <w:tab w:val="num" w:pos="1260"/>
        </w:tabs>
        <w:ind w:left="1260" w:hanging="420"/>
      </w:pPr>
      <w:rPr>
        <w:rFonts w:ascii="Wingdings" w:eastAsia="Wingdings" w:hAnsi="Wingdings" w:hint="default"/>
      </w:rPr>
    </w:lvl>
    <w:lvl w:ilvl="1">
      <w:start w:val="1"/>
      <w:numFmt w:val="bullet"/>
      <w:lvlText w:val=""/>
      <w:lvlJc w:val="left"/>
      <w:pPr>
        <w:tabs>
          <w:tab w:val="num" w:pos="1260"/>
        </w:tabs>
        <w:ind w:left="1260" w:hanging="420"/>
      </w:pPr>
      <w:rPr>
        <w:rFonts w:ascii="Wingdings" w:eastAsia="Wingdings" w:hAnsi="Wingdings" w:hint="default"/>
      </w:rPr>
    </w:lvl>
    <w:lvl w:ilvl="2">
      <w:start w:val="1"/>
      <w:numFmt w:val="bullet"/>
      <w:lvlText w:val=""/>
      <w:lvlJc w:val="left"/>
      <w:pPr>
        <w:tabs>
          <w:tab w:val="num" w:pos="2100"/>
        </w:tabs>
        <w:ind w:left="2100" w:hanging="420"/>
      </w:pPr>
      <w:rPr>
        <w:rFonts w:ascii="Wingdings" w:eastAsia="Wingdings" w:hAnsi="Wingdings" w:hint="default"/>
      </w:rPr>
    </w:lvl>
    <w:lvl w:ilvl="3">
      <w:start w:val="1"/>
      <w:numFmt w:val="decimal"/>
      <w:lvlText w:val="%4."/>
      <w:lvlJc w:val="left"/>
      <w:pPr>
        <w:tabs>
          <w:tab w:val="num" w:pos="2520"/>
        </w:tabs>
        <w:ind w:left="2520" w:hanging="420"/>
      </w:pPr>
    </w:lvl>
    <w:lvl w:ilvl="4">
      <w:start w:val="1"/>
      <w:numFmt w:val="lowerLetter"/>
      <w:lvlText w:val="%5)"/>
      <w:lvlJc w:val="left"/>
      <w:pPr>
        <w:tabs>
          <w:tab w:val="num" w:pos="2940"/>
        </w:tabs>
        <w:ind w:left="2940" w:hanging="420"/>
      </w:pPr>
    </w:lvl>
    <w:lvl w:ilvl="5">
      <w:start w:val="1"/>
      <w:numFmt w:val="lowerRoman"/>
      <w:lvlText w:val="%6."/>
      <w:lvlJc w:val="right"/>
      <w:pPr>
        <w:tabs>
          <w:tab w:val="num" w:pos="3360"/>
        </w:tabs>
        <w:ind w:left="3360" w:hanging="420"/>
      </w:pPr>
    </w:lvl>
    <w:lvl w:ilvl="6">
      <w:start w:val="1"/>
      <w:numFmt w:val="decimal"/>
      <w:lvlText w:val="%7."/>
      <w:lvlJc w:val="left"/>
      <w:pPr>
        <w:tabs>
          <w:tab w:val="num" w:pos="3780"/>
        </w:tabs>
        <w:ind w:left="3780" w:hanging="420"/>
      </w:pPr>
    </w:lvl>
    <w:lvl w:ilvl="7">
      <w:start w:val="1"/>
      <w:numFmt w:val="lowerLetter"/>
      <w:lvlText w:val="%8)"/>
      <w:lvlJc w:val="left"/>
      <w:pPr>
        <w:tabs>
          <w:tab w:val="num" w:pos="4200"/>
        </w:tabs>
        <w:ind w:left="4200" w:hanging="420"/>
      </w:pPr>
    </w:lvl>
    <w:lvl w:ilvl="8">
      <w:start w:val="1"/>
      <w:numFmt w:val="lowerRoman"/>
      <w:lvlText w:val="%9."/>
      <w:lvlJc w:val="right"/>
      <w:pPr>
        <w:tabs>
          <w:tab w:val="num" w:pos="4620"/>
        </w:tabs>
        <w:ind w:left="4620" w:hanging="420"/>
      </w:pPr>
    </w:lvl>
  </w:abstractNum>
  <w:abstractNum w:abstractNumId="7">
    <w:nsid w:val="66866C8B"/>
    <w:multiLevelType w:val="hybridMultilevel"/>
    <w:tmpl w:val="99799374"/>
    <w:lvl w:ilvl="0">
      <w:start w:val="1"/>
      <w:numFmt w:val="bullet"/>
      <w:lvlText w:val=""/>
      <w:lvlJc w:val="left"/>
      <w:pPr>
        <w:tabs>
          <w:tab w:val="num" w:pos="1020"/>
        </w:tabs>
        <w:ind w:left="1020" w:hanging="420"/>
      </w:pPr>
      <w:rPr>
        <w:rFonts w:ascii="Wingdings" w:eastAsia="Wingdings" w:hAnsi="Wingdings" w:hint="default"/>
      </w:rPr>
    </w:lvl>
    <w:lvl w:ilvl="1">
      <w:start w:val="1"/>
      <w:numFmt w:val="bullet"/>
      <w:lvlText w:val=""/>
      <w:lvlJc w:val="left"/>
      <w:pPr>
        <w:tabs>
          <w:tab w:val="num" w:pos="1440"/>
        </w:tabs>
        <w:ind w:left="1440" w:hanging="420"/>
      </w:pPr>
      <w:rPr>
        <w:rFonts w:ascii="Wingdings" w:eastAsia="Wingdings" w:hAnsi="Wingdings" w:hint="default"/>
      </w:rPr>
    </w:lvl>
    <w:lvl w:ilvl="2">
      <w:start w:val="1"/>
      <w:numFmt w:val="bullet"/>
      <w:lvlText w:val=""/>
      <w:lvlJc w:val="left"/>
      <w:pPr>
        <w:tabs>
          <w:tab w:val="num" w:pos="1860"/>
        </w:tabs>
        <w:ind w:left="1860" w:hanging="420"/>
      </w:pPr>
      <w:rPr>
        <w:rFonts w:ascii="Wingdings" w:eastAsia="Wingdings" w:hAnsi="Wingdings" w:hint="default"/>
      </w:rPr>
    </w:lvl>
    <w:lvl w:ilvl="3">
      <w:start w:val="1"/>
      <w:numFmt w:val="bullet"/>
      <w:lvlText w:val=""/>
      <w:lvlJc w:val="left"/>
      <w:pPr>
        <w:tabs>
          <w:tab w:val="num" w:pos="2280"/>
        </w:tabs>
        <w:ind w:left="2280" w:hanging="420"/>
      </w:pPr>
      <w:rPr>
        <w:rFonts w:ascii="Wingdings" w:eastAsia="Wingdings" w:hAnsi="Wingdings" w:hint="default"/>
      </w:rPr>
    </w:lvl>
    <w:lvl w:ilvl="4">
      <w:start w:val="1"/>
      <w:numFmt w:val="bullet"/>
      <w:lvlText w:val=""/>
      <w:lvlJc w:val="left"/>
      <w:pPr>
        <w:tabs>
          <w:tab w:val="num" w:pos="2700"/>
        </w:tabs>
        <w:ind w:left="2700" w:hanging="420"/>
      </w:pPr>
      <w:rPr>
        <w:rFonts w:ascii="Wingdings" w:eastAsia="Wingdings" w:hAnsi="Wingdings" w:hint="default"/>
      </w:rPr>
    </w:lvl>
    <w:lvl w:ilvl="5">
      <w:start w:val="1"/>
      <w:numFmt w:val="bullet"/>
      <w:lvlText w:val=""/>
      <w:lvlJc w:val="left"/>
      <w:pPr>
        <w:tabs>
          <w:tab w:val="num" w:pos="3120"/>
        </w:tabs>
        <w:ind w:left="3120" w:hanging="420"/>
      </w:pPr>
      <w:rPr>
        <w:rFonts w:ascii="Wingdings" w:eastAsia="Wingdings" w:hAnsi="Wingdings" w:hint="default"/>
      </w:rPr>
    </w:lvl>
    <w:lvl w:ilvl="6">
      <w:start w:val="1"/>
      <w:numFmt w:val="bullet"/>
      <w:lvlText w:val=""/>
      <w:lvlJc w:val="left"/>
      <w:pPr>
        <w:tabs>
          <w:tab w:val="num" w:pos="3540"/>
        </w:tabs>
        <w:ind w:left="3540" w:hanging="420"/>
      </w:pPr>
      <w:rPr>
        <w:rFonts w:ascii="Wingdings" w:eastAsia="Wingdings" w:hAnsi="Wingdings" w:hint="default"/>
      </w:rPr>
    </w:lvl>
    <w:lvl w:ilvl="7">
      <w:start w:val="1"/>
      <w:numFmt w:val="bullet"/>
      <w:lvlText w:val=""/>
      <w:lvlJc w:val="left"/>
      <w:pPr>
        <w:tabs>
          <w:tab w:val="num" w:pos="3960"/>
        </w:tabs>
        <w:ind w:left="3960" w:hanging="420"/>
      </w:pPr>
      <w:rPr>
        <w:rFonts w:ascii="Wingdings" w:eastAsia="Wingdings" w:hAnsi="Wingdings" w:hint="default"/>
      </w:rPr>
    </w:lvl>
    <w:lvl w:ilvl="8">
      <w:start w:val="1"/>
      <w:numFmt w:val="bullet"/>
      <w:lvlText w:val=""/>
      <w:lvlJc w:val="left"/>
      <w:pPr>
        <w:tabs>
          <w:tab w:val="num" w:pos="4380"/>
        </w:tabs>
        <w:ind w:left="4380" w:hanging="420"/>
      </w:pPr>
      <w:rPr>
        <w:rFonts w:ascii="Wingdings" w:eastAsia="Wingdings" w:hAnsi="Wingdings" w:hint="default"/>
      </w:rPr>
    </w:lvl>
  </w:abstractNum>
  <w:abstractNum w:abstractNumId="8">
    <w:nsid w:val="66866C8C"/>
    <w:multiLevelType w:val="hybridMultilevel"/>
    <w:tmpl w:val="99799373"/>
    <w:lvl w:ilvl="0">
      <w:start w:val="1"/>
      <w:numFmt w:val="bullet"/>
      <w:lvlText w:val=""/>
      <w:lvlJc w:val="left"/>
      <w:pPr>
        <w:tabs>
          <w:tab w:val="num" w:pos="1220"/>
        </w:tabs>
        <w:ind w:left="1220" w:hanging="420"/>
      </w:pPr>
      <w:rPr>
        <w:rFonts w:ascii="Wingdings" w:eastAsia="Wingdings" w:hAnsi="Wingdings" w:hint="default"/>
      </w:rPr>
    </w:lvl>
    <w:lvl w:ilvl="1">
      <w:start w:val="1"/>
      <w:numFmt w:val="bullet"/>
      <w:lvlText w:val=""/>
      <w:lvlJc w:val="left"/>
      <w:pPr>
        <w:tabs>
          <w:tab w:val="num" w:pos="1640"/>
        </w:tabs>
        <w:ind w:left="1640" w:hanging="420"/>
      </w:pPr>
      <w:rPr>
        <w:rFonts w:ascii="Wingdings" w:eastAsia="Wingdings" w:hAnsi="Wingdings" w:hint="default"/>
      </w:rPr>
    </w:lvl>
    <w:lvl w:ilvl="2">
      <w:start w:val="1"/>
      <w:numFmt w:val="bullet"/>
      <w:lvlText w:val=""/>
      <w:lvlJc w:val="left"/>
      <w:pPr>
        <w:tabs>
          <w:tab w:val="num" w:pos="2060"/>
        </w:tabs>
        <w:ind w:left="2060" w:hanging="420"/>
      </w:pPr>
      <w:rPr>
        <w:rFonts w:ascii="Wingdings" w:eastAsia="Wingdings" w:hAnsi="Wingdings" w:hint="default"/>
      </w:rPr>
    </w:lvl>
    <w:lvl w:ilvl="3">
      <w:start w:val="1"/>
      <w:numFmt w:val="bullet"/>
      <w:lvlText w:val=""/>
      <w:lvlJc w:val="left"/>
      <w:pPr>
        <w:tabs>
          <w:tab w:val="num" w:pos="2480"/>
        </w:tabs>
        <w:ind w:left="2480" w:hanging="420"/>
      </w:pPr>
      <w:rPr>
        <w:rFonts w:ascii="Wingdings" w:eastAsia="Wingdings" w:hAnsi="Wingdings" w:hint="default"/>
      </w:rPr>
    </w:lvl>
    <w:lvl w:ilvl="4">
      <w:start w:val="1"/>
      <w:numFmt w:val="bullet"/>
      <w:lvlText w:val=""/>
      <w:lvlJc w:val="left"/>
      <w:pPr>
        <w:tabs>
          <w:tab w:val="num" w:pos="2900"/>
        </w:tabs>
        <w:ind w:left="2900" w:hanging="420"/>
      </w:pPr>
      <w:rPr>
        <w:rFonts w:ascii="Wingdings" w:eastAsia="Wingdings" w:hAnsi="Wingdings" w:hint="default"/>
      </w:rPr>
    </w:lvl>
    <w:lvl w:ilvl="5">
      <w:start w:val="1"/>
      <w:numFmt w:val="bullet"/>
      <w:lvlText w:val=""/>
      <w:lvlJc w:val="left"/>
      <w:pPr>
        <w:tabs>
          <w:tab w:val="num" w:pos="3320"/>
        </w:tabs>
        <w:ind w:left="3320" w:hanging="420"/>
      </w:pPr>
      <w:rPr>
        <w:rFonts w:ascii="Wingdings" w:eastAsia="Wingdings" w:hAnsi="Wingdings" w:hint="default"/>
      </w:rPr>
    </w:lvl>
    <w:lvl w:ilvl="6">
      <w:start w:val="1"/>
      <w:numFmt w:val="bullet"/>
      <w:lvlText w:val=""/>
      <w:lvlJc w:val="left"/>
      <w:pPr>
        <w:tabs>
          <w:tab w:val="num" w:pos="3740"/>
        </w:tabs>
        <w:ind w:left="3740" w:hanging="420"/>
      </w:pPr>
      <w:rPr>
        <w:rFonts w:ascii="Wingdings" w:eastAsia="Wingdings" w:hAnsi="Wingdings" w:hint="default"/>
      </w:rPr>
    </w:lvl>
    <w:lvl w:ilvl="7">
      <w:start w:val="1"/>
      <w:numFmt w:val="bullet"/>
      <w:lvlText w:val=""/>
      <w:lvlJc w:val="left"/>
      <w:pPr>
        <w:tabs>
          <w:tab w:val="num" w:pos="4160"/>
        </w:tabs>
        <w:ind w:left="4160" w:hanging="420"/>
      </w:pPr>
      <w:rPr>
        <w:rFonts w:ascii="Wingdings" w:eastAsia="Wingdings" w:hAnsi="Wingdings" w:hint="default"/>
      </w:rPr>
    </w:lvl>
    <w:lvl w:ilvl="8">
      <w:start w:val="1"/>
      <w:numFmt w:val="bullet"/>
      <w:lvlText w:val=""/>
      <w:lvlJc w:val="left"/>
      <w:pPr>
        <w:tabs>
          <w:tab w:val="num" w:pos="4580"/>
        </w:tabs>
        <w:ind w:left="4580" w:hanging="420"/>
      </w:pPr>
      <w:rPr>
        <w:rFonts w:ascii="Wingdings" w:eastAsia="Wingdings" w:hAnsi="Wingdings" w:hint="default"/>
      </w:rPr>
    </w:lvl>
  </w:abstractNum>
  <w:abstractNum w:abstractNumId="9">
    <w:nsid w:val="66866C8D"/>
    <w:multiLevelType w:val="hybridMultilevel"/>
    <w:tmpl w:val="99799372"/>
    <w:lvl w:ilvl="0">
      <w:start w:val="1"/>
      <w:numFmt w:val="lowerLetter"/>
      <w:lvlText w:val="%1．"/>
      <w:lvlJc w:val="left"/>
      <w:pPr>
        <w:tabs>
          <w:tab w:val="num" w:pos="1350"/>
        </w:tabs>
        <w:ind w:left="1350" w:hanging="720"/>
      </w:pPr>
      <w:rPr>
        <w:rFonts w:hint="eastAsia"/>
      </w:rPr>
    </w:lvl>
    <w:lvl w:ilvl="1">
      <w:start w:val="1"/>
      <w:numFmt w:val="lowerLetter"/>
      <w:lvlText w:val="%2)"/>
      <w:lvlJc w:val="left"/>
      <w:pPr>
        <w:tabs>
          <w:tab w:val="num" w:pos="1470"/>
        </w:tabs>
        <w:ind w:left="1470" w:hanging="420"/>
      </w:pPr>
    </w:lvl>
    <w:lvl w:ilvl="2">
      <w:start w:val="1"/>
      <w:numFmt w:val="lowerRoman"/>
      <w:lvlText w:val="%3."/>
      <w:lvlJc w:val="right"/>
      <w:pPr>
        <w:tabs>
          <w:tab w:val="num" w:pos="1890"/>
        </w:tabs>
        <w:ind w:left="1890" w:hanging="420"/>
      </w:pPr>
    </w:lvl>
    <w:lvl w:ilvl="3">
      <w:start w:val="1"/>
      <w:numFmt w:val="decimal"/>
      <w:lvlText w:val="%4."/>
      <w:lvlJc w:val="left"/>
      <w:pPr>
        <w:tabs>
          <w:tab w:val="num" w:pos="2310"/>
        </w:tabs>
        <w:ind w:left="2310" w:hanging="420"/>
      </w:pPr>
    </w:lvl>
    <w:lvl w:ilvl="4">
      <w:start w:val="1"/>
      <w:numFmt w:val="lowerLetter"/>
      <w:lvlText w:val="%5)"/>
      <w:lvlJc w:val="left"/>
      <w:pPr>
        <w:tabs>
          <w:tab w:val="num" w:pos="2730"/>
        </w:tabs>
        <w:ind w:left="2730" w:hanging="420"/>
      </w:pPr>
    </w:lvl>
    <w:lvl w:ilvl="5">
      <w:start w:val="1"/>
      <w:numFmt w:val="lowerRoman"/>
      <w:lvlText w:val="%6."/>
      <w:lvlJc w:val="right"/>
      <w:pPr>
        <w:tabs>
          <w:tab w:val="num" w:pos="3150"/>
        </w:tabs>
        <w:ind w:left="3150" w:hanging="420"/>
      </w:pPr>
    </w:lvl>
    <w:lvl w:ilvl="6">
      <w:start w:val="1"/>
      <w:numFmt w:val="decimal"/>
      <w:lvlText w:val="%7."/>
      <w:lvlJc w:val="left"/>
      <w:pPr>
        <w:tabs>
          <w:tab w:val="num" w:pos="3570"/>
        </w:tabs>
        <w:ind w:left="3570" w:hanging="420"/>
      </w:pPr>
    </w:lvl>
    <w:lvl w:ilvl="7">
      <w:start w:val="1"/>
      <w:numFmt w:val="lowerLetter"/>
      <w:lvlText w:val="%8)"/>
      <w:lvlJc w:val="left"/>
      <w:pPr>
        <w:tabs>
          <w:tab w:val="num" w:pos="3990"/>
        </w:tabs>
        <w:ind w:left="3990" w:hanging="420"/>
      </w:pPr>
    </w:lvl>
    <w:lvl w:ilvl="8">
      <w:start w:val="1"/>
      <w:numFmt w:val="lowerRoman"/>
      <w:lvlText w:val="%9."/>
      <w:lvlJc w:val="right"/>
      <w:pPr>
        <w:tabs>
          <w:tab w:val="num" w:pos="4410"/>
        </w:tabs>
        <w:ind w:left="4410" w:hanging="420"/>
      </w:pPr>
    </w:lvl>
  </w:abstractNum>
  <w:abstractNum w:abstractNumId="10">
    <w:nsid w:val="66866C8E"/>
    <w:multiLevelType w:val="hybridMultilevel"/>
    <w:tmpl w:val="99799371"/>
    <w:lvl w:ilvl="0">
      <w:start w:val="1"/>
      <w:numFmt w:val="bullet"/>
      <w:lvlText w:val=""/>
      <w:lvlJc w:val="left"/>
      <w:pPr>
        <w:tabs>
          <w:tab w:val="num" w:pos="1220"/>
        </w:tabs>
        <w:ind w:left="1220" w:hanging="420"/>
      </w:pPr>
      <w:rPr>
        <w:rFonts w:ascii="Wingdings" w:eastAsia="Wingdings" w:hAnsi="Wingding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1">
    <w:nsid w:val="7563602A"/>
    <w:multiLevelType w:val="hybridMultilevel"/>
    <w:tmpl w:val="99799375"/>
    <w:lvl w:ilvl="0">
      <w:start w:val="1"/>
      <w:numFmt w:val="bullet"/>
      <w:lvlText w:val=""/>
      <w:lvlJc w:val="left"/>
      <w:pPr>
        <w:tabs>
          <w:tab w:val="num" w:pos="1260"/>
        </w:tabs>
        <w:ind w:left="1260" w:hanging="420"/>
      </w:pPr>
      <w:rPr>
        <w:rFonts w:ascii="Wingdings" w:eastAsia="Wingdings" w:hAnsi="Wingdings" w:hint="default"/>
      </w:rPr>
    </w:lvl>
    <w:lvl w:ilvl="1">
      <w:start w:val="1"/>
      <w:numFmt w:val="bullet"/>
      <w:lvlText w:val=""/>
      <w:lvlJc w:val="left"/>
      <w:pPr>
        <w:tabs>
          <w:tab w:val="num" w:pos="1260"/>
        </w:tabs>
        <w:ind w:left="1260" w:hanging="420"/>
      </w:pPr>
      <w:rPr>
        <w:rFonts w:ascii="Wingdings" w:eastAsia="Wingdings" w:hAnsi="Wingdings" w:hint="default"/>
      </w:rPr>
    </w:lvl>
    <w:lvl w:ilvl="2">
      <w:start w:val="1"/>
      <w:numFmt w:val="bullet"/>
      <w:lvlText w:val=""/>
      <w:lvlJc w:val="left"/>
      <w:pPr>
        <w:tabs>
          <w:tab w:val="num" w:pos="2100"/>
        </w:tabs>
        <w:ind w:left="2100" w:hanging="420"/>
      </w:pPr>
      <w:rPr>
        <w:rFonts w:ascii="Wingdings" w:eastAsia="Wingdings" w:hAnsi="Wingdings" w:hint="default"/>
      </w:rPr>
    </w:lvl>
    <w:lvl w:ilvl="3">
      <w:start w:val="1"/>
      <w:numFmt w:val="decimal"/>
      <w:lvlText w:val="%4."/>
      <w:lvlJc w:val="left"/>
      <w:pPr>
        <w:tabs>
          <w:tab w:val="num" w:pos="2520"/>
        </w:tabs>
        <w:ind w:left="2520" w:hanging="420"/>
      </w:pPr>
    </w:lvl>
    <w:lvl w:ilvl="4">
      <w:start w:val="1"/>
      <w:numFmt w:val="lowerLetter"/>
      <w:lvlText w:val="%5)"/>
      <w:lvlJc w:val="left"/>
      <w:pPr>
        <w:tabs>
          <w:tab w:val="num" w:pos="2940"/>
        </w:tabs>
        <w:ind w:left="2940" w:hanging="420"/>
      </w:pPr>
    </w:lvl>
    <w:lvl w:ilvl="5">
      <w:start w:val="1"/>
      <w:numFmt w:val="lowerRoman"/>
      <w:lvlText w:val="%6."/>
      <w:lvlJc w:val="right"/>
      <w:pPr>
        <w:tabs>
          <w:tab w:val="num" w:pos="3360"/>
        </w:tabs>
        <w:ind w:left="3360" w:hanging="420"/>
      </w:pPr>
    </w:lvl>
    <w:lvl w:ilvl="6">
      <w:start w:val="1"/>
      <w:numFmt w:val="decimal"/>
      <w:lvlText w:val="%7."/>
      <w:lvlJc w:val="left"/>
      <w:pPr>
        <w:tabs>
          <w:tab w:val="num" w:pos="3780"/>
        </w:tabs>
        <w:ind w:left="3780" w:hanging="420"/>
      </w:pPr>
    </w:lvl>
    <w:lvl w:ilvl="7">
      <w:start w:val="1"/>
      <w:numFmt w:val="lowerLetter"/>
      <w:lvlText w:val="%8)"/>
      <w:lvlJc w:val="left"/>
      <w:pPr>
        <w:tabs>
          <w:tab w:val="num" w:pos="4200"/>
        </w:tabs>
        <w:ind w:left="4200" w:hanging="420"/>
      </w:pPr>
    </w:lvl>
    <w:lvl w:ilvl="8">
      <w:start w:val="1"/>
      <w:numFmt w:val="lowerRoman"/>
      <w:lvlText w:val="%9."/>
      <w:lvlJc w:val="right"/>
      <w:pPr>
        <w:tabs>
          <w:tab w:val="num" w:pos="4620"/>
        </w:tabs>
        <w:ind w:left="4620" w:hanging="420"/>
      </w:pPr>
    </w:lvl>
  </w:abstractNum>
  <w:num w:numId="1">
    <w:abstractNumId w:val="5"/>
  </w:num>
  <w:num w:numId="2">
    <w:abstractNumId w:val="6"/>
  </w:num>
  <w:num w:numId="3">
    <w:abstractNumId w:val="7"/>
  </w:num>
  <w:num w:numId="4">
    <w:abstractNumId w:val="8"/>
  </w:num>
  <w:num w:numId="5">
    <w:abstractNumId w:val="9"/>
  </w:num>
  <w:num w:numId="6">
    <w:abstractNumId w:val="10"/>
  </w:num>
  <w:num w:numId="7">
    <w:abstractNumId w:val="11"/>
  </w:num>
  <w:num w:numId="8">
    <w:abstractNumId w:val="4"/>
  </w:num>
  <w:num w:numId="9">
    <w:abstractNumId w:val="3"/>
  </w:num>
  <w:num w:numId="10">
    <w:abstractNumId w:val="2"/>
  </w:num>
  <w:num w:numId="11">
    <w:abstractNumId w:val="1"/>
  </w:num>
  <w:num w:numId="1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3F01"/>
  <w:doNotTrackMoves/>
  <w:defaultTabStop w:val="420"/>
  <w:drawingGridVerticalSpacing w:val="156"/>
  <w:displayHorizontalDrawingGridEvery w:val="0"/>
  <w:displayVerticalDrawingGridEvery w:val="2"/>
  <w:characterSpacingControl w:val="compressPunctuation"/>
  <w:noLineBreaksAfter w:lang="en-US" w:val="([{·‘“〈《「『【〔〖（．［｛￡￥"/>
  <w:noLineBreaksBefore w:lang="en-US" w:val="!),.:;?]}¨·ˇˉ―‖’”…∶、。〃々〉》」』】〕〗！＂＇），．：；？］｀｜｝～￠"/>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00000"/>
    <w:rsid w:val="0001701C"/>
    <w:rsid w:val="00036630"/>
    <w:rsid w:val="000723BE"/>
    <w:rsid w:val="0008097E"/>
    <w:rsid w:val="00081D2B"/>
    <w:rsid w:val="000B3ED6"/>
    <w:rsid w:val="00112867"/>
    <w:rsid w:val="00184EBB"/>
    <w:rsid w:val="00197E33"/>
    <w:rsid w:val="001E1927"/>
    <w:rsid w:val="001E4F0A"/>
    <w:rsid w:val="0022189E"/>
    <w:rsid w:val="0024655A"/>
    <w:rsid w:val="0027377F"/>
    <w:rsid w:val="00280135"/>
    <w:rsid w:val="00297B18"/>
    <w:rsid w:val="002A464D"/>
    <w:rsid w:val="003D3603"/>
    <w:rsid w:val="003E6B69"/>
    <w:rsid w:val="00434767"/>
    <w:rsid w:val="004358AB"/>
    <w:rsid w:val="00442A1D"/>
    <w:rsid w:val="00473053"/>
    <w:rsid w:val="004A1E0F"/>
    <w:rsid w:val="005060FB"/>
    <w:rsid w:val="0052138A"/>
    <w:rsid w:val="00593B7C"/>
    <w:rsid w:val="005F04A2"/>
    <w:rsid w:val="00615E43"/>
    <w:rsid w:val="0062329B"/>
    <w:rsid w:val="00637881"/>
    <w:rsid w:val="00642FFE"/>
    <w:rsid w:val="006A378E"/>
    <w:rsid w:val="006B5C29"/>
    <w:rsid w:val="00746E5B"/>
    <w:rsid w:val="00764237"/>
    <w:rsid w:val="007C173F"/>
    <w:rsid w:val="007C5BBE"/>
    <w:rsid w:val="007F6721"/>
    <w:rsid w:val="00807292"/>
    <w:rsid w:val="00863876"/>
    <w:rsid w:val="008705AA"/>
    <w:rsid w:val="00896673"/>
    <w:rsid w:val="008E7B02"/>
    <w:rsid w:val="00903049"/>
    <w:rsid w:val="009205AF"/>
    <w:rsid w:val="00984C4C"/>
    <w:rsid w:val="00A26AB6"/>
    <w:rsid w:val="00B00563"/>
    <w:rsid w:val="00B109C1"/>
    <w:rsid w:val="00B22AB7"/>
    <w:rsid w:val="00B41D99"/>
    <w:rsid w:val="00B4427A"/>
    <w:rsid w:val="00B90DEF"/>
    <w:rsid w:val="00B91C12"/>
    <w:rsid w:val="00C41316"/>
    <w:rsid w:val="00C47560"/>
    <w:rsid w:val="00C57286"/>
    <w:rsid w:val="00CB2144"/>
    <w:rsid w:val="00CE0220"/>
    <w:rsid w:val="00D1739D"/>
    <w:rsid w:val="00D17EF8"/>
    <w:rsid w:val="00DA2E7E"/>
    <w:rsid w:val="00DF42E6"/>
    <w:rsid w:val="00E42FCE"/>
    <w:rsid w:val="00F402C0"/>
    <w:rsid w:val="00F56AF4"/>
    <w:rsid w:val="00F64EC6"/>
    <w:rsid w:val="00F903A4"/>
    <w:rsid w:val="00F9050E"/>
    <w:rsid w:val="00FA62FF"/>
  </w:rsids>
  <m:mathPr>
    <m:mathFont m:val="Cambria Math"/>
  </m:mathPr>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sdException w:name="Grid Table 1 Light" w:semiHidden="0" w:uiPriority="46" w:unhideWhenUsed="0"/>
    <w:lsdException w:name="Grid Table 2" w:semiHidden="0" w:uiPriority="47" w:unhideWhenUsed="0"/>
    <w:lsdException w:name="Grid Table 3" w:semiHidden="0" w:uiPriority="48" w:unhideWhenUsed="0"/>
    <w:lsdException w:name="Grid Table 4" w:semiHidden="0" w:uiPriority="49" w:unhideWhenUsed="0"/>
    <w:lsdException w:name="Grid Table 5 Dark" w:semiHidden="0" w:uiPriority="50" w:unhideWhenUsed="0"/>
    <w:lsdException w:name="Grid Table 6 Colorful" w:semiHidden="0" w:uiPriority="51" w:unhideWhenUsed="0"/>
    <w:lsdException w:name="Grid Table 7 Colorful" w:semiHidden="0" w:uiPriority="52" w:unhideWhenUsed="0"/>
    <w:lsdException w:name="Grid Table 1 Light Accent 1" w:semiHidden="0" w:uiPriority="46" w:unhideWhenUsed="0"/>
    <w:lsdException w:name="Grid Table 2 Accent 1" w:semiHidden="0" w:uiPriority="47" w:unhideWhenUsed="0"/>
    <w:lsdException w:name="Grid Table 3 Accent 1" w:semiHidden="0" w:uiPriority="48" w:unhideWhenUsed="0"/>
    <w:lsdException w:name="Grid Table 4 Accent 1" w:semiHidden="0" w:uiPriority="49" w:unhideWhenUsed="0"/>
    <w:lsdException w:name="Grid Table 5 Dark Accent 1" w:semiHidden="0" w:uiPriority="50" w:unhideWhenUsed="0"/>
    <w:lsdException w:name="Grid Table 6 Colorful Accent 1" w:semiHidden="0" w:uiPriority="51" w:unhideWhenUsed="0"/>
    <w:lsdException w:name="Grid Table 7 Colorful Accent 1" w:semiHidden="0" w:uiPriority="52" w:unhideWhenUsed="0"/>
    <w:lsdException w:name="Grid Table 1 Light Accent 2" w:semiHidden="0" w:uiPriority="46" w:unhideWhenUsed="0"/>
    <w:lsdException w:name="Grid Table 2 Accent 2" w:semiHidden="0" w:uiPriority="47" w:unhideWhenUsed="0"/>
    <w:lsdException w:name="Grid Table 3 Accent 2" w:semiHidden="0" w:uiPriority="48" w:unhideWhenUsed="0"/>
    <w:lsdException w:name="Grid Table 4 Accent 2" w:semiHidden="0" w:uiPriority="49" w:unhideWhenUsed="0"/>
    <w:lsdException w:name="Grid Table 5 Dark Accent 2" w:semiHidden="0" w:uiPriority="50" w:unhideWhenUsed="0"/>
    <w:lsdException w:name="Grid Table 6 Colorful Accent 2" w:semiHidden="0" w:uiPriority="51" w:unhideWhenUsed="0"/>
    <w:lsdException w:name="Grid Table 7 Colorful Accent 2" w:semiHidden="0" w:uiPriority="52" w:unhideWhenUsed="0"/>
    <w:lsdException w:name="Grid Table 1 Light Accent 3" w:semiHidden="0" w:uiPriority="46" w:unhideWhenUsed="0"/>
    <w:lsdException w:name="Grid Table 2 Accent 3" w:semiHidden="0" w:uiPriority="47" w:unhideWhenUsed="0"/>
    <w:lsdException w:name="Grid Table 3 Accent 3" w:semiHidden="0" w:uiPriority="48" w:unhideWhenUsed="0"/>
    <w:lsdException w:name="Grid Table 4 Accent 3" w:semiHidden="0" w:uiPriority="49" w:unhideWhenUsed="0"/>
    <w:lsdException w:name="Grid Table 5 Dark Accent 3" w:semiHidden="0" w:uiPriority="50" w:unhideWhenUsed="0"/>
    <w:lsdException w:name="Grid Table 6 Colorful Accent 3" w:semiHidden="0" w:uiPriority="51" w:unhideWhenUsed="0"/>
    <w:lsdException w:name="Grid Table 7 Colorful Accent 3" w:semiHidden="0" w:uiPriority="52" w:unhideWhenUsed="0"/>
    <w:lsdException w:name="Grid Table 1 Light Accent 4" w:semiHidden="0" w:uiPriority="46" w:unhideWhenUsed="0"/>
    <w:lsdException w:name="Grid Table 2 Accent 4" w:semiHidden="0" w:uiPriority="47" w:unhideWhenUsed="0"/>
    <w:lsdException w:name="Grid Table 3 Accent 4" w:semiHidden="0" w:uiPriority="48" w:unhideWhenUsed="0"/>
    <w:lsdException w:name="Grid Table 4 Accent 4" w:semiHidden="0" w:uiPriority="49" w:unhideWhenUsed="0"/>
    <w:lsdException w:name="Grid Table 5 Dark Accent 4" w:semiHidden="0" w:uiPriority="50" w:unhideWhenUsed="0"/>
    <w:lsdException w:name="Grid Table 6 Colorful Accent 4" w:semiHidden="0" w:uiPriority="51" w:unhideWhenUsed="0"/>
    <w:lsdException w:name="Grid Table 7 Colorful Accent 4" w:semiHidden="0" w:uiPriority="52" w:unhideWhenUsed="0"/>
    <w:lsdException w:name="Grid Table 1 Light Accent 5" w:semiHidden="0" w:uiPriority="46" w:unhideWhenUsed="0"/>
    <w:lsdException w:name="Grid Table 2 Accent 5" w:semiHidden="0" w:uiPriority="47" w:unhideWhenUsed="0"/>
    <w:lsdException w:name="Grid Table 3 Accent 5" w:semiHidden="0" w:uiPriority="48" w:unhideWhenUsed="0"/>
    <w:lsdException w:name="Grid Table 4 Accent 5" w:semiHidden="0" w:uiPriority="49" w:unhideWhenUsed="0"/>
    <w:lsdException w:name="Grid Table 5 Dark Accent 5" w:semiHidden="0" w:uiPriority="50" w:unhideWhenUsed="0"/>
    <w:lsdException w:name="Grid Table 6 Colorful Accent 5" w:semiHidden="0" w:uiPriority="51" w:unhideWhenUsed="0"/>
    <w:lsdException w:name="Grid Table 7 Colorful Accent 5" w:semiHidden="0" w:uiPriority="52" w:unhideWhenUsed="0"/>
    <w:lsdException w:name="Grid Table 1 Light Accent 6" w:semiHidden="0" w:uiPriority="46" w:unhideWhenUsed="0"/>
    <w:lsdException w:name="Grid Table 2 Accent 6" w:semiHidden="0" w:uiPriority="47" w:unhideWhenUsed="0"/>
    <w:lsdException w:name="Grid Table 3 Accent 6" w:semiHidden="0" w:uiPriority="48" w:unhideWhenUsed="0"/>
    <w:lsdException w:name="Grid Table 4 Accent 6" w:semiHidden="0" w:uiPriority="49" w:unhideWhenUsed="0"/>
    <w:lsdException w:name="Grid Table 5 Dark Accent 6" w:semiHidden="0" w:uiPriority="50" w:unhideWhenUsed="0"/>
    <w:lsdException w:name="Grid Table 6 Colorful Accent 6" w:semiHidden="0" w:uiPriority="51" w:unhideWhenUsed="0"/>
    <w:lsdException w:name="Grid Table 7 Colorful Accent 6" w:semiHidden="0" w:uiPriority="52" w:unhideWhenUsed="0"/>
    <w:lsdException w:name="List Table 1 Light" w:semiHidden="0" w:uiPriority="46" w:unhideWhenUsed="0"/>
    <w:lsdException w:name="List Table 2" w:semiHidden="0" w:uiPriority="47" w:unhideWhenUsed="0"/>
    <w:lsdException w:name="List Table 3" w:semiHidden="0" w:uiPriority="48" w:unhideWhenUsed="0"/>
    <w:lsdException w:name="List Table 4" w:semiHidden="0" w:uiPriority="49" w:unhideWhenUsed="0"/>
    <w:lsdException w:name="List Table 5 Dark" w:semiHidden="0" w:uiPriority="50" w:unhideWhenUsed="0"/>
    <w:lsdException w:name="List Table 6 Colorful" w:semiHidden="0" w:uiPriority="51" w:unhideWhenUsed="0"/>
    <w:lsdException w:name="List Table 7 Colorful" w:semiHidden="0" w:uiPriority="52" w:unhideWhenUsed="0"/>
    <w:lsdException w:name="List Table 1 Light Accent 1" w:semiHidden="0" w:uiPriority="46" w:unhideWhenUsed="0"/>
    <w:lsdException w:name="List Table 2 Accent 1" w:semiHidden="0" w:uiPriority="47" w:unhideWhenUsed="0"/>
    <w:lsdException w:name="List Table 3 Accent 1" w:semiHidden="0" w:uiPriority="48" w:unhideWhenUsed="0"/>
    <w:lsdException w:name="List Table 4 Accent 1" w:semiHidden="0" w:uiPriority="49" w:unhideWhenUsed="0"/>
    <w:lsdException w:name="List Table 5 Dark Accent 1" w:semiHidden="0" w:uiPriority="50" w:unhideWhenUsed="0"/>
    <w:lsdException w:name="List Table 6 Colorful Accent 1" w:semiHidden="0" w:uiPriority="51" w:unhideWhenUsed="0"/>
    <w:lsdException w:name="List Table 7 Colorful Accent 1" w:semiHidden="0" w:uiPriority="52" w:unhideWhenUsed="0"/>
    <w:lsdException w:name="List Table 1 Light Accent 2" w:semiHidden="0" w:uiPriority="46" w:unhideWhenUsed="0"/>
    <w:lsdException w:name="List Table 2 Accent 2" w:semiHidden="0" w:uiPriority="47" w:unhideWhenUsed="0"/>
    <w:lsdException w:name="List Table 3 Accent 2" w:semiHidden="0" w:uiPriority="48" w:unhideWhenUsed="0"/>
    <w:lsdException w:name="List Table 4 Accent 2" w:semiHidden="0" w:uiPriority="49" w:unhideWhenUsed="0"/>
    <w:lsdException w:name="List Table 5 Dark Accent 2" w:semiHidden="0" w:uiPriority="50" w:unhideWhenUsed="0"/>
    <w:lsdException w:name="List Table 6 Colorful Accent 2" w:semiHidden="0" w:uiPriority="51" w:unhideWhenUsed="0"/>
    <w:lsdException w:name="List Table 7 Colorful Accent 2" w:semiHidden="0" w:uiPriority="52" w:unhideWhenUsed="0"/>
    <w:lsdException w:name="List Table 1 Light Accent 3" w:semiHidden="0" w:uiPriority="46" w:unhideWhenUsed="0"/>
    <w:lsdException w:name="List Table 2 Accent 3" w:semiHidden="0" w:uiPriority="47" w:unhideWhenUsed="0"/>
    <w:lsdException w:name="List Table 3 Accent 3" w:semiHidden="0" w:uiPriority="48" w:unhideWhenUsed="0"/>
    <w:lsdException w:name="List Table 4 Accent 3" w:semiHidden="0" w:uiPriority="49" w:unhideWhenUsed="0"/>
    <w:lsdException w:name="List Table 5 Dark Accent 3" w:semiHidden="0" w:uiPriority="50" w:unhideWhenUsed="0"/>
    <w:lsdException w:name="List Table 6 Colorful Accent 3" w:semiHidden="0" w:uiPriority="51" w:unhideWhenUsed="0"/>
    <w:lsdException w:name="List Table 7 Colorful Accent 3" w:semiHidden="0" w:uiPriority="52" w:unhideWhenUsed="0"/>
    <w:lsdException w:name="List Table 1 Light Accent 4" w:semiHidden="0" w:uiPriority="46" w:unhideWhenUsed="0"/>
    <w:lsdException w:name="List Table 2 Accent 4" w:semiHidden="0" w:uiPriority="47" w:unhideWhenUsed="0"/>
    <w:lsdException w:name="List Table 3 Accent 4" w:semiHidden="0" w:uiPriority="48" w:unhideWhenUsed="0"/>
    <w:lsdException w:name="List Table 4 Accent 4" w:semiHidden="0" w:uiPriority="49" w:unhideWhenUsed="0"/>
    <w:lsdException w:name="List Table 5 Dark Accent 4" w:semiHidden="0" w:uiPriority="50" w:unhideWhenUsed="0"/>
    <w:lsdException w:name="List Table 6 Colorful Accent 4" w:semiHidden="0" w:uiPriority="51" w:unhideWhenUsed="0"/>
    <w:lsdException w:name="List Table 7 Colorful Accent 4" w:semiHidden="0" w:uiPriority="52" w:unhideWhenUsed="0"/>
    <w:lsdException w:name="List Table 1 Light Accent 5" w:semiHidden="0" w:uiPriority="46" w:unhideWhenUsed="0"/>
    <w:lsdException w:name="List Table 2 Accent 5" w:semiHidden="0" w:uiPriority="47" w:unhideWhenUsed="0"/>
    <w:lsdException w:name="List Table 3 Accent 5" w:semiHidden="0" w:uiPriority="48" w:unhideWhenUsed="0"/>
    <w:lsdException w:name="List Table 4 Accent 5" w:semiHidden="0" w:uiPriority="49" w:unhideWhenUsed="0"/>
    <w:lsdException w:name="List Table 5 Dark Accent 5" w:semiHidden="0" w:uiPriority="50" w:unhideWhenUsed="0"/>
    <w:lsdException w:name="List Table 6 Colorful Accent 5" w:semiHidden="0" w:uiPriority="51" w:unhideWhenUsed="0"/>
    <w:lsdException w:name="List Table 7 Colorful Accent 5" w:semiHidden="0" w:uiPriority="52" w:unhideWhenUsed="0"/>
    <w:lsdException w:name="List Table 1 Light Accent 6" w:semiHidden="0" w:uiPriority="46" w:unhideWhenUsed="0"/>
    <w:lsdException w:name="List Table 2 Accent 6" w:semiHidden="0" w:uiPriority="47" w:unhideWhenUsed="0"/>
    <w:lsdException w:name="List Table 3 Accent 6" w:semiHidden="0" w:uiPriority="48" w:unhideWhenUsed="0"/>
    <w:lsdException w:name="List Table 4 Accent 6" w:semiHidden="0" w:uiPriority="49" w:unhideWhenUsed="0"/>
    <w:lsdException w:name="List Table 5 Dark Accent 6" w:semiHidden="0" w:uiPriority="50" w:unhideWhenUsed="0"/>
    <w:lsdException w:name="List Table 6 Colorful Accent 6" w:semiHidden="0" w:uiPriority="51" w:unhideWhenUsed="0"/>
    <w:lsdException w:name="List Table 7 Colorful Accent 6" w:semiHidden="0" w:uiPriority="52" w:unhideWhenUsed="0"/>
  </w:latentStyles>
  <w:style w:type="paragraph" w:default="1" w:styleId="Normal">
    <w:name w:val="Normal"/>
    <w:qFormat/>
    <w:pPr>
      <w:widowControl w:val="0"/>
      <w:jc w:val="both"/>
    </w:pPr>
    <w:rPr>
      <w:kern w:val="2"/>
      <w:sz w:val="21"/>
      <w:szCs w:val="24"/>
      <w:lang w:val="en-US" w:eastAsia="zh-CN" w:bidi="ar-SA"/>
    </w:rPr>
  </w:style>
  <w:style w:type="paragraph" w:styleId="Heading1">
    <w:name w:val="heading 1"/>
    <w:basedOn w:val="Normal"/>
    <w:next w:val="Normal"/>
    <w:qFormat/>
    <w:pPr>
      <w:keepNext/>
      <w:keepLines/>
      <w:spacing w:before="340" w:after="330" w:line="578" w:lineRule="auto"/>
      <w:jc w:val="center"/>
      <w:outlineLvl w:val="0"/>
    </w:pPr>
    <w:rPr>
      <w:b/>
      <w:bCs/>
      <w:kern w:val="44"/>
      <w:sz w:val="44"/>
      <w:szCs w:val="44"/>
    </w:rPr>
  </w:style>
  <w:style w:type="paragraph" w:styleId="Heading2">
    <w:name w:val="heading 2"/>
    <w:basedOn w:val="Normal"/>
    <w:next w:val="Normal"/>
    <w:qFormat/>
    <w:pPr>
      <w:keepNext/>
      <w:keepLines/>
      <w:spacing w:before="260" w:after="260" w:line="416" w:lineRule="auto"/>
      <w:outlineLvl w:val="1"/>
    </w:pPr>
    <w:rPr>
      <w:rFonts w:ascii="Arial" w:eastAsia="黑体" w:hAnsi="Arial"/>
      <w:bCs/>
      <w:sz w:val="32"/>
      <w:szCs w:val="32"/>
    </w:rPr>
  </w:style>
  <w:style w:type="paragraph" w:styleId="Heading3">
    <w:name w:val="heading 3"/>
    <w:basedOn w:val="Normal"/>
    <w:next w:val="Normal"/>
    <w:qFormat/>
    <w:pPr>
      <w:keepNext/>
      <w:keepLines/>
      <w:spacing w:before="260" w:after="260" w:line="416" w:lineRule="auto"/>
      <w:outlineLvl w:val="2"/>
    </w:pPr>
    <w:rPr>
      <w:bCs/>
      <w:sz w:val="30"/>
      <w:szCs w:val="32"/>
    </w:rPr>
  </w:style>
  <w:style w:type="character" w:default="1" w:styleId="DefaultParagraphFont">
    <w:name w:val="Default Paragraph Font"/>
  </w:style>
  <w:style w:type="table" w:default="1" w:styleId="TableNormal">
    <w:name w:val="Normal Table"/>
    <w:semiHidden/>
    <w:tblPr>
      <w:tblInd w:w="0" w:type="dxa"/>
      <w:tblCellMar>
        <w:top w:w="0" w:type="dxa"/>
        <w:left w:w="108" w:type="dxa"/>
        <w:bottom w:w="0" w:type="dxa"/>
        <w:right w:w="108" w:type="dxa"/>
      </w:tblCellMar>
    </w:tblPr>
  </w:style>
  <w:style w:type="paragraph" w:default="1" w:styleId="NoList">
    <w:name w:val="No List"/>
    <w:semiHidden/>
    <w:rPr>
      <w:lang w:val="en-US" w:eastAsia="zh-CN" w:bidi="ar-SA"/>
    </w:rPr>
  </w:style>
  <w:style w:type="character" w:customStyle="1" w:styleId="0">
    <w:name w:val="默认段落字体_0"/>
    <w:semiHidden/>
  </w:style>
  <w:style w:type="paragraph" w:styleId="Footer">
    <w:name w:val="footer"/>
    <w:basedOn w:val="Normal"/>
    <w:pPr>
      <w:tabs>
        <w:tab w:val="center" w:pos="4153"/>
        <w:tab w:val="right" w:pos="8306"/>
      </w:tabs>
      <w:snapToGrid w:val="0"/>
      <w:jc w:val="left"/>
    </w:pPr>
    <w:rPr>
      <w:sz w:val="18"/>
      <w:szCs w:val="18"/>
    </w:rPr>
  </w:style>
  <w:style w:type="character" w:styleId="PageNumber">
    <w:name w:val="page number"/>
    <w:basedOn w:val="0"/>
  </w:style>
  <w:style w:type="paragraph" w:styleId="DocumentMap">
    <w:name w:val="Document Map"/>
    <w:basedOn w:val="Normal"/>
    <w:semiHidden/>
    <w:pPr>
      <w:shd w:val="clear" w:color="auto" w:fill="000080"/>
    </w:pPr>
  </w:style>
  <w:style w:type="paragraph" w:styleId="BodyTextIndent2">
    <w:name w:val="Body Text Indent 2"/>
    <w:basedOn w:val="Normal"/>
    <w:pPr>
      <w:ind w:firstLine="600" w:firstLineChars="200"/>
    </w:pPr>
    <w:rPr>
      <w:sz w:val="30"/>
    </w:rPr>
  </w:style>
  <w:style w:type="paragraph" w:styleId="BodyTextIndent">
    <w:name w:val="Body Text Indent"/>
    <w:basedOn w:val="Normal"/>
    <w:pPr>
      <w:ind w:firstLine="600" w:firstLineChars="200"/>
    </w:pPr>
    <w:rPr>
      <w:color w:val="FF6600"/>
      <w:sz w:val="30"/>
      <w:szCs w:val="32"/>
    </w:rPr>
  </w:style>
  <w:style w:type="paragraph" w:styleId="Caption">
    <w:name w:val="caption"/>
    <w:basedOn w:val="Normal"/>
    <w:next w:val="Normal"/>
    <w:qFormat/>
    <w:pPr>
      <w:spacing w:before="152" w:after="160"/>
    </w:pPr>
    <w:rPr>
      <w:rFonts w:ascii="Arial" w:eastAsia="黑体" w:hAnsi="Arial" w:cs="Arial"/>
      <w:sz w:val="20"/>
      <w:szCs w:val="20"/>
    </w:rPr>
  </w:style>
  <w:style w:type="paragraph" w:styleId="Header">
    <w:name w:val="header"/>
    <w:basedOn w:val="Normal"/>
    <w:pPr>
      <w:pBdr>
        <w:bottom w:val="single" w:sz="6" w:space="1" w:color="auto"/>
      </w:pBdr>
      <w:tabs>
        <w:tab w:val="center" w:pos="4153"/>
        <w:tab w:val="right" w:pos="8306"/>
      </w:tabs>
      <w:snapToGrid w:val="0"/>
      <w:jc w:val="center"/>
    </w:pPr>
    <w:rPr>
      <w:sz w:val="18"/>
      <w:szCs w:val="18"/>
    </w:rPr>
  </w:style>
  <w:style w:type="paragraph" w:styleId="TOC1">
    <w:name w:val="toc 1"/>
    <w:basedOn w:val="Normal"/>
    <w:next w:val="Normal"/>
    <w:semiHidden/>
    <w:pPr>
      <w:tabs>
        <w:tab w:val="right" w:leader="dot" w:pos="9061"/>
      </w:tabs>
    </w:pPr>
    <w:rPr>
      <w:b/>
      <w:bCs/>
      <w:noProof/>
      <w:sz w:val="30"/>
    </w:rPr>
  </w:style>
  <w:style w:type="paragraph" w:styleId="TOC2">
    <w:name w:val="toc 2"/>
    <w:basedOn w:val="Normal"/>
    <w:next w:val="Normal"/>
    <w:semiHidden/>
    <w:pPr>
      <w:tabs>
        <w:tab w:val="right" w:leader="dot" w:pos="9061"/>
      </w:tabs>
    </w:pPr>
    <w:rPr>
      <w:noProof/>
      <w:sz w:val="30"/>
    </w:rPr>
  </w:style>
  <w:style w:type="paragraph" w:styleId="TOC3">
    <w:name w:val="toc 3"/>
    <w:basedOn w:val="Normal"/>
    <w:next w:val="Normal"/>
    <w:semiHidden/>
    <w:pPr>
      <w:tabs>
        <w:tab w:val="right" w:leader="dot" w:pos="9061"/>
      </w:tabs>
      <w:ind w:left="540" w:leftChars="257"/>
    </w:pPr>
    <w:rPr>
      <w:noProof/>
      <w:sz w:val="28"/>
      <w:szCs w:val="30"/>
    </w:rPr>
  </w:style>
  <w:style w:type="character" w:styleId="Hyperlink">
    <w:name w:val="Hyperlink"/>
    <w:rPr>
      <w:color w:val="0000FF"/>
      <w:u w:val="single"/>
    </w:rPr>
  </w:style>
  <w:style w:type="character" w:styleId="FollowedHyperlink">
    <w:name w:val="FollowedHyperlink"/>
    <w:rPr>
      <w:color w:val="800080"/>
      <w:u w:val="single"/>
    </w:rPr>
  </w:style>
  <w:style w:type="paragraph" w:styleId="BalloonText">
    <w:name w:val="Balloon Text"/>
    <w:basedOn w:val="Normal"/>
    <w:semiHidden/>
    <w:rPr>
      <w:sz w:val="18"/>
      <w:szCs w:val="18"/>
    </w:rPr>
  </w:style>
  <w:style w:type="paragraph" w:customStyle="1" w:styleId="Header0">
    <w:name w:val="Header_0"/>
    <w:basedOn w:val="Normal0"/>
    <w:link w:val="Char"/>
    <w:uiPriority w:val="99"/>
    <w:rsid w:val="0062329B"/>
    <w:pPr>
      <w:pBdr>
        <w:bottom w:val="single" w:sz="6" w:space="1" w:color="auto"/>
      </w:pBdr>
      <w:tabs>
        <w:tab w:val="center" w:pos="4153"/>
        <w:tab w:val="right" w:pos="8306"/>
      </w:tabs>
      <w:snapToGrid w:val="0"/>
      <w:jc w:val="center"/>
    </w:pPr>
    <w:rPr>
      <w:kern w:val="0"/>
      <w:sz w:val="18"/>
      <w:szCs w:val="18"/>
    </w:rPr>
  </w:style>
  <w:style w:type="paragraph" w:customStyle="1" w:styleId="Normal0">
    <w:name w:val="Normal_0"/>
    <w:qFormat/>
    <w:rsid w:val="00CF771A"/>
    <w:pPr>
      <w:widowControl w:val="0"/>
      <w:jc w:val="both"/>
    </w:pPr>
    <w:rPr>
      <w:kern w:val="2"/>
      <w:sz w:val="21"/>
      <w:szCs w:val="22"/>
    </w:rPr>
  </w:style>
  <w:style w:type="character" w:customStyle="1" w:styleId="Char">
    <w:name w:val="页眉 Char"/>
    <w:link w:val="Header0"/>
    <w:uiPriority w:val="99"/>
    <w:rsid w:val="0062329B"/>
    <w:rPr>
      <w:sz w:val="18"/>
      <w:szCs w:val="18"/>
    </w:rPr>
  </w:style>
  <w:style w:type="paragraph" w:customStyle="1" w:styleId="Footer0">
    <w:name w:val="Footer_0"/>
    <w:basedOn w:val="Normal0"/>
    <w:link w:val="Char0"/>
    <w:uiPriority w:val="99"/>
    <w:rsid w:val="0062329B"/>
    <w:pPr>
      <w:tabs>
        <w:tab w:val="center" w:pos="4153"/>
        <w:tab w:val="right" w:pos="8306"/>
      </w:tabs>
      <w:snapToGrid w:val="0"/>
      <w:jc w:val="left"/>
    </w:pPr>
    <w:rPr>
      <w:kern w:val="0"/>
      <w:sz w:val="18"/>
      <w:szCs w:val="18"/>
    </w:rPr>
  </w:style>
  <w:style w:type="character" w:customStyle="1" w:styleId="Char0">
    <w:name w:val="页脚 Char"/>
    <w:link w:val="Footer0"/>
    <w:uiPriority w:val="99"/>
    <w:rsid w:val="0062329B"/>
    <w:rPr>
      <w:sz w:val="18"/>
      <w:szCs w:val="18"/>
    </w:rPr>
  </w:style>
  <w:style w:type="paragraph" w:customStyle="1" w:styleId="Normal1">
    <w:name w:val="Normal_1"/>
    <w:qFormat/>
    <w:rsid w:val="00323B43"/>
    <w:pPr>
      <w:adjustRightInd w:val="0"/>
      <w:snapToGrid w:val="0"/>
      <w:spacing w:line="240" w:lineRule="auto"/>
    </w:pPr>
    <w:rPr>
      <w:rFonts w:ascii="Tahoma" w:hAnsi="Tahoma"/>
    </w:rPr>
  </w:style>
</w:styles>
</file>

<file path=word/webSettings.xml><?xml version="1.0" encoding="utf-8"?>
<w:webSettings xmlns:r="http://schemas.openxmlformats.org/officeDocument/2006/relationships" xmlns:w="http://schemas.openxmlformats.org/wordprocessingml/2006/main">
  <w:encoding w:val="gb2312"/>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667134140112006031" TargetMode="Externa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32</Pages>
  <Words>3187</Words>
  <Characters>18167</Characters>
  <Application>Microsoft Office Word</Application>
  <DocSecurity>0</DocSecurity>
  <Lines>151</Lines>
  <Paragraphs>42</Paragraphs>
  <ScaleCrop>false</ScaleCrop>
  <Manager>精品资料网www.cnshu.cn</Manager>
  <Company>精品资料网www.cnshu.cn</Company>
  <LinksUpToDate>false</LinksUpToDate>
  <CharactersWithSpaces>21312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精品资料网www.cnshu.cn</dc:title>
  <dc:subject>精品资料网www.cnshu.cn</dc:subject>
  <dc:creator>精品资料网www.cnshu.cn</dc:creator>
  <cp:keywords>精品资料网www.cnshu.cn</cp:keywords>
  <dc:description>精品资料网：www.cnshu.cn 提供50万份管理资料、3万集视频讲座下载，2万GB高清视频课程硬盘拷贝。联系QQ：800003985电话：020-39603888</dc:description>
  <cp:lastModifiedBy>zxf</cp:lastModifiedBy>
  <cp:revision>2</cp:revision>
  <cp:lastPrinted>2005-01-03T01:42:00Z</cp:lastPrinted>
  <dcterms:created xsi:type="dcterms:W3CDTF">2019-05-26T02:10:00Z</dcterms:created>
  <dcterms:modified xsi:type="dcterms:W3CDTF">2019-05-26T02:10:00Z</dcterms:modified>
  <cp:category>精品资料网www.cnshu.cn</cp:category>
</cp:coreProperties>
</file>