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2024年炭纤维纸行业分析报告及未来五到十年行业发展趋势报告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687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行业政策环境</w:t>
        </w:r>
        <w:r>
          <w:tab/>
        </w:r>
        <w:r>
          <w:fldChar w:fldCharType="begin"/>
        </w:r>
        <w:r>
          <w:instrText xml:space="preserve"> PAGEREF _Toc687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181" w:history="1">
        <w:r>
          <w:rPr>
            <w:rFonts w:eastAsia="微软雅黑" w:hint="eastAsia"/>
            <w:snapToGrid/>
            <w:lang w:val="en-US" w:eastAsia="en-US"/>
          </w:rPr>
          <w:t>(一)、政策持续利好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行业发展</w:t>
        </w:r>
        <w:r>
          <w:tab/>
        </w:r>
        <w:r>
          <w:fldChar w:fldCharType="begin"/>
        </w:r>
        <w:r>
          <w:instrText xml:space="preserve"> PAGEREF _Toc29181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53" w:history="1">
        <w:r>
          <w:rPr>
            <w:rFonts w:eastAsia="微软雅黑" w:hint="eastAsia"/>
            <w:snapToGrid/>
            <w:lang w:val="en-US" w:eastAsia="zh-CN"/>
          </w:rPr>
          <w:t>(二)、行业政策体系日趋完善</w:t>
        </w:r>
        <w:r>
          <w:tab/>
        </w:r>
        <w:r>
          <w:fldChar w:fldCharType="begin"/>
        </w:r>
        <w:r>
          <w:instrText xml:space="preserve"> PAGEREF _Toc26053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77" w:history="1">
        <w:r>
          <w:rPr>
            <w:rFonts w:eastAsia="微软雅黑" w:hint="eastAsia"/>
            <w:snapToGrid/>
            <w:lang w:val="en-US" w:eastAsia="zh-CN"/>
          </w:rPr>
          <w:t>(三)、一级市场火热,国内专利不断攀升</w:t>
        </w:r>
        <w:r>
          <w:tab/>
        </w:r>
        <w:r>
          <w:fldChar w:fldCharType="begin"/>
        </w:r>
        <w:r>
          <w:instrText xml:space="preserve"> PAGEREF _Toc17477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983" w:history="1">
        <w:r>
          <w:rPr>
            <w:rFonts w:eastAsia="微软雅黑" w:hint="eastAsia"/>
            <w:snapToGrid/>
            <w:lang w:val="en-US" w:eastAsia="zh-CN"/>
          </w:rPr>
          <w:t>(四)、宏观环境下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行业定位</w:t>
        </w:r>
        <w:r>
          <w:tab/>
        </w:r>
        <w:r>
          <w:fldChar w:fldCharType="begin"/>
        </w:r>
        <w:r>
          <w:instrText xml:space="preserve"> PAGEREF _Toc15983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7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行业绩显著</w:t>
        </w:r>
        <w:r>
          <w:tab/>
        </w:r>
        <w:r>
          <w:fldChar w:fldCharType="begin"/>
        </w:r>
        <w:r>
          <w:instrText xml:space="preserve"> PAGEREF _Toc1377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85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行业(2024-2029)发展趋势预测</w:t>
        </w:r>
        <w:r>
          <w:tab/>
        </w:r>
        <w:r>
          <w:fldChar w:fldCharType="begin"/>
        </w:r>
        <w:r>
          <w:instrText xml:space="preserve"> PAGEREF _Toc27885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02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行业当下面临的机会和挑战</w:t>
        </w:r>
        <w:r>
          <w:tab/>
        </w:r>
        <w:r>
          <w:fldChar w:fldCharType="begin"/>
        </w:r>
        <w:r>
          <w:instrText xml:space="preserve"> PAGEREF _Toc11027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616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行业经营理念快速转变的意义</w:t>
        </w:r>
        <w:r>
          <w:tab/>
        </w:r>
        <w:r>
          <w:fldChar w:fldCharType="begin"/>
        </w:r>
        <w:r>
          <w:instrText xml:space="preserve"> PAGEREF _Toc21616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818" w:history="1">
        <w:r>
          <w:rPr>
            <w:rFonts w:eastAsia="微软雅黑" w:hint="eastAsia"/>
            <w:snapToGrid/>
            <w:lang w:val="en-US" w:eastAsia="zh-CN"/>
          </w:rPr>
          <w:t>(三)、整合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行业的技术服务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731" w:history="1">
        <w:r>
          <w:rPr>
            <w:rFonts w:eastAsia="微软雅黑" w:hint="eastAsia"/>
            <w:snapToGrid/>
            <w:lang w:val="en-US" w:eastAsia="zh-CN"/>
          </w:rPr>
          <w:t>(四)、迅速转变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行业企业的增长动力</w:t>
        </w:r>
        <w:r>
          <w:tab/>
        </w:r>
        <w:r>
          <w:fldChar w:fldCharType="begin"/>
        </w:r>
        <w:r>
          <w:instrText xml:space="preserve"> PAGEREF _Toc6731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8018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行业企业差异化突破战略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05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行业产品差异化获取“商机”</w:t>
        </w:r>
        <w:r>
          <w:tab/>
        </w:r>
        <w:r>
          <w:fldChar w:fldCharType="begin"/>
        </w:r>
        <w:r>
          <w:instrText xml:space="preserve"> PAGEREF _Toc7052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789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行业市场分化赢得“商机”</w:t>
        </w:r>
        <w:r>
          <w:tab/>
        </w:r>
        <w:r>
          <w:fldChar w:fldCharType="begin"/>
        </w:r>
        <w:r>
          <w:instrText xml:space="preserve"> PAGEREF _Toc31789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68" w:history="1">
        <w:r>
          <w:rPr>
            <w:rFonts w:eastAsia="微软雅黑" w:hint="eastAsia"/>
            <w:snapToGrid/>
            <w:lang w:val="en-US" w:eastAsia="zh-CN"/>
          </w:rPr>
          <w:t>(三)、以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行业服务差异化“抓住”商机</w:t>
        </w:r>
        <w:r>
          <w:tab/>
        </w:r>
        <w:r>
          <w:fldChar w:fldCharType="begin"/>
        </w:r>
        <w:r>
          <w:instrText xml:space="preserve"> PAGEREF _Toc13468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527" w:history="1">
        <w:r>
          <w:rPr>
            <w:rFonts w:eastAsia="微软雅黑" w:hint="eastAsia"/>
            <w:snapToGrid/>
            <w:lang w:val="en-US" w:eastAsia="zh-CN"/>
          </w:rPr>
          <w:t>(四)、用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行业客户差异化“抓住”商机</w:t>
        </w:r>
        <w:r>
          <w:tab/>
        </w:r>
        <w:r>
          <w:fldChar w:fldCharType="begin"/>
        </w:r>
        <w:r>
          <w:instrText xml:space="preserve"> PAGEREF _Toc19527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754" w:history="1">
        <w:r>
          <w:rPr>
            <w:rFonts w:eastAsia="微软雅黑" w:hint="eastAsia"/>
            <w:snapToGrid/>
            <w:lang w:val="en-US" w:eastAsia="zh-CN"/>
          </w:rPr>
          <w:t>(五)、以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行业渠道差异化“争取”商机</w:t>
        </w:r>
        <w:r>
          <w:tab/>
        </w:r>
        <w:r>
          <w:fldChar w:fldCharType="begin"/>
        </w:r>
        <w:r>
          <w:instrText xml:space="preserve"> PAGEREF _Toc4754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6426" w:history="1">
        <w:r>
          <w:rPr>
            <w:rFonts w:eastAsia="微软雅黑" w:hint="eastAsia"/>
            <w:snapToGrid/>
            <w:lang w:val="en-US" w:eastAsia="en-US"/>
          </w:rPr>
          <w:t>四、2024-2029年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_Toc26426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497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_Toc17497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281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_Toc26281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769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_Toc12769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60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_Toc23607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4586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_Toc4586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10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_Toc2210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541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_Toc31541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12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_Toc1212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527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_Toc21527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3095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行业突破瓶颈的挑战分析</w:t>
        </w:r>
        <w:r>
          <w:tab/>
        </w:r>
        <w:r>
          <w:fldChar w:fldCharType="begin"/>
        </w:r>
        <w:r>
          <w:instrText xml:space="preserve"> PAGEREF _Toc13095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96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行业发展特点分析</w:t>
        </w:r>
        <w:r>
          <w:tab/>
        </w:r>
        <w:r>
          <w:fldChar w:fldCharType="begin"/>
        </w:r>
        <w:r>
          <w:instrText xml:space="preserve"> PAGEREF _Toc15296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69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行业的市场渠道挑战</w:t>
        </w:r>
        <w:r>
          <w:tab/>
        </w:r>
        <w:r>
          <w:fldChar w:fldCharType="begin"/>
        </w:r>
        <w:r>
          <w:instrText xml:space="preserve"> PAGEREF _Toc18692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89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行业5-10年创新发展的挑战点</w:t>
        </w:r>
        <w:r>
          <w:tab/>
        </w:r>
        <w:r>
          <w:fldChar w:fldCharType="begin"/>
        </w:r>
        <w:r>
          <w:instrText xml:space="preserve"> PAGEREF _Toc8895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884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行业风险控制解析</w:t>
        </w:r>
        <w:r>
          <w:tab/>
        </w:r>
        <w:r>
          <w:fldChar w:fldCharType="begin"/>
        </w:r>
        <w:r>
          <w:instrText xml:space="preserve"> PAGEREF _Toc27884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437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行业系统风险分析</w:t>
        </w:r>
        <w:r>
          <w:tab/>
        </w:r>
        <w:r>
          <w:fldChar w:fldCharType="begin"/>
        </w:r>
        <w:r>
          <w:instrText xml:space="preserve"> PAGEREF _Toc13437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970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行业第二产业的经营风险</w:t>
        </w:r>
        <w:r>
          <w:tab/>
        </w:r>
        <w:r>
          <w:fldChar w:fldCharType="begin"/>
        </w:r>
        <w:r>
          <w:instrText xml:space="preserve"> PAGEREF _Toc9970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460" w:history="1">
        <w:r>
          <w:rPr>
            <w:rFonts w:eastAsia="微软雅黑" w:hint="eastAsia"/>
            <w:snapToGrid/>
            <w:lang w:val="en-US" w:eastAsia="en-US"/>
          </w:rPr>
          <w:t>八、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_Toc460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058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_Toc29058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36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_Toc7361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314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_Toc31314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246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_Toc6246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3490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_Toc23490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3075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_Toc13075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6754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_Toc6754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72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_Toc26727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335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_Toc20335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541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_Toc20541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816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_Toc28816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71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135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_Toc26135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451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_Toc12451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782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_Toc27782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282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_Toc12282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02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_Toc25402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8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_Toc26580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1076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_Toc31076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158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_Toc14158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9615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_Toc29615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95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_Toc12895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604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_Toc22604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48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_Toc18489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1810" w:history="1">
        <w:r>
          <w:rPr>
            <w:rFonts w:eastAsia="微软雅黑" w:hint="eastAsia"/>
            <w:snapToGrid/>
            <w:lang w:val="en-US" w:eastAsia="en-US"/>
          </w:rPr>
          <w:t>十、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_Toc31810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2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_Toc6632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60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_Toc1060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7291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_Toc27291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266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_Toc15266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8058" w:history="1">
        <w:r>
          <w:rPr>
            <w:rFonts w:eastAsia="微软雅黑" w:hint="eastAsia"/>
            <w:snapToGrid/>
            <w:lang w:val="en-US" w:eastAsia="en-US"/>
          </w:rPr>
          <w:t>十一、“疫情”对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行业可持续发展目标的影响及对策</w:t>
        </w:r>
        <w:r>
          <w:tab/>
        </w:r>
        <w:r>
          <w:fldChar w:fldCharType="begin"/>
        </w:r>
        <w:r>
          <w:instrText xml:space="preserve"> PAGEREF _Toc8058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3" w:history="1">
        <w:r>
          <w:rPr>
            <w:rFonts w:eastAsia="微软雅黑" w:hint="eastAsia"/>
            <w:snapToGrid/>
            <w:lang w:val="en-US" w:eastAsia="zh-CN"/>
          </w:rPr>
          <w:t>(一)、国内有关政府机构对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行业的建议</w:t>
        </w:r>
        <w:r>
          <w:tab/>
        </w:r>
        <w:r>
          <w:fldChar w:fldCharType="begin"/>
        </w:r>
        <w:r>
          <w:instrText xml:space="preserve"> PAGEREF _Toc663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055" w:history="1">
        <w:r>
          <w:rPr>
            <w:rFonts w:eastAsia="微软雅黑" w:hint="eastAsia"/>
            <w:snapToGrid/>
            <w:lang w:val="en-US" w:eastAsia="zh-CN"/>
          </w:rPr>
          <w:t>(二)、关于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产业上下游产业合作的建议</w:t>
        </w:r>
        <w:r>
          <w:tab/>
        </w:r>
        <w:r>
          <w:fldChar w:fldCharType="begin"/>
        </w:r>
        <w:r>
          <w:instrText xml:space="preserve"> PAGEREF _Toc13055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7275" w:history="1">
        <w:r>
          <w:rPr>
            <w:rFonts w:eastAsia="微软雅黑" w:hint="eastAsia"/>
            <w:snapToGrid/>
            <w:lang w:val="en-US" w:eastAsia="zh-CN"/>
          </w:rPr>
          <w:t>(三)、突破</w:t>
        </w:r>
        <w:r>
          <w:rPr>
            <w:rFonts w:eastAsia="微软雅黑" w:hint="eastAsia"/>
            <w:snapToGrid/>
            <w:lang w:val="en-US" w:eastAsia="zh-CN"/>
          </w:rPr>
          <w:t>炭纤维纸</w:t>
        </w:r>
        <w:r>
          <w:rPr>
            <w:rFonts w:eastAsia="微软雅黑" w:hint="eastAsia"/>
            <w:snapToGrid/>
            <w:lang w:val="en-US" w:eastAsia="zh-CN"/>
          </w:rPr>
          <w:t>行业企业疫情的策略</w:t>
        </w:r>
        <w:r>
          <w:tab/>
        </w:r>
        <w:r>
          <w:fldChar w:fldCharType="begin"/>
        </w:r>
        <w:r>
          <w:instrText xml:space="preserve"> PAGEREF _Toc17275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607" w:history="1">
        <w:r>
          <w:rPr>
            <w:rFonts w:eastAsia="微软雅黑" w:hint="eastAsia"/>
            <w:snapToGrid/>
            <w:lang w:val="en-US" w:eastAsia="en-US"/>
          </w:rPr>
          <w:t>十二、</w:t>
        </w:r>
        <w:r>
          <w:rPr>
            <w:rFonts w:eastAsia="微软雅黑" w:hint="eastAsia"/>
            <w:snapToGrid/>
            <w:lang w:val="en-US" w:eastAsia="en-US"/>
          </w:rPr>
          <w:t>炭纤维纸</w:t>
        </w:r>
        <w:r>
          <w:rPr>
            <w:rFonts w:eastAsia="微软雅黑" w:hint="eastAsia"/>
            <w:snapToGrid/>
            <w:lang w:val="en-US" w:eastAsia="en-US"/>
          </w:rPr>
          <w:t>行业多元化趋势</w:t>
        </w:r>
        <w:r>
          <w:tab/>
        </w:r>
        <w:r>
          <w:fldChar w:fldCharType="begin"/>
        </w:r>
        <w:r>
          <w:instrText xml:space="preserve"> PAGEREF _Toc24607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013" w:history="1">
        <w:r>
          <w:rPr>
            <w:rFonts w:eastAsia="微软雅黑" w:hint="eastAsia"/>
            <w:snapToGrid/>
            <w:lang w:val="en-US" w:eastAsia="en-US"/>
          </w:rPr>
          <w:t>(一)、宏观机制升级</w:t>
        </w:r>
        <w:r>
          <w:tab/>
        </w:r>
        <w:r>
          <w:fldChar w:fldCharType="begin"/>
        </w:r>
        <w:r>
          <w:instrText xml:space="preserve"> PAGEREF _Toc18013 \h </w:instrText>
        </w:r>
        <w:r>
          <w:fldChar w:fldCharType="separate"/>
        </w:r>
        <w:r>
          <w:t>33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https://d.book118.com/668002006054006022</w:t>
        </w:r>
      </w:hyperlink>
    </w:p>
    <w:p>
      <w:pPr>
        <w:pStyle w:val="TOC2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668002006054006022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