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pPr>
      <w:r>
        <w:t>筏板基础施工方案</w:t>
      </w:r>
    </w:p>
    <w:p>
      <w:pPr>
        <w:pStyle w:val="BodyText"/>
        <w:rPr>
          <w:b/>
          <w:sz w:val="20"/>
        </w:rPr>
      </w:pPr>
    </w:p>
    <w:p>
      <w:pPr>
        <w:pStyle w:val="BodyText"/>
        <w:rPr>
          <w:b/>
          <w:sz w:val="20"/>
        </w:rPr>
      </w:pPr>
    </w:p>
    <w:p>
      <w:pPr>
        <w:pStyle w:val="BodyText"/>
        <w:rPr>
          <w:b/>
          <w:sz w:val="20"/>
        </w:rPr>
      </w:pPr>
    </w:p>
    <w:p>
      <w:pPr>
        <w:pStyle w:val="BodyText"/>
        <w:spacing w:before="2"/>
        <w:rPr>
          <w:b/>
          <w:sz w:val="14"/>
        </w:rPr>
      </w:pPr>
    </w:p>
    <w:p>
      <w:pPr>
        <w:pStyle w:val="Heading1"/>
        <w:spacing w:before="25"/>
      </w:pPr>
      <w:r>
        <w:t>一、工程概况</w:t>
      </w:r>
    </w:p>
    <w:p>
      <w:pPr>
        <w:pStyle w:val="BodyText"/>
        <w:spacing w:before="276" w:line="364" w:lineRule="auto"/>
        <w:ind w:left="660" w:right="698" w:firstLine="719"/>
      </w:pPr>
      <w:r>
        <w:t>*****工程位于浦东新区陆家嘴金融开发区富城路、银城南路口，为住宅项</w:t>
      </w:r>
      <w:r>
        <w:rPr>
          <w:spacing w:val="-11"/>
        </w:rPr>
        <w:t xml:space="preserve">目，占地面积 </w:t>
      </w:r>
      <w:r>
        <w:t>24315.8 m</w:t>
      </w:r>
      <w:r>
        <w:rPr>
          <w:position w:val="3"/>
          <w:sz w:val="18"/>
        </w:rPr>
        <w:t>2</w:t>
      </w:r>
      <w:r>
        <w:rPr>
          <w:spacing w:val="-8"/>
        </w:rPr>
        <w:t xml:space="preserve">，总建筑面积约为 </w:t>
      </w:r>
      <w:r>
        <w:t>120000 m</w:t>
      </w:r>
      <w:r>
        <w:rPr>
          <w:position w:val="3"/>
          <w:sz w:val="18"/>
        </w:rPr>
        <w:t>2</w:t>
      </w:r>
      <w:r>
        <w:t>（其中塔楼部分建筑面积</w:t>
      </w:r>
      <w:r>
        <w:rPr>
          <w:spacing w:val="-46"/>
        </w:rPr>
        <w:t xml:space="preserve">为 </w:t>
      </w:r>
      <w:r>
        <w:t>98000</w:t>
      </w:r>
      <w:r>
        <w:rPr>
          <w:spacing w:val="-90"/>
        </w:rPr>
        <w:t xml:space="preserve"> </w:t>
      </w:r>
      <w:r>
        <w:t>m</w:t>
      </w:r>
      <w:r>
        <w:rPr>
          <w:position w:val="3"/>
          <w:sz w:val="18"/>
        </w:rPr>
        <w:t>2</w:t>
      </w:r>
      <w:r>
        <w:rPr>
          <w:spacing w:val="-180"/>
        </w:rPr>
        <w:t>）</w:t>
      </w:r>
      <w:r>
        <w:t>。设五座高层住宅楼，一、二座高120</w:t>
      </w:r>
      <w:r>
        <w:rPr>
          <w:spacing w:val="-90"/>
        </w:rPr>
        <w:t xml:space="preserve"> </w:t>
      </w:r>
      <w:r>
        <w:t>m,37</w:t>
      </w:r>
      <w:r>
        <w:rPr>
          <w:spacing w:val="-9"/>
        </w:rPr>
        <w:t xml:space="preserve"> 层；三、四座高</w:t>
      </w:r>
      <w:r>
        <w:t>99.0</w:t>
      </w:r>
      <w:r>
        <w:rPr>
          <w:spacing w:val="-90"/>
        </w:rPr>
        <w:t xml:space="preserve"> </w:t>
      </w:r>
      <w:r>
        <w:rPr>
          <w:spacing w:val="-8"/>
        </w:rPr>
        <w:t>m，</w:t>
      </w:r>
      <w:r>
        <w:t xml:space="preserve"> 31</w:t>
      </w:r>
      <w:r>
        <w:rPr>
          <w:spacing w:val="-7"/>
        </w:rPr>
        <w:t xml:space="preserve"> 层；五座高</w:t>
      </w:r>
      <w:r>
        <w:t>120</w:t>
      </w:r>
      <w:r>
        <w:rPr>
          <w:spacing w:val="-89"/>
        </w:rPr>
        <w:t xml:space="preserve"> </w:t>
      </w:r>
      <w:r>
        <w:rPr>
          <w:spacing w:val="-7"/>
        </w:rPr>
        <w:t>m，36</w:t>
      </w:r>
      <w:r>
        <w:rPr>
          <w:spacing w:val="-5"/>
        </w:rPr>
        <w:t xml:space="preserve"> 层。总住户为</w:t>
      </w:r>
      <w:r>
        <w:t>298</w:t>
      </w:r>
      <w:r>
        <w:rPr>
          <w:spacing w:val="-10"/>
        </w:rPr>
        <w:t xml:space="preserve"> 套。设一层地下室为车库（22000</w:t>
      </w:r>
      <w:r>
        <w:rPr>
          <w:spacing w:val="-89"/>
        </w:rPr>
        <w:t xml:space="preserve"> </w:t>
      </w:r>
      <w:r>
        <w:rPr>
          <w:spacing w:val="-5"/>
        </w:rPr>
        <w:t>m</w:t>
      </w:r>
      <w:r>
        <w:rPr>
          <w:spacing w:val="-5"/>
          <w:position w:val="3"/>
          <w:sz w:val="18"/>
        </w:rPr>
        <w:t>2</w:t>
      </w:r>
      <w:r>
        <w:rPr>
          <w:spacing w:val="-5"/>
        </w:rPr>
        <w:t xml:space="preserve">， </w:t>
      </w:r>
      <w:r>
        <w:rPr>
          <w:spacing w:val="-31"/>
        </w:rPr>
        <w:t xml:space="preserve">包括 </w:t>
      </w:r>
      <w:r>
        <w:t>300</w:t>
      </w:r>
      <w:r>
        <w:rPr>
          <w:spacing w:val="-17"/>
        </w:rPr>
        <w:t xml:space="preserve"> 个车位、会所、各类设备用房如水池、配电室</w:t>
      </w:r>
      <w:r>
        <w:rPr>
          <w:spacing w:val="-47"/>
        </w:rPr>
        <w:t>）</w:t>
      </w:r>
      <w:r>
        <w:rPr>
          <w:spacing w:val="-16"/>
        </w:rPr>
        <w:t xml:space="preserve">和人防工程。人防分 </w:t>
      </w:r>
      <w:r>
        <w:t>A</w:t>
      </w:r>
      <w:r>
        <w:rPr>
          <w:spacing w:val="-15"/>
        </w:rPr>
        <w:t>、</w:t>
      </w:r>
      <w:r>
        <w:t>B</w:t>
      </w:r>
      <w:r>
        <w:rPr>
          <w:spacing w:val="-37"/>
        </w:rPr>
        <w:t xml:space="preserve"> 单元与 </w:t>
      </w:r>
      <w:r>
        <w:t>C</w:t>
      </w:r>
      <w:r>
        <w:rPr>
          <w:spacing w:val="-22"/>
        </w:rPr>
        <w:t xml:space="preserve"> 单元两部分，均为 </w:t>
      </w:r>
      <w:r>
        <w:t>6</w:t>
      </w:r>
      <w:r>
        <w:rPr>
          <w:spacing w:val="-4"/>
        </w:rPr>
        <w:t xml:space="preserve"> 级，其中</w:t>
      </w:r>
      <w:r>
        <w:t>A</w:t>
      </w:r>
      <w:r>
        <w:rPr>
          <w:spacing w:val="-11"/>
        </w:rPr>
        <w:t>、</w:t>
      </w:r>
      <w:r>
        <w:t>B</w:t>
      </w:r>
      <w:r>
        <w:rPr>
          <w:spacing w:val="-24"/>
        </w:rPr>
        <w:t xml:space="preserve"> 单元人防面积 </w:t>
      </w:r>
      <w:r>
        <w:t>2477.48</w:t>
      </w:r>
      <w:r>
        <w:rPr>
          <w:spacing w:val="-90"/>
        </w:rPr>
        <w:t xml:space="preserve"> </w:t>
      </w:r>
      <w:r>
        <w:rPr>
          <w:spacing w:val="-4"/>
        </w:rPr>
        <w:t>m</w:t>
      </w:r>
      <w:r>
        <w:rPr>
          <w:spacing w:val="-4"/>
          <w:position w:val="3"/>
          <w:sz w:val="18"/>
        </w:rPr>
        <w:t>2</w:t>
      </w:r>
      <w:r>
        <w:rPr>
          <w:spacing w:val="-4"/>
        </w:rPr>
        <w:t>，C</w:t>
      </w:r>
      <w:r>
        <w:rPr>
          <w:spacing w:val="-30"/>
        </w:rPr>
        <w:t xml:space="preserve"> 单元</w:t>
      </w:r>
      <w:r>
        <w:rPr>
          <w:spacing w:val="-43"/>
        </w:rPr>
        <w:t xml:space="preserve">人防面积 </w:t>
      </w:r>
      <w:r>
        <w:t>898.8</w:t>
      </w:r>
      <w:r>
        <w:rPr>
          <w:spacing w:val="-90"/>
        </w:rPr>
        <w:t xml:space="preserve"> </w:t>
      </w:r>
      <w:r>
        <w:t>m</w:t>
      </w:r>
      <w:r>
        <w:rPr>
          <w:position w:val="3"/>
          <w:sz w:val="18"/>
        </w:rPr>
        <w:t>2</w:t>
      </w:r>
      <w:r>
        <w:t>。本次施工范围为地下室底板，底板垫层砼由基坑围护施工单位完成。</w:t>
      </w:r>
    </w:p>
    <w:p>
      <w:pPr>
        <w:pStyle w:val="BodyText"/>
        <w:spacing w:line="364" w:lineRule="auto"/>
        <w:ind w:left="660" w:right="824" w:firstLine="719"/>
      </w:pPr>
      <w:r>
        <w:rPr>
          <w:spacing w:val="-7"/>
        </w:rPr>
        <w:t xml:space="preserve">主楼与车库地下室底板间设 </w:t>
      </w:r>
      <w:r>
        <w:t>1</w:t>
      </w:r>
      <w:r>
        <w:rPr>
          <w:spacing w:val="-90"/>
        </w:rPr>
        <w:t xml:space="preserve"> </w:t>
      </w:r>
      <w:r>
        <w:t>m</w:t>
      </w:r>
      <w:r>
        <w:rPr>
          <w:spacing w:val="-13"/>
        </w:rPr>
        <w:t xml:space="preserve"> 宽后浇带。基坑围护设计方案采用中心岛施</w:t>
      </w:r>
      <w:r>
        <w:rPr>
          <w:spacing w:val="-16"/>
        </w:rPr>
        <w:t xml:space="preserve">工方案，中心岛底板与围护周边底板处设施工缝。主楼地下室底板厚为 </w:t>
      </w:r>
      <w:r>
        <w:t xml:space="preserve">1.8 </w:t>
      </w:r>
      <w:r>
        <w:rPr>
          <w:spacing w:val="-9"/>
        </w:rPr>
        <w:t>m，</w:t>
      </w:r>
    </w:p>
    <w:p>
      <w:pPr>
        <w:pStyle w:val="BodyText"/>
        <w:spacing w:line="459" w:lineRule="exact"/>
        <w:ind w:left="660"/>
      </w:pPr>
      <w:r>
        <w:t>车库地下室底板厚为 0.75 m。</w:t>
      </w:r>
    </w:p>
    <w:p>
      <w:pPr>
        <w:pStyle w:val="BodyText"/>
        <w:spacing w:before="234" w:line="364" w:lineRule="auto"/>
        <w:ind w:left="671" w:right="877" w:firstLine="705"/>
      </w:pPr>
      <w:r>
        <w:rPr>
          <w:spacing w:val="-8"/>
        </w:rPr>
        <w:t>本工程建设单位为上海鹏利置业发展有限公司；由华东建筑设计研究院有限</w:t>
      </w:r>
      <w:r>
        <w:rPr>
          <w:spacing w:val="-13"/>
        </w:rPr>
        <w:t>公司设计；监理单位为上海建筑科学研究院建设工程监理咨询部监理；由上海市</w:t>
      </w:r>
    </w:p>
    <w:p>
      <w:pPr>
        <w:pStyle w:val="BodyText"/>
        <w:spacing w:line="460" w:lineRule="exact"/>
        <w:ind w:left="671"/>
      </w:pPr>
      <w:r>
        <w:t>*******公司负责地下室底板施工。</w:t>
      </w:r>
    </w:p>
    <w:p>
      <w:pPr>
        <w:pStyle w:val="BodyText"/>
        <w:spacing w:before="237"/>
        <w:ind w:left="1380"/>
      </w:pPr>
      <w:r>
        <w:t>本工程地下室底板质量目标为优良标准。</w:t>
      </w:r>
    </w:p>
    <w:p>
      <w:pPr>
        <w:pStyle w:val="BodyText"/>
      </w:pPr>
    </w:p>
    <w:p>
      <w:pPr>
        <w:pStyle w:val="BodyText"/>
        <w:spacing w:before="10"/>
        <w:rPr>
          <w:sz w:val="34"/>
        </w:rPr>
      </w:pPr>
    </w:p>
    <w:p>
      <w:pPr>
        <w:pStyle w:val="Heading1"/>
        <w:spacing w:before="0"/>
      </w:pPr>
      <w:r>
        <w:rPr>
          <w:b w:val="0"/>
        </w:rPr>
        <w:t>二、</w:t>
      </w:r>
      <w:r>
        <w:t>施工准备与施工总体设想</w:t>
      </w:r>
    </w:p>
    <w:p>
      <w:pPr>
        <w:pStyle w:val="BodyText"/>
        <w:spacing w:before="277" w:line="364" w:lineRule="auto"/>
        <w:ind w:left="660" w:right="876"/>
        <w:jc w:val="both"/>
      </w:pPr>
      <w:r>
        <w:t>1、本工程四周均紧邻主要交通要道，施工交通条件较好，但由于围墙与围护桩</w:t>
      </w:r>
      <w:r>
        <w:rPr>
          <w:spacing w:val="-12"/>
        </w:rPr>
        <w:t>间施工便道较窄，施工区域无材料堆场，并为确保基坑安全，施工便道上又不宜</w:t>
      </w:r>
      <w:r>
        <w:rPr>
          <w:spacing w:val="1"/>
        </w:rPr>
        <w:t>堆载。因此为确保地下室底板施工阶段，有组织的落实大量材料进场工作，在</w:t>
      </w:r>
      <w:r>
        <w:rPr>
          <w:spacing w:val="-15"/>
        </w:rPr>
        <w:t xml:space="preserve">2 </w:t>
      </w:r>
      <w:r>
        <w:rPr>
          <w:spacing w:val="-10"/>
        </w:rPr>
        <w:t xml:space="preserve">号房处布置一台 </w:t>
      </w:r>
      <w:r>
        <w:t>88HC</w:t>
      </w:r>
      <w:r>
        <w:rPr>
          <w:spacing w:val="-10"/>
        </w:rPr>
        <w:t xml:space="preserve"> 高吊，吊车回转半径覆盖到银城路路口，底板钢筋主要有</w:t>
      </w:r>
      <w:r>
        <w:t>银城路路口进，然后由塔吊直接吊入基坑内，解决施工场地小的问题。</w:t>
      </w:r>
    </w:p>
    <w:p>
      <w:pPr>
        <w:pStyle w:val="BodyText"/>
        <w:spacing w:line="364" w:lineRule="auto"/>
        <w:ind w:left="660" w:right="916"/>
      </w:pPr>
      <w:r>
        <w:t>2、根据本工程的工程进度与质量要求，挑选一支在本公司内，具有深基坑施工经验、质量做得好、进度抢得出的劳务队伍进行施工。</w:t>
      </w:r>
    </w:p>
    <w:p>
      <w:pPr>
        <w:pStyle w:val="BodyText"/>
        <w:spacing w:line="364" w:lineRule="auto"/>
        <w:ind w:left="660" w:right="880"/>
      </w:pPr>
      <w:r>
        <w:t>3、由于桩基、基坑围护工程与底板垫层砼浇捣由我公司基础分公司施工，根据</w:t>
      </w:r>
      <w:r>
        <w:rPr>
          <w:spacing w:val="-9"/>
        </w:rPr>
        <w:t>底板施工图与基坑围护设计图，地下室底板按后浇带与施工缝划分为十块，因此</w:t>
      </w:r>
    </w:p>
    <w:p>
      <w:pPr>
        <w:spacing w:after="0" w:line="364" w:lineRule="auto"/>
        <w:sectPr>
          <w:footerReference w:type="default" r:id="rId4"/>
          <w:type w:val="continuous"/>
          <w:pgSz w:w="17860" w:h="25260"/>
          <w:pgMar w:top="1640" w:right="1820" w:bottom="2040" w:left="2040" w:header="708" w:footer="1844"/>
          <w:pgNumType w:start="1"/>
          <w:cols w:space="708"/>
        </w:sectPr>
      </w:pPr>
    </w:p>
    <w:p>
      <w:pPr>
        <w:pStyle w:val="BodyText"/>
        <w:spacing w:before="33" w:line="364" w:lineRule="auto"/>
        <w:ind w:left="660" w:right="877"/>
      </w:pPr>
      <w:r>
        <w:rPr>
          <w:spacing w:val="-7"/>
        </w:rPr>
        <w:t>地下室底板施工阶段须加强基础分公司的沟通与协调工作，严格按照挖土施工流</w:t>
      </w:r>
      <w:r>
        <w:t>程进行底板施工。</w:t>
      </w:r>
    </w:p>
    <w:p>
      <w:pPr>
        <w:pStyle w:val="BodyText"/>
        <w:spacing w:line="364" w:lineRule="auto"/>
        <w:ind w:left="660" w:right="700"/>
      </w:pPr>
      <w:r>
        <w:t>4、由于基坑开挖工作已进行，而地下室底板施工图和人防施工图的审图工作还</w:t>
      </w:r>
      <w:r>
        <w:rPr>
          <w:spacing w:val="-14"/>
        </w:rPr>
        <w:t>未完成，为避免基坑长时间暴露，因此应及时组织管理人员熟悉施工现场与投标文件、图纸、投标方案、施工规范和质量标准。一旦收到施工图后，迅速熟悉施</w:t>
      </w:r>
      <w:r>
        <w:rPr>
          <w:spacing w:val="-22"/>
        </w:rPr>
        <w:t>工图纸，落实图纸会审、施工组织设计编制与相关材料的采购、加工及进场工作。</w:t>
      </w:r>
      <w:r>
        <w:t>5、桩基质量核验通过后，及时通知公司的专业测量工程师，按轴线定位图采用</w:t>
      </w:r>
      <w:r>
        <w:rPr>
          <w:spacing w:val="-7"/>
        </w:rPr>
        <w:t>高精度的全站仪和水准仪进行施工现场的轴线、标高引测，同时建立现场测量控</w:t>
      </w:r>
      <w:r>
        <w:rPr>
          <w:spacing w:val="-14"/>
        </w:rPr>
        <w:t>制网，对各控制点采取妥善的保护措施，并将相应的测量成果绘制成书面资料交业主、监理和设计单位确认。</w:t>
      </w:r>
    </w:p>
    <w:p>
      <w:pPr>
        <w:pStyle w:val="BodyText"/>
        <w:spacing w:before="8"/>
        <w:rPr>
          <w:sz w:val="51"/>
        </w:rPr>
      </w:pPr>
    </w:p>
    <w:p>
      <w:pPr>
        <w:pStyle w:val="Heading1"/>
      </w:pPr>
      <w:r>
        <w:t>三、施工顺序</w:t>
      </w:r>
    </w:p>
    <w:p>
      <w:pPr>
        <w:pStyle w:val="BodyText"/>
        <w:spacing w:before="276" w:line="362" w:lineRule="auto"/>
        <w:ind w:left="660" w:right="882" w:firstLine="719"/>
      </w:pPr>
      <w:r>
        <w:rPr>
          <w:spacing w:val="-5"/>
        </w:rPr>
        <w:t xml:space="preserve">本工程地下室底板按后浇带与施工缝划分为十块，施工顺序详见附图— </w:t>
      </w:r>
      <w:r>
        <w:t>2</w:t>
      </w:r>
      <w:r>
        <w:rPr>
          <w:spacing w:val="-16"/>
        </w:rPr>
        <w:t>。</w:t>
      </w:r>
      <w:r>
        <w:t>各块底板的施工流程如下：</w:t>
      </w:r>
    </w:p>
    <w:p>
      <w:pPr>
        <w:pStyle w:val="BodyText"/>
        <w:spacing w:before="126" w:line="364" w:lineRule="auto"/>
        <w:ind w:left="660" w:right="715"/>
      </w:pPr>
      <w:r>
        <w:t>垫层面基础弹线→桩基验收→ PHC 桩顶处理→基础底板板底钢筋绑扎→基础承台、地梁扎铁→基础底板板面钢筋绑扎(包括钢筋支架)→柱、墙板、楼梯、车道插筋→人防部分钢筋质监站验收→支模→综合验收→混凝土浇筑→养护</w:t>
      </w:r>
    </w:p>
    <w:p>
      <w:pPr>
        <w:pStyle w:val="BodyText"/>
        <w:spacing w:before="3"/>
        <w:rPr>
          <w:sz w:val="43"/>
        </w:rPr>
      </w:pPr>
    </w:p>
    <w:p>
      <w:pPr>
        <w:pStyle w:val="Heading1"/>
      </w:pPr>
      <w:r>
        <w:t>四、施工进度计划</w:t>
      </w:r>
    </w:p>
    <w:p>
      <w:pPr>
        <w:pStyle w:val="BodyText"/>
        <w:spacing w:before="395"/>
        <w:ind w:left="1380"/>
      </w:pPr>
      <w:r>
        <w:t>地下室底板施工进度计划详见后页附表。</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7"/>
        <w:rPr>
          <w:sz w:val="30"/>
        </w:rPr>
      </w:pPr>
    </w:p>
    <w:p>
      <w:pPr>
        <w:pStyle w:val="Heading1"/>
      </w:pPr>
      <w:r>
        <w:t>五、施工平面布置</w:t>
      </w:r>
    </w:p>
    <w:p>
      <w:pPr>
        <w:pStyle w:val="BodyText"/>
        <w:spacing w:before="394"/>
        <w:ind w:left="660"/>
      </w:pPr>
      <w:r>
        <w:t>1、本工程地下室底板施工阶段，施工现场的围墙、施工便道、临时用水与用电</w:t>
      </w:r>
    </w:p>
    <w:p>
      <w:pPr>
        <w:spacing w:after="0"/>
        <w:sectPr>
          <w:footerReference w:type="default" r:id="rId5"/>
          <w:pgSz w:w="17860" w:h="25260"/>
          <w:pgMar w:top="1800" w:right="1820" w:bottom="2040" w:left="2040" w:header="0" w:footer="1844"/>
          <w:pgNumType w:start="2"/>
          <w:cols w:space="708"/>
        </w:sectPr>
      </w:pPr>
    </w:p>
    <w:p>
      <w:pPr>
        <w:pStyle w:val="BodyText"/>
        <w:spacing w:before="32"/>
        <w:ind w:left="660"/>
      </w:pPr>
      <w:r>
        <w:t>以及排水的布置均利用围护与挖土阶段的布置。</w:t>
      </w:r>
    </w:p>
    <w:p>
      <w:pPr>
        <w:pStyle w:val="BodyText"/>
        <w:spacing w:before="122" w:line="364" w:lineRule="auto"/>
        <w:ind w:left="660" w:right="877"/>
        <w:jc w:val="both"/>
      </w:pPr>
      <w:r>
        <w:t xml:space="preserve">2、现场利用围护阶段一栋二层彩钢板活动房作为办公设施，包括监理办公室， </w:t>
      </w:r>
      <w:r>
        <w:rPr>
          <w:spacing w:val="-25"/>
        </w:rPr>
        <w:t xml:space="preserve">每层 </w:t>
      </w:r>
      <w:r>
        <w:t>6</w:t>
      </w:r>
      <w:r>
        <w:rPr>
          <w:spacing w:val="-36"/>
        </w:rPr>
        <w:t xml:space="preserve"> 间</w:t>
      </w:r>
      <w:r>
        <w:t>（其中两间为增搭</w:t>
      </w:r>
      <w:r>
        <w:rPr>
          <w:spacing w:val="-177"/>
        </w:rPr>
        <w:t>）</w:t>
      </w:r>
      <w:r>
        <w:rPr>
          <w:spacing w:val="-1"/>
        </w:rPr>
        <w:t xml:space="preserve">。现场设置男女厕所、危险品仓库和标准养护室， </w:t>
      </w:r>
      <w:r>
        <w:t>工人宿舍、食堂外借。</w:t>
      </w:r>
    </w:p>
    <w:p>
      <w:pPr>
        <w:pStyle w:val="BodyText"/>
        <w:spacing w:before="118"/>
        <w:ind w:left="660"/>
        <w:jc w:val="both"/>
      </w:pPr>
      <w:r>
        <w:t>3、地下室底板施工阶段，在 2 号房处布置一台 88HC 高吊。平面布置详见附图。</w:t>
      </w:r>
    </w:p>
    <w:p>
      <w:pPr>
        <w:pStyle w:val="BodyText"/>
      </w:pPr>
    </w:p>
    <w:p>
      <w:pPr>
        <w:pStyle w:val="BodyText"/>
        <w:spacing w:before="10"/>
        <w:rPr>
          <w:sz w:val="25"/>
        </w:rPr>
      </w:pPr>
    </w:p>
    <w:p>
      <w:pPr>
        <w:pStyle w:val="Heading1"/>
        <w:spacing w:before="0"/>
      </w:pPr>
      <w:r>
        <w:t>六、施工测量方案</w:t>
      </w:r>
    </w:p>
    <w:p>
      <w:pPr>
        <w:pStyle w:val="BodyText"/>
        <w:spacing w:before="395" w:line="364" w:lineRule="auto"/>
        <w:ind w:left="660" w:right="877"/>
        <w:jc w:val="both"/>
      </w:pPr>
      <w:r>
        <w:t>1</w:t>
      </w:r>
      <w:r>
        <w:rPr>
          <w:spacing w:val="-3"/>
        </w:rPr>
        <w:t xml:space="preserve">、施工现场高程引测应根据业主提供的水准控制点，用 </w:t>
      </w:r>
      <w:r>
        <w:t>DS3</w:t>
      </w:r>
      <w:r>
        <w:rPr>
          <w:spacing w:val="-12"/>
        </w:rPr>
        <w:t xml:space="preserve"> 水准仪将标高引至</w:t>
      </w:r>
      <w:r>
        <w:rPr>
          <w:spacing w:val="-7"/>
        </w:rPr>
        <w:t>施工场地内较为稳固的地方作为一个永久性的标高控制点。引进水准点时，要进</w:t>
      </w:r>
      <w:r>
        <w:rPr>
          <w:spacing w:val="-10"/>
        </w:rPr>
        <w:t>行复测并应往返闭合观测，引测完成后，必须自检互检并办好签证手续，经施工</w:t>
      </w:r>
      <w:r>
        <w:rPr>
          <w:spacing w:val="-9"/>
        </w:rPr>
        <w:t>监理复核后方可使用，并且需定期对该点复核。。</w:t>
      </w:r>
    </w:p>
    <w:p>
      <w:pPr>
        <w:pStyle w:val="BodyText"/>
        <w:spacing w:before="5" w:line="364" w:lineRule="auto"/>
        <w:ind w:left="660" w:right="880"/>
        <w:jc w:val="both"/>
      </w:pPr>
      <w:r>
        <w:t>2、轴线引测前，首先应熟悉了解业主所提供的基准点坐标及设计轴线定位图等</w:t>
      </w:r>
      <w:r>
        <w:rPr>
          <w:spacing w:val="-12"/>
        </w:rPr>
        <w:t>测量控制基准依据。对总图上所标注的定位坐标、尺寸用计算闭合导线方法核算</w:t>
      </w:r>
      <w:r>
        <w:t>是否准确，制定轴线引测方案。</w:t>
      </w:r>
    </w:p>
    <w:p>
      <w:pPr>
        <w:pStyle w:val="BodyText"/>
        <w:spacing w:before="3" w:line="364" w:lineRule="auto"/>
        <w:ind w:left="660" w:right="916"/>
      </w:pPr>
      <w:r>
        <w:t>3、当测设数据具备后，进行内业计算工作，根据轴线引测方案绘制施工现场平面控制点布设图，作为现场放样依据。</w:t>
      </w:r>
    </w:p>
    <w:p>
      <w:pPr>
        <w:pStyle w:val="BodyText"/>
        <w:tabs>
          <w:tab w:val="left" w:pos="9550"/>
        </w:tabs>
        <w:spacing w:before="2" w:line="364" w:lineRule="auto"/>
        <w:ind w:left="660" w:right="701"/>
      </w:pPr>
      <w:r>
        <w:t>4</w:t>
      </w:r>
      <w:r>
        <w:rPr>
          <w:spacing w:val="-73"/>
        </w:rPr>
        <w:t>、</w:t>
      </w:r>
      <w:r>
        <w:t>由于基坑采用分阶段分区域开挖</w:t>
      </w:r>
      <w:r>
        <w:rPr>
          <w:spacing w:val="-71"/>
        </w:rPr>
        <w:t>，</w:t>
      </w:r>
      <w:r>
        <w:t>基坑内轴线引测同样随施工进度分段引测</w:t>
      </w:r>
      <w:r>
        <w:rPr>
          <w:spacing w:val="-18"/>
        </w:rPr>
        <w:t>。</w:t>
      </w:r>
      <w:r>
        <w:t>各区域轴线引测时，根据业主提供的城市坐标点先用</w:t>
        <w:tab/>
        <w:t>T2</w:t>
      </w:r>
      <w:r>
        <w:rPr>
          <w:spacing w:val="17"/>
        </w:rPr>
        <w:t xml:space="preserve"> </w:t>
      </w:r>
      <w:r>
        <w:t>光学经纬仪和莱卡DI1600</w:t>
      </w:r>
      <w:r>
        <w:rPr>
          <w:spacing w:val="-1"/>
        </w:rPr>
        <w:t xml:space="preserve"> </w:t>
      </w:r>
      <w:r>
        <w:t>测距仪校核施工现场上已测设的平面控制点，然后根据计算数据将轴线定位图中各座标点引测至底板垫层砼面</w:t>
      </w:r>
      <w:r>
        <w:rPr>
          <w:spacing w:val="-141"/>
        </w:rPr>
        <w:t>，</w:t>
      </w:r>
      <w:r>
        <w:t>并按座标点与轴线间的尺寸关系引测轴线控制线。</w:t>
      </w:r>
    </w:p>
    <w:p>
      <w:pPr>
        <w:pStyle w:val="BodyText"/>
        <w:spacing w:before="4" w:line="364" w:lineRule="auto"/>
        <w:ind w:left="660" w:right="901"/>
      </w:pPr>
      <w:r>
        <w:t>5</w:t>
      </w:r>
      <w:r>
        <w:rPr>
          <w:spacing w:val="1"/>
        </w:rPr>
        <w:t xml:space="preserve">、各区域轴线控制线应形成 </w:t>
      </w:r>
      <w:r>
        <w:t>90</w:t>
      </w:r>
      <w:r>
        <w:rPr>
          <w:spacing w:val="-110"/>
          <w:position w:val="3"/>
          <w:sz w:val="29"/>
        </w:rPr>
        <w:t>。</w:t>
      </w:r>
      <w:r>
        <w:rPr>
          <w:spacing w:val="-1"/>
        </w:rPr>
        <w:t>封闭回路进行校核，轴线控制线相互之间控制</w:t>
      </w:r>
      <w:r>
        <w:rPr>
          <w:spacing w:val="-23"/>
        </w:rPr>
        <w:t xml:space="preserve">距离在 </w:t>
      </w:r>
      <w:r>
        <w:t>30 m</w:t>
      </w:r>
      <w:r>
        <w:rPr>
          <w:spacing w:val="-10"/>
        </w:rPr>
        <w:t xml:space="preserve"> 以内，以便于用钢卷尺复核。</w:t>
      </w:r>
    </w:p>
    <w:p>
      <w:pPr>
        <w:pStyle w:val="BodyText"/>
        <w:spacing w:before="3" w:line="364" w:lineRule="auto"/>
        <w:ind w:left="660" w:right="916"/>
      </w:pPr>
      <w:r>
        <w:t>6、轴线引测完成后，必须自检互检并办好签证手续，并经施工监理复核后方可施工。</w:t>
      </w:r>
    </w:p>
    <w:p>
      <w:pPr>
        <w:pStyle w:val="BodyText"/>
      </w:pPr>
    </w:p>
    <w:p>
      <w:pPr>
        <w:pStyle w:val="BodyText"/>
        <w:spacing w:before="5"/>
        <w:rPr>
          <w:sz w:val="25"/>
        </w:rPr>
      </w:pPr>
    </w:p>
    <w:p>
      <w:pPr>
        <w:pStyle w:val="Heading1"/>
      </w:pPr>
      <w:r>
        <w:t>七、地下室底板施工方案</w:t>
      </w:r>
    </w:p>
    <w:p>
      <w:pPr>
        <w:pStyle w:val="Heading2"/>
        <w:spacing w:before="331"/>
      </w:pPr>
      <w:r>
        <w:t>1、钢筋施工方案</w:t>
      </w:r>
    </w:p>
    <w:p>
      <w:pPr>
        <w:spacing w:after="0"/>
        <w:sectPr>
          <w:footerReference w:type="default" r:id="rId6"/>
          <w:pgSz w:w="17860" w:h="25260"/>
          <w:pgMar w:top="1920" w:right="1820" w:bottom="2040" w:left="2040" w:header="0" w:footer="1844"/>
          <w:pgNumType w:start="3"/>
          <w:cols w:space="708"/>
        </w:sectPr>
      </w:pPr>
    </w:p>
    <w:p>
      <w:pPr>
        <w:pStyle w:val="ListParagraph"/>
        <w:numPr>
          <w:ilvl w:val="1"/>
          <w:numId w:val="20"/>
        </w:numPr>
        <w:tabs>
          <w:tab w:val="left" w:pos="1291"/>
        </w:tabs>
        <w:spacing w:before="32" w:after="0" w:line="364" w:lineRule="auto"/>
        <w:ind w:left="660" w:right="828" w:firstLine="0"/>
        <w:jc w:val="left"/>
        <w:rPr>
          <w:sz w:val="36"/>
        </w:rPr>
      </w:pPr>
      <w:r>
        <w:rPr>
          <w:spacing w:val="-1"/>
          <w:sz w:val="36"/>
        </w:rPr>
        <w:t>地下室底板钢筋与柱、墙板、楼梯及车道等插筋均采用工厂定加工，钢筋进</w:t>
      </w:r>
      <w:r>
        <w:rPr>
          <w:sz w:val="36"/>
        </w:rPr>
        <w:t>场应有出厂质量证明书和试验报告单，并有专人验收。</w:t>
      </w:r>
    </w:p>
    <w:p>
      <w:pPr>
        <w:pStyle w:val="ListParagraph"/>
        <w:numPr>
          <w:ilvl w:val="1"/>
          <w:numId w:val="20"/>
        </w:numPr>
        <w:tabs>
          <w:tab w:val="left" w:pos="1291"/>
        </w:tabs>
        <w:spacing w:before="2" w:after="0" w:line="240" w:lineRule="auto"/>
        <w:ind w:left="1290" w:right="0" w:hanging="631"/>
        <w:jc w:val="left"/>
        <w:rPr>
          <w:sz w:val="36"/>
        </w:rPr>
      </w:pPr>
      <w:r>
        <w:rPr>
          <w:sz w:val="36"/>
        </w:rPr>
        <w:t>地下室底板钢筋均采用滚轧直螺纹连接。</w:t>
      </w:r>
    </w:p>
    <w:p>
      <w:pPr>
        <w:pStyle w:val="ListParagraph"/>
        <w:numPr>
          <w:ilvl w:val="1"/>
          <w:numId w:val="20"/>
        </w:numPr>
        <w:tabs>
          <w:tab w:val="left" w:pos="1309"/>
        </w:tabs>
        <w:spacing w:before="241" w:after="0" w:line="240" w:lineRule="auto"/>
        <w:ind w:left="1308" w:right="0" w:hanging="649"/>
        <w:jc w:val="left"/>
        <w:rPr>
          <w:sz w:val="36"/>
        </w:rPr>
      </w:pPr>
      <w:r>
        <w:rPr>
          <w:sz w:val="36"/>
        </w:rPr>
        <w:t>底板板面钢筋采用∟50×5</w:t>
      </w:r>
      <w:r>
        <w:rPr>
          <w:spacing w:val="-9"/>
          <w:sz w:val="36"/>
        </w:rPr>
        <w:t xml:space="preserve"> 角铁支架固定，角铁支架立柱的下端焊在垫层面</w:t>
      </w:r>
    </w:p>
    <w:p>
      <w:pPr>
        <w:pStyle w:val="BodyText"/>
        <w:spacing w:before="241" w:line="364" w:lineRule="auto"/>
        <w:ind w:left="660" w:right="879"/>
      </w:pPr>
      <w:r>
        <w:t>-150×150×6 mm</w:t>
      </w:r>
      <w:r>
        <w:rPr>
          <w:spacing w:val="-14"/>
        </w:rPr>
        <w:t xml:space="preserve"> 预埋件上，立柱间距＠不大于 </w:t>
      </w:r>
      <w:r>
        <w:t>2.5 m，</w:t>
      </w:r>
      <w:r>
        <w:rPr>
          <w:spacing w:val="-2"/>
        </w:rPr>
        <w:t>在垂直于板面下皮钢筋</w:t>
      </w:r>
      <w:r>
        <w:t>搁置向，支架间均设斜撑，详见附图—5。</w:t>
      </w:r>
    </w:p>
    <w:p>
      <w:pPr>
        <w:pStyle w:val="ListParagraph"/>
        <w:numPr>
          <w:ilvl w:val="1"/>
          <w:numId w:val="20"/>
        </w:numPr>
        <w:tabs>
          <w:tab w:val="left" w:pos="1291"/>
        </w:tabs>
        <w:spacing w:before="1" w:after="0" w:line="364" w:lineRule="auto"/>
        <w:ind w:left="660" w:right="828" w:firstLine="0"/>
        <w:jc w:val="left"/>
        <w:rPr>
          <w:sz w:val="36"/>
        </w:rPr>
      </w:pPr>
      <w:r>
        <w:rPr>
          <w:spacing w:val="-1"/>
          <w:sz w:val="36"/>
        </w:rPr>
        <w:t>人防地下室临空墙、门框墙插筋须一次到顶，不得留接头，并注意防护区内</w:t>
      </w:r>
      <w:r>
        <w:rPr>
          <w:sz w:val="36"/>
        </w:rPr>
        <w:t>外的竖向钢筋位置不得放反。</w:t>
      </w:r>
    </w:p>
    <w:p>
      <w:pPr>
        <w:pStyle w:val="ListParagraph"/>
        <w:numPr>
          <w:ilvl w:val="1"/>
          <w:numId w:val="20"/>
        </w:numPr>
        <w:tabs>
          <w:tab w:val="left" w:pos="1291"/>
        </w:tabs>
        <w:spacing w:before="3" w:after="0" w:line="364" w:lineRule="auto"/>
        <w:ind w:left="660" w:right="875" w:firstLine="0"/>
        <w:jc w:val="left"/>
        <w:rPr>
          <w:sz w:val="36"/>
        </w:rPr>
      </w:pPr>
      <w:r>
        <w:rPr>
          <w:spacing w:val="-3"/>
          <w:sz w:val="36"/>
        </w:rPr>
        <w:t>人防范围内的墙柱及板的截面和配筋按平时和战时两者取大值，结构与人防</w:t>
      </w:r>
      <w:r>
        <w:rPr>
          <w:sz w:val="36"/>
        </w:rPr>
        <w:t>结构钢筋重叠时取大值。</w:t>
      </w:r>
    </w:p>
    <w:p>
      <w:pPr>
        <w:pStyle w:val="ListParagraph"/>
        <w:numPr>
          <w:ilvl w:val="1"/>
          <w:numId w:val="20"/>
        </w:numPr>
        <w:tabs>
          <w:tab w:val="left" w:pos="1309"/>
        </w:tabs>
        <w:spacing w:before="2" w:after="0" w:line="364" w:lineRule="auto"/>
        <w:ind w:left="660" w:right="879" w:firstLine="0"/>
        <w:jc w:val="both"/>
        <w:rPr>
          <w:sz w:val="36"/>
        </w:rPr>
      </w:pPr>
      <w:r>
        <w:rPr>
          <w:sz w:val="36"/>
        </w:rPr>
        <w:t>地下室与人防范围内框架柱及剪力墙暗柱等直径≥22 mm</w:t>
      </w:r>
      <w:r>
        <w:rPr>
          <w:spacing w:val="-12"/>
          <w:sz w:val="36"/>
        </w:rPr>
        <w:t xml:space="preserve"> 的纵向受力筋的接</w:t>
      </w:r>
      <w:r>
        <w:rPr>
          <w:spacing w:val="-10"/>
          <w:sz w:val="36"/>
        </w:rPr>
        <w:t>头均采用滚轧直螺纹连接外，其他接头采用电渣压力焊；剪力墙竖向钢筋接头采</w:t>
      </w:r>
      <w:r>
        <w:rPr>
          <w:sz w:val="36"/>
        </w:rPr>
        <w:t>用绑扎接头。</w:t>
      </w:r>
    </w:p>
    <w:p>
      <w:pPr>
        <w:pStyle w:val="ListParagraph"/>
        <w:numPr>
          <w:ilvl w:val="1"/>
          <w:numId w:val="20"/>
        </w:numPr>
        <w:tabs>
          <w:tab w:val="left" w:pos="1381"/>
        </w:tabs>
        <w:spacing w:before="2" w:after="0" w:line="364" w:lineRule="auto"/>
        <w:ind w:left="660" w:right="877" w:firstLine="0"/>
        <w:jc w:val="both"/>
        <w:rPr>
          <w:sz w:val="36"/>
        </w:rPr>
      </w:pPr>
      <w:r>
        <w:rPr>
          <w:spacing w:val="-7"/>
          <w:sz w:val="36"/>
        </w:rPr>
        <w:t>地下室底板内钢筋的滚轧直螺纹连接接头应符合下列规定：各受力钢筋之间</w:t>
      </w:r>
      <w:r>
        <w:rPr>
          <w:spacing w:val="-13"/>
          <w:sz w:val="36"/>
        </w:rPr>
        <w:t xml:space="preserve">的接头位置按 </w:t>
      </w:r>
      <w:r>
        <w:rPr>
          <w:sz w:val="36"/>
        </w:rPr>
        <w:t>50%</w:t>
      </w:r>
      <w:r>
        <w:rPr>
          <w:spacing w:val="-6"/>
          <w:sz w:val="36"/>
        </w:rPr>
        <w:t xml:space="preserve">相互错开，接头间的间距不小于 </w:t>
      </w:r>
      <w:r>
        <w:rPr>
          <w:sz w:val="36"/>
        </w:rPr>
        <w:t>35d</w:t>
      </w:r>
      <w:r>
        <w:rPr>
          <w:spacing w:val="-31"/>
          <w:sz w:val="36"/>
        </w:rPr>
        <w:t xml:space="preserve"> 且不小于 </w:t>
      </w:r>
      <w:r>
        <w:rPr>
          <w:sz w:val="36"/>
        </w:rPr>
        <w:t>500 mm。</w:t>
      </w:r>
    </w:p>
    <w:p>
      <w:pPr>
        <w:pStyle w:val="ListParagraph"/>
        <w:numPr>
          <w:ilvl w:val="1"/>
          <w:numId w:val="20"/>
        </w:numPr>
        <w:tabs>
          <w:tab w:val="left" w:pos="1291"/>
        </w:tabs>
        <w:spacing w:before="2" w:after="0" w:line="364" w:lineRule="auto"/>
        <w:ind w:left="660" w:right="875" w:firstLine="0"/>
        <w:jc w:val="both"/>
        <w:rPr>
          <w:sz w:val="36"/>
        </w:rPr>
      </w:pPr>
      <w:r>
        <w:rPr>
          <w:spacing w:val="-5"/>
          <w:sz w:val="36"/>
        </w:rPr>
        <w:t xml:space="preserve">为使绑扎后钢筋网格方整划一、间距正确，采用 </w:t>
      </w:r>
      <w:r>
        <w:rPr>
          <w:sz w:val="36"/>
        </w:rPr>
        <w:t>5</w:t>
      </w:r>
      <w:r>
        <w:rPr>
          <w:spacing w:val="-51"/>
          <w:sz w:val="36"/>
        </w:rPr>
        <w:t xml:space="preserve"> </w:t>
      </w:r>
      <w:r>
        <w:rPr>
          <w:sz w:val="36"/>
        </w:rPr>
        <w:t>m</w:t>
      </w:r>
      <w:r>
        <w:rPr>
          <w:spacing w:val="-12"/>
          <w:sz w:val="36"/>
        </w:rPr>
        <w:t xml:space="preserve"> 长卡尺限位绑扎，在钢</w:t>
      </w:r>
      <w:r>
        <w:rPr>
          <w:spacing w:val="-10"/>
          <w:sz w:val="36"/>
        </w:rPr>
        <w:t>筋两端用卡尺的缺口卡住钢筋，待绑扎牢固后，拿去卡尺，可满足钢筋间距的质</w:t>
      </w:r>
      <w:r>
        <w:rPr>
          <w:sz w:val="36"/>
        </w:rPr>
        <w:t>量要求，并加快绑扎速度。</w:t>
      </w:r>
    </w:p>
    <w:p>
      <w:pPr>
        <w:pStyle w:val="ListParagraph"/>
        <w:numPr>
          <w:ilvl w:val="1"/>
          <w:numId w:val="20"/>
        </w:numPr>
        <w:tabs>
          <w:tab w:val="left" w:pos="1291"/>
        </w:tabs>
        <w:spacing w:before="4" w:after="0" w:line="364" w:lineRule="auto"/>
        <w:ind w:left="660" w:right="828" w:firstLine="0"/>
        <w:jc w:val="left"/>
        <w:rPr>
          <w:sz w:val="36"/>
        </w:rPr>
      </w:pPr>
      <w:r>
        <w:rPr>
          <w:spacing w:val="-1"/>
          <w:sz w:val="36"/>
        </w:rPr>
        <w:t>板底钢筋保护层采用预制砼垫块，数量每平方米不少于一只，板面钢筋保护</w:t>
      </w:r>
      <w:r>
        <w:rPr>
          <w:sz w:val="36"/>
        </w:rPr>
        <w:t>层采用角铁支架控制。</w:t>
      </w:r>
    </w:p>
    <w:p>
      <w:pPr>
        <w:pStyle w:val="ListParagraph"/>
        <w:numPr>
          <w:ilvl w:val="1"/>
          <w:numId w:val="20"/>
        </w:numPr>
        <w:tabs>
          <w:tab w:val="left" w:pos="1561"/>
        </w:tabs>
        <w:spacing w:before="1" w:after="0" w:line="364" w:lineRule="auto"/>
        <w:ind w:left="660" w:right="918" w:firstLine="0"/>
        <w:jc w:val="left"/>
        <w:rPr>
          <w:sz w:val="36"/>
        </w:rPr>
      </w:pPr>
      <w:r>
        <w:rPr>
          <w:spacing w:val="-1"/>
          <w:sz w:val="36"/>
        </w:rPr>
        <w:t>柱、墙板、楼梯及车道等竖向插筋位置经复核无误后，采用箍筋或水平钢</w:t>
      </w:r>
      <w:r>
        <w:rPr>
          <w:sz w:val="36"/>
        </w:rPr>
        <w:t>筋作限位，同底板面层钢筋点焊固定，插筋同限位钢筋再点焊固定。</w:t>
      </w:r>
    </w:p>
    <w:p>
      <w:pPr>
        <w:pStyle w:val="ListParagraph"/>
        <w:numPr>
          <w:ilvl w:val="1"/>
          <w:numId w:val="20"/>
        </w:numPr>
        <w:tabs>
          <w:tab w:val="left" w:pos="1561"/>
        </w:tabs>
        <w:spacing w:before="2" w:after="0" w:line="364" w:lineRule="auto"/>
        <w:ind w:left="660" w:right="736" w:firstLine="0"/>
        <w:jc w:val="left"/>
        <w:rPr>
          <w:sz w:val="36"/>
        </w:rPr>
      </w:pPr>
      <w:r>
        <w:rPr>
          <w:sz w:val="36"/>
        </w:rPr>
        <w:t>钢筋绑扎完毕，经复核检查无误后，及时做好隐蔽工程验收，并经监理部门、业主、质监站（地下室底板由人防质监站验收）</w:t>
      </w:r>
      <w:r>
        <w:rPr>
          <w:spacing w:val="-2"/>
          <w:sz w:val="36"/>
        </w:rPr>
        <w:t>验收同意后，方可进行下道</w:t>
      </w:r>
      <w:r>
        <w:rPr>
          <w:sz w:val="36"/>
        </w:rPr>
        <w:t>工序的施工。</w:t>
      </w:r>
    </w:p>
    <w:p>
      <w:pPr>
        <w:pStyle w:val="BodyText"/>
      </w:pPr>
    </w:p>
    <w:p>
      <w:pPr>
        <w:pStyle w:val="BodyText"/>
        <w:spacing w:before="5"/>
        <w:rPr>
          <w:sz w:val="32"/>
        </w:rPr>
      </w:pPr>
    </w:p>
    <w:p>
      <w:pPr>
        <w:pStyle w:val="Heading2"/>
      </w:pPr>
      <w:r>
        <w:t>2、模板施工方案</w:t>
      </w:r>
    </w:p>
    <w:p>
      <w:pPr>
        <w:pStyle w:val="ListParagraph"/>
        <w:numPr>
          <w:ilvl w:val="1"/>
          <w:numId w:val="19"/>
        </w:numPr>
        <w:tabs>
          <w:tab w:val="left" w:pos="1291"/>
        </w:tabs>
        <w:spacing w:before="385" w:after="0" w:line="364" w:lineRule="auto"/>
        <w:ind w:left="660" w:right="876" w:firstLine="0"/>
        <w:jc w:val="both"/>
        <w:rPr>
          <w:sz w:val="36"/>
        </w:rPr>
      </w:pPr>
      <w:r>
        <w:rPr>
          <w:spacing w:val="-2"/>
          <w:sz w:val="36"/>
        </w:rPr>
        <w:t>四周底板侧模均采用组合钢模，围檩采用</w:t>
      </w:r>
      <w:r>
        <w:rPr>
          <w:rFonts w:ascii="Arial" w:eastAsia="Arial" w:hAnsi="Arial"/>
          <w:sz w:val="36"/>
        </w:rPr>
        <w:t>Φ</w:t>
      </w:r>
      <w:r>
        <w:rPr>
          <w:rFonts w:ascii="Arial" w:eastAsia="Arial" w:hAnsi="Arial"/>
          <w:spacing w:val="-28"/>
          <w:sz w:val="36"/>
        </w:rPr>
        <w:t xml:space="preserve"> </w:t>
      </w:r>
      <w:r>
        <w:rPr>
          <w:sz w:val="36"/>
        </w:rPr>
        <w:t>48×3.5</w:t>
      </w:r>
      <w:r>
        <w:rPr>
          <w:spacing w:val="-18"/>
          <w:sz w:val="36"/>
        </w:rPr>
        <w:t xml:space="preserve"> 钢管，并设置</w:t>
      </w:r>
      <w:r>
        <w:rPr>
          <w:rFonts w:ascii="Arial" w:eastAsia="Arial" w:hAnsi="Arial"/>
          <w:sz w:val="36"/>
        </w:rPr>
        <w:t>Ф</w:t>
      </w:r>
      <w:r>
        <w:rPr>
          <w:rFonts w:ascii="Arial" w:eastAsia="Arial" w:hAnsi="Arial"/>
          <w:spacing w:val="-14"/>
          <w:sz w:val="36"/>
        </w:rPr>
        <w:t xml:space="preserve"> </w:t>
      </w:r>
      <w:r>
        <w:rPr>
          <w:sz w:val="36"/>
        </w:rPr>
        <w:t>16</w:t>
      </w:r>
      <w:r>
        <w:rPr>
          <w:spacing w:val="-36"/>
          <w:sz w:val="36"/>
        </w:rPr>
        <w:t xml:space="preserve"> 对拉</w:t>
      </w:r>
      <w:r>
        <w:rPr>
          <w:sz w:val="36"/>
        </w:rPr>
        <w:t>螺丝，间距﹫≤750</w:t>
      </w:r>
      <w:r>
        <w:rPr>
          <w:spacing w:val="-72"/>
          <w:sz w:val="36"/>
        </w:rPr>
        <w:t xml:space="preserve"> </w:t>
      </w:r>
      <w:r>
        <w:rPr>
          <w:sz w:val="36"/>
        </w:rPr>
        <w:t>mm，</w:t>
      </w:r>
      <w:r>
        <w:rPr>
          <w:spacing w:val="-10"/>
          <w:sz w:val="36"/>
        </w:rPr>
        <w:t xml:space="preserve">并加设斜撑。四周 </w:t>
      </w:r>
      <w:r>
        <w:rPr>
          <w:sz w:val="36"/>
        </w:rPr>
        <w:t>1</w:t>
      </w:r>
      <w:r>
        <w:rPr>
          <w:spacing w:val="-73"/>
          <w:sz w:val="36"/>
        </w:rPr>
        <w:t xml:space="preserve"> </w:t>
      </w:r>
      <w:r>
        <w:rPr>
          <w:sz w:val="36"/>
        </w:rPr>
        <w:t>m</w:t>
      </w:r>
      <w:r>
        <w:rPr>
          <w:spacing w:val="-11"/>
          <w:sz w:val="36"/>
        </w:rPr>
        <w:t xml:space="preserve"> 宽后浇带处采用砖砌代模板，砖</w:t>
      </w:r>
    </w:p>
    <w:p>
      <w:pPr>
        <w:spacing w:after="0" w:line="364" w:lineRule="auto"/>
        <w:jc w:val="both"/>
        <w:rPr>
          <w:sz w:val="36"/>
        </w:rPr>
        <w:sectPr>
          <w:footerReference w:type="default" r:id="rId7"/>
          <w:pgSz w:w="17860" w:h="25260"/>
          <w:pgMar w:top="1920" w:right="1820" w:bottom="2040" w:left="2040" w:header="0" w:footer="1844"/>
          <w:pgNumType w:start="4"/>
          <w:cols w:space="708"/>
        </w:sectPr>
      </w:pPr>
    </w:p>
    <w:p>
      <w:pPr>
        <w:pStyle w:val="BodyText"/>
        <w:spacing w:before="32"/>
        <w:ind w:left="660"/>
      </w:pPr>
      <w:r>
        <w:t>墙厚 240 mm，采用 MU10 标准砖，M10 水泥砂浆砌筑。</w:t>
      </w:r>
    </w:p>
    <w:p>
      <w:pPr>
        <w:pStyle w:val="ListParagraph"/>
        <w:numPr>
          <w:ilvl w:val="1"/>
          <w:numId w:val="19"/>
        </w:numPr>
        <w:tabs>
          <w:tab w:val="left" w:pos="1291"/>
        </w:tabs>
        <w:spacing w:before="241" w:after="0" w:line="364" w:lineRule="auto"/>
        <w:ind w:left="660" w:right="828" w:firstLine="0"/>
        <w:jc w:val="left"/>
        <w:rPr>
          <w:sz w:val="36"/>
        </w:rPr>
      </w:pPr>
      <w:r>
        <w:rPr>
          <w:spacing w:val="-1"/>
          <w:sz w:val="36"/>
        </w:rPr>
        <w:t>后浇带与施工缝处采用双道钢丝网，采用角钢或钢筋夹固，并和钢筋支架与</w:t>
      </w:r>
      <w:r>
        <w:rPr>
          <w:sz w:val="36"/>
        </w:rPr>
        <w:t>底板钢筋拉接牢固。</w:t>
      </w:r>
    </w:p>
    <w:p>
      <w:pPr>
        <w:pStyle w:val="ListParagraph"/>
        <w:numPr>
          <w:ilvl w:val="1"/>
          <w:numId w:val="19"/>
        </w:numPr>
        <w:tabs>
          <w:tab w:val="left" w:pos="1291"/>
        </w:tabs>
        <w:spacing w:before="2" w:after="0" w:line="364" w:lineRule="auto"/>
        <w:ind w:left="660" w:right="726" w:firstLine="0"/>
        <w:jc w:val="both"/>
        <w:rPr>
          <w:sz w:val="36"/>
        </w:rPr>
      </w:pPr>
      <w:r>
        <w:rPr>
          <w:sz w:val="36"/>
        </w:rPr>
        <w:t>由于基础垫层面积较大，混凝土浇筑后垫层面不可能在同一水平上。因此在</w:t>
      </w:r>
      <w:r>
        <w:rPr>
          <w:spacing w:val="-7"/>
          <w:sz w:val="36"/>
        </w:rPr>
        <w:t xml:space="preserve">钢模板的下端统长铺设一根 </w:t>
      </w:r>
      <w:r>
        <w:rPr>
          <w:sz w:val="36"/>
        </w:rPr>
        <w:t>5cm×10 cm</w:t>
      </w:r>
      <w:r>
        <w:rPr>
          <w:spacing w:val="-10"/>
          <w:sz w:val="36"/>
        </w:rPr>
        <w:t xml:space="preserve"> 小方木，用水平仪找平调正，确保安装好的钢模板上口能在同一标高上。另外在纵向侧模小方木上，沿水平方向每隔</w:t>
      </w:r>
      <w:r>
        <w:rPr>
          <w:sz w:val="36"/>
        </w:rPr>
        <w:t>3 m</w:t>
      </w:r>
      <w:r>
        <w:rPr>
          <w:spacing w:val="-46"/>
          <w:sz w:val="36"/>
        </w:rPr>
        <w:t xml:space="preserve"> 开设 </w:t>
      </w:r>
      <w:r>
        <w:rPr>
          <w:sz w:val="36"/>
        </w:rPr>
        <w:t>50×300</w:t>
      </w:r>
      <w:r>
        <w:rPr>
          <w:spacing w:val="-80"/>
          <w:sz w:val="36"/>
        </w:rPr>
        <w:t xml:space="preserve"> </w:t>
      </w:r>
      <w:r>
        <w:rPr>
          <w:sz w:val="36"/>
        </w:rPr>
        <w:t>mm</w:t>
      </w:r>
      <w:r>
        <w:rPr>
          <w:spacing w:val="-11"/>
          <w:sz w:val="36"/>
        </w:rPr>
        <w:t xml:space="preserve"> 的排水孔，以便将混凝土浇筑时产生的泌水和浮浆排出坑外。</w:t>
      </w:r>
      <w:r>
        <w:rPr>
          <w:sz w:val="36"/>
        </w:rPr>
        <w:t>在浇筑至排水孔时，用纤维板封堵。</w:t>
      </w:r>
    </w:p>
    <w:p>
      <w:pPr>
        <w:pStyle w:val="ListParagraph"/>
        <w:numPr>
          <w:ilvl w:val="1"/>
          <w:numId w:val="19"/>
        </w:numPr>
        <w:tabs>
          <w:tab w:val="left" w:pos="1291"/>
        </w:tabs>
        <w:spacing w:before="5" w:after="0" w:line="364" w:lineRule="auto"/>
        <w:ind w:left="660" w:right="906" w:firstLine="0"/>
        <w:jc w:val="left"/>
        <w:rPr>
          <w:sz w:val="36"/>
        </w:rPr>
      </w:pPr>
      <w:r>
        <w:rPr>
          <w:spacing w:val="-4"/>
          <w:sz w:val="36"/>
        </w:rPr>
        <w:t>对拉螺丝上面一道拉杆先与角铁支架连接后再用圆钢拉杆焊在桩帽上，下面</w:t>
      </w:r>
      <w:r>
        <w:rPr>
          <w:sz w:val="36"/>
        </w:rPr>
        <w:t>一道直接焊在底皮的受力钢筋上。</w:t>
      </w:r>
    </w:p>
    <w:p>
      <w:pPr>
        <w:pStyle w:val="ListParagraph"/>
        <w:numPr>
          <w:ilvl w:val="1"/>
          <w:numId w:val="19"/>
        </w:numPr>
        <w:tabs>
          <w:tab w:val="left" w:pos="1291"/>
        </w:tabs>
        <w:spacing w:before="2" w:after="0" w:line="364" w:lineRule="auto"/>
        <w:ind w:left="660" w:right="828" w:firstLine="0"/>
        <w:jc w:val="left"/>
        <w:rPr>
          <w:sz w:val="36"/>
        </w:rPr>
      </w:pPr>
      <w:r>
        <w:rPr>
          <w:spacing w:val="-1"/>
          <w:sz w:val="36"/>
        </w:rPr>
        <w:t>钢模的施工必须做到截面正确，表面平整、拼缝严密、垂直度偏差符合规范</w:t>
      </w:r>
      <w:r>
        <w:rPr>
          <w:sz w:val="36"/>
        </w:rPr>
        <w:t>要求。</w:t>
      </w:r>
    </w:p>
    <w:p>
      <w:pPr>
        <w:pStyle w:val="ListParagraph"/>
        <w:numPr>
          <w:ilvl w:val="1"/>
          <w:numId w:val="19"/>
        </w:numPr>
        <w:tabs>
          <w:tab w:val="left" w:pos="1291"/>
        </w:tabs>
        <w:spacing w:before="2" w:after="0" w:line="240" w:lineRule="auto"/>
        <w:ind w:left="1290" w:right="0" w:hanging="631"/>
        <w:jc w:val="left"/>
        <w:rPr>
          <w:sz w:val="36"/>
        </w:rPr>
      </w:pPr>
      <w:r>
        <w:rPr>
          <w:spacing w:val="-8"/>
          <w:sz w:val="36"/>
        </w:rPr>
        <w:t xml:space="preserve">底板侧模拆除应保证砼表面及棱角不受损坏，一般在砼浇筑 </w:t>
      </w:r>
      <w:r>
        <w:rPr>
          <w:sz w:val="36"/>
        </w:rPr>
        <w:t>24</w:t>
      </w:r>
      <w:r>
        <w:rPr>
          <w:spacing w:val="-14"/>
          <w:sz w:val="36"/>
        </w:rPr>
        <w:t xml:space="preserve"> 小时后拆除。</w:t>
      </w:r>
    </w:p>
    <w:p>
      <w:pPr>
        <w:pStyle w:val="BodyText"/>
      </w:pPr>
    </w:p>
    <w:p>
      <w:pPr>
        <w:pStyle w:val="BodyText"/>
        <w:spacing w:before="7"/>
        <w:rPr>
          <w:sz w:val="32"/>
        </w:rPr>
      </w:pPr>
    </w:p>
    <w:p>
      <w:pPr>
        <w:pStyle w:val="Heading2"/>
        <w:spacing w:before="1"/>
      </w:pPr>
      <w:r>
        <w:t>3、地下室底板大体积混凝土浇捣方案</w:t>
      </w:r>
    </w:p>
    <w:p>
      <w:pPr>
        <w:pStyle w:val="Heading3"/>
        <w:numPr>
          <w:ilvl w:val="1"/>
          <w:numId w:val="18"/>
        </w:numPr>
        <w:tabs>
          <w:tab w:val="left" w:pos="1298"/>
        </w:tabs>
        <w:spacing w:before="385" w:after="0" w:line="240" w:lineRule="auto"/>
        <w:ind w:left="1297" w:right="0" w:hanging="638"/>
        <w:jc w:val="left"/>
      </w:pPr>
      <w:r>
        <w:t>混凝土浇筑方法</w:t>
      </w:r>
    </w:p>
    <w:p>
      <w:pPr>
        <w:pStyle w:val="ListParagraph"/>
        <w:numPr>
          <w:ilvl w:val="2"/>
          <w:numId w:val="18"/>
        </w:numPr>
        <w:tabs>
          <w:tab w:val="left" w:pos="1705"/>
        </w:tabs>
        <w:spacing w:before="241" w:after="0" w:line="240" w:lineRule="auto"/>
        <w:ind w:left="1704" w:right="0" w:hanging="1045"/>
        <w:jc w:val="left"/>
        <w:rPr>
          <w:sz w:val="36"/>
        </w:rPr>
      </w:pPr>
      <w:r>
        <w:rPr>
          <w:spacing w:val="-2"/>
          <w:sz w:val="36"/>
        </w:rPr>
        <w:t xml:space="preserve">本工程地下室底板砼均采用商品砼，砼标号 </w:t>
      </w:r>
      <w:r>
        <w:rPr>
          <w:sz w:val="36"/>
        </w:rPr>
        <w:t>C30S6，</w:t>
      </w:r>
      <w:r>
        <w:rPr>
          <w:spacing w:val="-13"/>
          <w:sz w:val="36"/>
        </w:rPr>
        <w:t xml:space="preserve">采用 </w:t>
      </w:r>
      <w:r>
        <w:rPr>
          <w:sz w:val="36"/>
        </w:rPr>
        <w:t>60</w:t>
      </w:r>
      <w:r>
        <w:rPr>
          <w:spacing w:val="-7"/>
          <w:sz w:val="36"/>
        </w:rPr>
        <w:t xml:space="preserve"> 天后期强度</w:t>
      </w:r>
    </w:p>
    <w:p>
      <w:pPr>
        <w:pStyle w:val="BodyText"/>
        <w:spacing w:before="240"/>
        <w:ind w:left="660"/>
      </w:pPr>
      <w:r>
        <w:rPr>
          <w:spacing w:val="-1"/>
        </w:rPr>
        <w:t>（</w:t>
      </w:r>
      <w:r>
        <w:t>R60</w:t>
      </w:r>
      <w:r>
        <w:rPr>
          <w:spacing w:val="-180"/>
        </w:rPr>
        <w:t>）</w:t>
      </w:r>
      <w:r>
        <w:rPr>
          <w:spacing w:val="-12"/>
        </w:rPr>
        <w:t xml:space="preserve">。坍落度控制在 </w:t>
      </w:r>
      <w:r>
        <w:t>12±2 cm</w:t>
      </w:r>
      <w:r>
        <w:rPr>
          <w:spacing w:val="-8"/>
        </w:rPr>
        <w:t xml:space="preserve">。地下室底板砼总方量约 </w:t>
      </w:r>
      <w:r>
        <w:t>24600 m</w:t>
      </w:r>
      <w:r>
        <w:rPr>
          <w:spacing w:val="1"/>
          <w:position w:val="3"/>
          <w:sz w:val="18"/>
        </w:rPr>
        <w:t>3</w:t>
      </w:r>
      <w:r>
        <w:t>。</w:t>
      </w:r>
    </w:p>
    <w:p>
      <w:pPr>
        <w:pStyle w:val="ListParagraph"/>
        <w:numPr>
          <w:ilvl w:val="2"/>
          <w:numId w:val="18"/>
        </w:numPr>
        <w:tabs>
          <w:tab w:val="left" w:pos="1651"/>
        </w:tabs>
        <w:spacing w:before="241" w:after="0" w:line="364" w:lineRule="auto"/>
        <w:ind w:left="660" w:right="696" w:firstLine="0"/>
        <w:jc w:val="left"/>
        <w:rPr>
          <w:sz w:val="36"/>
        </w:rPr>
      </w:pPr>
      <w:r>
        <w:rPr>
          <w:spacing w:val="-14"/>
          <w:sz w:val="36"/>
        </w:rPr>
        <w:t xml:space="preserve">地下室底板按后浇带与施工缝共划分为十块。其中，中心岛底板分为 </w:t>
      </w:r>
      <w:r>
        <w:rPr>
          <w:sz w:val="36"/>
        </w:rPr>
        <w:t>A</w:t>
      </w:r>
      <w:r>
        <w:rPr>
          <w:spacing w:val="-108"/>
          <w:sz w:val="36"/>
        </w:rPr>
        <w:t>、</w:t>
      </w:r>
      <w:r>
        <w:rPr>
          <w:sz w:val="36"/>
        </w:rPr>
        <w:t>B</w:t>
      </w:r>
      <w:r>
        <w:rPr>
          <w:spacing w:val="-18"/>
          <w:sz w:val="36"/>
        </w:rPr>
        <w:t>、</w:t>
      </w:r>
      <w:r>
        <w:rPr>
          <w:sz w:val="36"/>
        </w:rPr>
        <w:t>C</w:t>
      </w:r>
      <w:r>
        <w:rPr>
          <w:spacing w:val="-87"/>
          <w:sz w:val="36"/>
        </w:rPr>
        <w:t>、</w:t>
      </w:r>
      <w:r>
        <w:rPr>
          <w:sz w:val="36"/>
        </w:rPr>
        <w:t>D</w:t>
      </w:r>
      <w:r>
        <w:rPr>
          <w:spacing w:val="-87"/>
          <w:sz w:val="36"/>
        </w:rPr>
        <w:t>、</w:t>
      </w:r>
      <w:r>
        <w:rPr>
          <w:sz w:val="36"/>
        </w:rPr>
        <w:t>E</w:t>
      </w:r>
      <w:r>
        <w:rPr>
          <w:spacing w:val="-26"/>
          <w:sz w:val="36"/>
        </w:rPr>
        <w:t xml:space="preserve"> 五块，周边底板分为 </w:t>
      </w:r>
      <w:r>
        <w:rPr>
          <w:sz w:val="36"/>
        </w:rPr>
        <w:t>a</w:t>
      </w:r>
      <w:r>
        <w:rPr>
          <w:spacing w:val="-87"/>
          <w:sz w:val="36"/>
        </w:rPr>
        <w:t>、</w:t>
      </w:r>
      <w:r>
        <w:rPr>
          <w:sz w:val="36"/>
        </w:rPr>
        <w:t>b</w:t>
      </w:r>
      <w:r>
        <w:rPr>
          <w:spacing w:val="-87"/>
          <w:sz w:val="36"/>
        </w:rPr>
        <w:t>、</w:t>
      </w:r>
      <w:r>
        <w:rPr>
          <w:sz w:val="36"/>
        </w:rPr>
        <w:t>c</w:t>
      </w:r>
      <w:r>
        <w:rPr>
          <w:spacing w:val="-87"/>
          <w:sz w:val="36"/>
        </w:rPr>
        <w:t>、</w:t>
      </w:r>
      <w:r>
        <w:rPr>
          <w:sz w:val="36"/>
        </w:rPr>
        <w:t>d</w:t>
      </w:r>
      <w:r>
        <w:rPr>
          <w:spacing w:val="-87"/>
          <w:sz w:val="36"/>
        </w:rPr>
        <w:t>、</w:t>
      </w:r>
      <w:r>
        <w:rPr>
          <w:sz w:val="36"/>
        </w:rPr>
        <w:t>e</w:t>
      </w:r>
      <w:r>
        <w:rPr>
          <w:spacing w:val="-23"/>
          <w:sz w:val="36"/>
        </w:rPr>
        <w:t xml:space="preserve"> 五块。单块底板砼方量约 </w:t>
      </w:r>
      <w:r>
        <w:rPr>
          <w:sz w:val="36"/>
        </w:rPr>
        <w:t>2000～ 3000 m</w:t>
      </w:r>
      <w:r>
        <w:rPr>
          <w:position w:val="3"/>
          <w:sz w:val="18"/>
        </w:rPr>
        <w:t>3</w:t>
      </w:r>
      <w:r>
        <w:rPr>
          <w:spacing w:val="-44"/>
          <w:position w:val="3"/>
          <w:sz w:val="18"/>
        </w:rPr>
        <w:t xml:space="preserve"> </w:t>
      </w:r>
      <w:r>
        <w:rPr>
          <w:sz w:val="36"/>
        </w:rPr>
        <w:t>不等。</w:t>
      </w:r>
    </w:p>
    <w:p>
      <w:pPr>
        <w:pStyle w:val="ListParagraph"/>
        <w:numPr>
          <w:ilvl w:val="2"/>
          <w:numId w:val="18"/>
        </w:numPr>
        <w:tabs>
          <w:tab w:val="left" w:pos="1651"/>
        </w:tabs>
        <w:spacing w:before="3" w:after="0" w:line="364" w:lineRule="auto"/>
        <w:ind w:left="660" w:right="875" w:firstLine="0"/>
        <w:jc w:val="both"/>
        <w:rPr>
          <w:sz w:val="36"/>
        </w:rPr>
      </w:pPr>
      <w:r>
        <w:rPr>
          <w:spacing w:val="-7"/>
          <w:sz w:val="36"/>
        </w:rPr>
        <w:t xml:space="preserve">中心岛底板每块均采用固定泵布设水平管浇捣，除 </w:t>
      </w:r>
      <w:r>
        <w:rPr>
          <w:sz w:val="36"/>
        </w:rPr>
        <w:t>D</w:t>
      </w:r>
      <w:r>
        <w:rPr>
          <w:spacing w:val="-13"/>
          <w:sz w:val="36"/>
        </w:rPr>
        <w:t xml:space="preserve"> 块采用四台泵车同步浇筑外，其它四块均采用三台泵车同步浇筑；周边底板每块均采用二台汽车泵布</w:t>
      </w:r>
      <w:r>
        <w:rPr>
          <w:sz w:val="36"/>
        </w:rPr>
        <w:t>料管，同时从两端往中间方向浇筑。详见附图—7、—8、—9。</w:t>
      </w:r>
    </w:p>
    <w:p>
      <w:pPr>
        <w:pStyle w:val="ListParagraph"/>
        <w:numPr>
          <w:ilvl w:val="2"/>
          <w:numId w:val="18"/>
        </w:numPr>
        <w:tabs>
          <w:tab w:val="left" w:pos="1651"/>
        </w:tabs>
        <w:spacing w:before="4" w:after="0" w:line="364" w:lineRule="auto"/>
        <w:ind w:left="660" w:right="702" w:firstLine="0"/>
        <w:jc w:val="both"/>
        <w:rPr>
          <w:sz w:val="36"/>
        </w:rPr>
      </w:pPr>
      <w:r>
        <w:rPr>
          <w:spacing w:val="-17"/>
          <w:sz w:val="36"/>
        </w:rPr>
        <w:t xml:space="preserve">底板混凝土采用“斜面分层、自然流淌、连续推进、一次到顶”方法浇筑， </w:t>
      </w:r>
      <w:r>
        <w:rPr>
          <w:spacing w:val="-9"/>
          <w:sz w:val="36"/>
        </w:rPr>
        <w:t xml:space="preserve">每台泵车出料口设置 </w:t>
      </w:r>
      <w:r>
        <w:rPr>
          <w:sz w:val="36"/>
        </w:rPr>
        <w:t>4</w:t>
      </w:r>
      <w:r>
        <w:rPr>
          <w:spacing w:val="-12"/>
          <w:sz w:val="36"/>
        </w:rPr>
        <w:t xml:space="preserve"> 台插入式振动机。</w:t>
      </w:r>
    </w:p>
    <w:p>
      <w:pPr>
        <w:pStyle w:val="ListParagraph"/>
        <w:numPr>
          <w:ilvl w:val="2"/>
          <w:numId w:val="18"/>
        </w:numPr>
        <w:tabs>
          <w:tab w:val="left" w:pos="1651"/>
        </w:tabs>
        <w:spacing w:before="1" w:after="0" w:line="240" w:lineRule="auto"/>
        <w:ind w:left="1650" w:right="0" w:hanging="991"/>
        <w:jc w:val="left"/>
        <w:rPr>
          <w:sz w:val="36"/>
        </w:rPr>
      </w:pPr>
      <w:r>
        <w:rPr>
          <w:sz w:val="36"/>
        </w:rPr>
        <w:t>砼在浇捣过程中不得随意加水，并必须在初凝前浇筑完毕。</w:t>
      </w:r>
    </w:p>
    <w:p>
      <w:pPr>
        <w:pStyle w:val="ListParagraph"/>
        <w:numPr>
          <w:ilvl w:val="2"/>
          <w:numId w:val="18"/>
        </w:numPr>
        <w:tabs>
          <w:tab w:val="left" w:pos="1651"/>
        </w:tabs>
        <w:spacing w:before="241" w:after="0" w:line="364" w:lineRule="auto"/>
        <w:ind w:left="660" w:right="828" w:firstLine="0"/>
        <w:jc w:val="left"/>
        <w:rPr>
          <w:sz w:val="36"/>
        </w:rPr>
      </w:pPr>
      <w:r>
        <w:rPr>
          <w:spacing w:val="-1"/>
          <w:sz w:val="36"/>
        </w:rPr>
        <w:t>砼浇捣时须借用周围市政道路，因此，混凝土浇捣前须至有关部门做好事</w:t>
      </w:r>
      <w:r>
        <w:rPr>
          <w:sz w:val="36"/>
        </w:rPr>
        <w:t>先联系、协调工作。</w:t>
      </w:r>
    </w:p>
    <w:p>
      <w:pPr>
        <w:spacing w:after="0" w:line="364" w:lineRule="auto"/>
        <w:jc w:val="left"/>
        <w:rPr>
          <w:sz w:val="36"/>
        </w:rPr>
        <w:sectPr>
          <w:footerReference w:type="default" r:id="rId8"/>
          <w:pgSz w:w="17860" w:h="25260"/>
          <w:pgMar w:top="1920" w:right="1820" w:bottom="2040" w:left="2040" w:header="0" w:footer="1844"/>
          <w:pgNumType w:start="5"/>
          <w:cols w:space="708"/>
        </w:sectPr>
      </w:pPr>
    </w:p>
    <w:p>
      <w:pPr>
        <w:pStyle w:val="Heading3"/>
        <w:numPr>
          <w:ilvl w:val="1"/>
          <w:numId w:val="18"/>
        </w:numPr>
        <w:tabs>
          <w:tab w:val="left" w:pos="1298"/>
        </w:tabs>
        <w:spacing w:before="32" w:after="0" w:line="240" w:lineRule="auto"/>
        <w:ind w:left="1297" w:right="0" w:hanging="638"/>
        <w:jc w:val="left"/>
      </w:pPr>
      <w:r>
        <w:t>混凝土振捣</w:t>
      </w:r>
    </w:p>
    <w:p>
      <w:pPr>
        <w:pStyle w:val="ListParagraph"/>
        <w:numPr>
          <w:ilvl w:val="2"/>
          <w:numId w:val="18"/>
        </w:numPr>
        <w:tabs>
          <w:tab w:val="left" w:pos="1651"/>
        </w:tabs>
        <w:spacing w:before="241" w:after="0" w:line="240" w:lineRule="auto"/>
        <w:ind w:left="1650" w:right="0" w:hanging="991"/>
        <w:jc w:val="left"/>
        <w:rPr>
          <w:sz w:val="36"/>
        </w:rPr>
      </w:pPr>
      <w:r>
        <w:rPr>
          <w:sz w:val="36"/>
        </w:rPr>
        <w:t>各台泵之间要做好统一调度和协作，使工作面能在同一条水平线上推进。</w:t>
      </w:r>
    </w:p>
    <w:p>
      <w:pPr>
        <w:pStyle w:val="ListParagraph"/>
        <w:numPr>
          <w:ilvl w:val="2"/>
          <w:numId w:val="18"/>
        </w:numPr>
        <w:tabs>
          <w:tab w:val="left" w:pos="1651"/>
        </w:tabs>
        <w:spacing w:before="241" w:after="0" w:line="240" w:lineRule="auto"/>
        <w:ind w:left="1650" w:right="0" w:hanging="991"/>
        <w:jc w:val="both"/>
        <w:rPr>
          <w:sz w:val="36"/>
        </w:rPr>
      </w:pPr>
      <w:r>
        <w:rPr>
          <w:spacing w:val="-9"/>
          <w:sz w:val="36"/>
        </w:rPr>
        <w:t xml:space="preserve">每台泵车出料口设置 </w:t>
      </w:r>
      <w:r>
        <w:rPr>
          <w:sz w:val="36"/>
        </w:rPr>
        <w:t>4</w:t>
      </w:r>
      <w:r>
        <w:rPr>
          <w:spacing w:val="-10"/>
          <w:sz w:val="36"/>
        </w:rPr>
        <w:t xml:space="preserve"> 台插入式振动机，根据浇筑进度振捣密实。</w:t>
      </w:r>
    </w:p>
    <w:p>
      <w:pPr>
        <w:pStyle w:val="ListParagraph"/>
        <w:numPr>
          <w:ilvl w:val="2"/>
          <w:numId w:val="18"/>
        </w:numPr>
        <w:tabs>
          <w:tab w:val="left" w:pos="1651"/>
        </w:tabs>
        <w:spacing w:before="241" w:after="0" w:line="364" w:lineRule="auto"/>
        <w:ind w:left="660" w:right="828" w:firstLine="0"/>
        <w:jc w:val="both"/>
        <w:rPr>
          <w:sz w:val="36"/>
        </w:rPr>
      </w:pPr>
      <w:r>
        <w:rPr>
          <w:spacing w:val="-1"/>
          <w:sz w:val="36"/>
        </w:rPr>
        <w:t>插入式振动棒应垂直插入，振捣时确保快插慢拔，以防孔隙的出现，振动</w:t>
      </w:r>
      <w:r>
        <w:rPr>
          <w:spacing w:val="-10"/>
          <w:sz w:val="36"/>
        </w:rPr>
        <w:t>时间以砼表面浮浆不冒气泡为止，同时应避免引起离析或表面浮浆过分的现象产</w:t>
      </w:r>
      <w:r>
        <w:rPr>
          <w:spacing w:val="-21"/>
          <w:sz w:val="36"/>
        </w:rPr>
        <w:t xml:space="preserve">生，插入间距为 </w:t>
      </w:r>
      <w:r>
        <w:rPr>
          <w:sz w:val="36"/>
        </w:rPr>
        <w:t>300</w:t>
      </w:r>
      <w:r>
        <w:rPr>
          <w:spacing w:val="-71"/>
          <w:sz w:val="36"/>
        </w:rPr>
        <w:t xml:space="preserve"> </w:t>
      </w:r>
      <w:r>
        <w:rPr>
          <w:sz w:val="36"/>
        </w:rPr>
        <w:t>mm,</w:t>
      </w:r>
      <w:r>
        <w:rPr>
          <w:spacing w:val="-6"/>
          <w:sz w:val="36"/>
        </w:rPr>
        <w:t xml:space="preserve">呈梅花状布置，插入深度为进入下层 </w:t>
      </w:r>
      <w:r>
        <w:rPr>
          <w:sz w:val="36"/>
        </w:rPr>
        <w:t>5～10</w:t>
      </w:r>
      <w:r>
        <w:rPr>
          <w:spacing w:val="-72"/>
          <w:sz w:val="36"/>
        </w:rPr>
        <w:t xml:space="preserve"> </w:t>
      </w:r>
      <w:r>
        <w:rPr>
          <w:sz w:val="36"/>
        </w:rPr>
        <w:t>cm，防止交接部位和分层之间出现冷缝或漏振。</w:t>
      </w:r>
    </w:p>
    <w:p>
      <w:pPr>
        <w:pStyle w:val="Heading3"/>
        <w:numPr>
          <w:ilvl w:val="1"/>
          <w:numId w:val="18"/>
        </w:numPr>
        <w:tabs>
          <w:tab w:val="left" w:pos="1298"/>
        </w:tabs>
        <w:spacing w:before="3" w:after="0" w:line="240" w:lineRule="auto"/>
        <w:ind w:left="1297" w:right="0" w:hanging="638"/>
        <w:jc w:val="both"/>
      </w:pPr>
      <w:r>
        <w:t>混凝土的泌水处理</w:t>
      </w:r>
    </w:p>
    <w:p>
      <w:pPr>
        <w:pStyle w:val="BodyText"/>
        <w:spacing w:before="242" w:line="364" w:lineRule="auto"/>
        <w:ind w:left="660" w:right="700" w:firstLine="719"/>
      </w:pPr>
      <w:r>
        <w:rPr>
          <w:spacing w:val="-9"/>
        </w:rPr>
        <w:t>在纵向与顶端侧模底部开孔，将泌水顺砼浇筑方向排至坑外。当砼浇筑至顶</w:t>
      </w:r>
      <w:r>
        <w:rPr>
          <w:spacing w:val="-21"/>
        </w:rPr>
        <w:t xml:space="preserve">端模板时，可改变砼浇筑方向，即从顶端往回浇筑，与原斜坡相交成一个集水坑， </w:t>
      </w:r>
      <w:r>
        <w:t>采用小型吸水泵将所有泌水抽出。</w:t>
      </w:r>
    </w:p>
    <w:p>
      <w:pPr>
        <w:pStyle w:val="Heading3"/>
        <w:numPr>
          <w:ilvl w:val="1"/>
          <w:numId w:val="18"/>
        </w:numPr>
        <w:tabs>
          <w:tab w:val="left" w:pos="1298"/>
        </w:tabs>
        <w:spacing w:before="2" w:after="0" w:line="240" w:lineRule="auto"/>
        <w:ind w:left="1297" w:right="0" w:hanging="638"/>
        <w:jc w:val="left"/>
      </w:pPr>
      <w:r>
        <w:t>混凝土的表面处理</w:t>
      </w:r>
    </w:p>
    <w:p>
      <w:pPr>
        <w:pStyle w:val="BodyText"/>
        <w:spacing w:before="241" w:line="364" w:lineRule="auto"/>
        <w:ind w:left="660" w:right="876" w:firstLine="719"/>
        <w:jc w:val="both"/>
      </w:pPr>
      <w:r>
        <w:rPr>
          <w:spacing w:val="-9"/>
        </w:rPr>
        <w:t xml:space="preserve">在底板砼浇筑后 </w:t>
      </w:r>
      <w:r>
        <w:t>2～3</w:t>
      </w:r>
      <w:r>
        <w:rPr>
          <w:spacing w:val="-10"/>
        </w:rPr>
        <w:t xml:space="preserve"> 小时左右，初步按标高用长刮尺挂平。在砼初凝前， </w:t>
      </w:r>
      <w:r>
        <w:t>用铁滚筒反复纵横滚压二～</w:t>
      </w:r>
      <w:r>
        <w:rPr>
          <w:spacing w:val="-13"/>
        </w:rPr>
        <w:t>三次，用木蟹打磨，待砼收水后再次用木蟹进行打磨</w:t>
      </w:r>
      <w:r>
        <w:t>压实，以闭合收水裂缝。</w:t>
      </w:r>
    </w:p>
    <w:p>
      <w:pPr>
        <w:pStyle w:val="Heading3"/>
        <w:numPr>
          <w:ilvl w:val="1"/>
          <w:numId w:val="18"/>
        </w:numPr>
        <w:tabs>
          <w:tab w:val="left" w:pos="1298"/>
        </w:tabs>
        <w:spacing w:before="0" w:after="0" w:line="345" w:lineRule="exact"/>
        <w:ind w:left="1297" w:right="0" w:hanging="638"/>
        <w:jc w:val="left"/>
      </w:pPr>
      <w:r>
        <w:t>混凝土养护</w:t>
      </w:r>
    </w:p>
    <w:p>
      <w:pPr>
        <w:pStyle w:val="BodyText"/>
        <w:spacing w:before="11"/>
        <w:rPr>
          <w:b/>
          <w:sz w:val="27"/>
        </w:rPr>
      </w:pPr>
    </w:p>
    <w:p>
      <w:pPr>
        <w:pStyle w:val="BodyText"/>
        <w:spacing w:line="364" w:lineRule="auto"/>
        <w:ind w:left="660" w:right="825" w:firstLine="719"/>
        <w:jc w:val="both"/>
      </w:pPr>
      <w:r>
        <w:rPr>
          <w:spacing w:val="-5"/>
        </w:rPr>
        <w:t xml:space="preserve">一般情况下将大体积混凝土的内表温差限定在 </w:t>
      </w:r>
      <w:r>
        <w:t>25</w:t>
      </w:r>
      <w:r>
        <w:rPr>
          <w:spacing w:val="-2"/>
        </w:rPr>
        <w:t xml:space="preserve"> ℃以内。因此，砼浇捣完</w:t>
      </w:r>
      <w:r>
        <w:rPr>
          <w:spacing w:val="-3"/>
        </w:rPr>
        <w:t xml:space="preserve">成后，及时在砼表面做好保湿、保温工作，在浇注混凝土 </w:t>
      </w:r>
      <w:r>
        <w:t>12～14 h</w:t>
      </w:r>
      <w:r>
        <w:rPr>
          <w:spacing w:val="-13"/>
        </w:rPr>
        <w:t xml:space="preserve"> 后用两层塑料薄膜上盖一层草包养护，具体视测温数据与天气情况调整。</w:t>
      </w:r>
    </w:p>
    <w:p>
      <w:pPr>
        <w:pStyle w:val="Heading3"/>
        <w:numPr>
          <w:ilvl w:val="1"/>
          <w:numId w:val="18"/>
        </w:numPr>
        <w:tabs>
          <w:tab w:val="left" w:pos="1298"/>
        </w:tabs>
        <w:spacing w:before="2" w:after="0" w:line="240" w:lineRule="auto"/>
        <w:ind w:left="1297" w:right="0" w:hanging="638"/>
        <w:jc w:val="both"/>
      </w:pPr>
      <w:r>
        <w:t>混凝土试块制作和坍落度测定</w:t>
      </w:r>
    </w:p>
    <w:p>
      <w:pPr>
        <w:pStyle w:val="ListParagraph"/>
        <w:numPr>
          <w:ilvl w:val="2"/>
          <w:numId w:val="18"/>
        </w:numPr>
        <w:tabs>
          <w:tab w:val="left" w:pos="1651"/>
        </w:tabs>
        <w:spacing w:before="241" w:after="0" w:line="364" w:lineRule="auto"/>
        <w:ind w:left="660" w:right="828" w:firstLine="0"/>
        <w:jc w:val="both"/>
        <w:rPr>
          <w:sz w:val="36"/>
        </w:rPr>
      </w:pPr>
      <w:r>
        <w:rPr>
          <w:spacing w:val="-1"/>
          <w:sz w:val="36"/>
        </w:rPr>
        <w:t>底板混凝土标养试块按《混凝土结构工程施工质量验收规范》与《地下防</w:t>
      </w:r>
      <w:r>
        <w:rPr>
          <w:spacing w:val="1"/>
          <w:sz w:val="36"/>
        </w:rPr>
        <w:t xml:space="preserve">水工程施工质量验收规范》要求制作适量的砼试块：抗压试块每 </w:t>
      </w:r>
      <w:r>
        <w:rPr>
          <w:sz w:val="36"/>
        </w:rPr>
        <w:t>200</w:t>
      </w:r>
      <w:r>
        <w:rPr>
          <w:spacing w:val="1"/>
          <w:sz w:val="36"/>
        </w:rPr>
        <w:t xml:space="preserve"> </w:t>
      </w:r>
      <w:r>
        <w:rPr>
          <w:sz w:val="36"/>
        </w:rPr>
        <w:t>m</w:t>
      </w:r>
      <w:r>
        <w:rPr>
          <w:position w:val="3"/>
          <w:sz w:val="18"/>
        </w:rPr>
        <w:t>3</w:t>
      </w:r>
      <w:r>
        <w:rPr>
          <w:spacing w:val="1"/>
          <w:position w:val="3"/>
          <w:sz w:val="18"/>
        </w:rPr>
        <w:t xml:space="preserve"> </w:t>
      </w:r>
      <w:r>
        <w:rPr>
          <w:sz w:val="36"/>
        </w:rPr>
        <w:t>取一组试块，抗渗试块每 500</w:t>
      </w:r>
      <w:r>
        <w:rPr>
          <w:spacing w:val="1"/>
          <w:sz w:val="36"/>
        </w:rPr>
        <w:t xml:space="preserve"> </w:t>
      </w:r>
      <w:r>
        <w:rPr>
          <w:sz w:val="36"/>
        </w:rPr>
        <w:t>m</w:t>
      </w:r>
      <w:r>
        <w:rPr>
          <w:position w:val="3"/>
          <w:sz w:val="18"/>
        </w:rPr>
        <w:t xml:space="preserve">3 </w:t>
      </w:r>
      <w:r>
        <w:rPr>
          <w:sz w:val="36"/>
        </w:rPr>
        <w:t>取一组试块。试块制作完成后应送入试验室进行标准养护，现场养护室必须符合上海市建设工程现场标准养护室管理规定。</w:t>
      </w:r>
    </w:p>
    <w:p>
      <w:pPr>
        <w:pStyle w:val="ListParagraph"/>
        <w:numPr>
          <w:ilvl w:val="2"/>
          <w:numId w:val="18"/>
        </w:numPr>
        <w:tabs>
          <w:tab w:val="left" w:pos="1651"/>
        </w:tabs>
        <w:spacing w:before="5" w:after="0" w:line="364" w:lineRule="auto"/>
        <w:ind w:left="660" w:right="876" w:firstLine="0"/>
        <w:jc w:val="both"/>
        <w:rPr>
          <w:sz w:val="36"/>
        </w:rPr>
      </w:pPr>
      <w:r>
        <w:rPr>
          <w:spacing w:val="-4"/>
          <w:sz w:val="36"/>
        </w:rPr>
        <w:t>同条件等效养护试块按每施工块二组留置，取样应根据选定的结构部位浇</w:t>
      </w:r>
      <w:r>
        <w:rPr>
          <w:spacing w:val="-14"/>
          <w:sz w:val="36"/>
        </w:rPr>
        <w:t>筑地点制作。试件拆模后，放入钢筋笼，并置于所选结构部位的适当位置同条件</w:t>
      </w:r>
      <w:r>
        <w:rPr>
          <w:sz w:val="36"/>
        </w:rPr>
        <w:t>养护。在达到等效养护龄期</w:t>
      </w:r>
      <w:r>
        <w:rPr>
          <w:spacing w:val="2"/>
          <w:sz w:val="36"/>
        </w:rPr>
        <w:t>（600</w:t>
      </w:r>
      <w:r>
        <w:rPr>
          <w:spacing w:val="8"/>
          <w:sz w:val="36"/>
        </w:rPr>
        <w:t xml:space="preserve"> </w:t>
      </w:r>
      <w:r>
        <w:rPr>
          <w:sz w:val="36"/>
        </w:rPr>
        <w:t>℃·d）时，方可对同条件养护试块进行抗压强度试验。</w:t>
      </w:r>
    </w:p>
    <w:p>
      <w:pPr>
        <w:pStyle w:val="ListParagraph"/>
        <w:numPr>
          <w:ilvl w:val="2"/>
          <w:numId w:val="18"/>
        </w:numPr>
        <w:tabs>
          <w:tab w:val="left" w:pos="1651"/>
        </w:tabs>
        <w:spacing w:before="0" w:after="0" w:line="346" w:lineRule="exact"/>
        <w:ind w:left="1650" w:right="0" w:hanging="991"/>
        <w:jc w:val="left"/>
        <w:rPr>
          <w:sz w:val="36"/>
        </w:rPr>
      </w:pPr>
      <w:r>
        <w:rPr>
          <w:sz w:val="36"/>
        </w:rPr>
        <w:t>混凝土坍落度按每台泵车每三小时测定一次。</w:t>
      </w:r>
    </w:p>
    <w:p>
      <w:pPr>
        <w:spacing w:after="0" w:line="346" w:lineRule="exact"/>
        <w:jc w:val="left"/>
        <w:rPr>
          <w:sz w:val="36"/>
        </w:rPr>
        <w:sectPr>
          <w:footerReference w:type="default" r:id="rId9"/>
          <w:pgSz w:w="17860" w:h="25260"/>
          <w:pgMar w:top="1920" w:right="1820" w:bottom="2040" w:left="2040" w:header="0" w:footer="1844"/>
          <w:pgNumType w:start="6"/>
          <w:cols w:space="708"/>
        </w:sectPr>
      </w:pPr>
    </w:p>
    <w:p>
      <w:pPr>
        <w:pStyle w:val="Heading2"/>
        <w:spacing w:before="9"/>
      </w:pPr>
      <w:r>
        <w:t>4、砼裂缝控制技术</w:t>
      </w:r>
    </w:p>
    <w:p>
      <w:pPr>
        <w:pStyle w:val="Heading3"/>
        <w:numPr>
          <w:ilvl w:val="1"/>
          <w:numId w:val="17"/>
        </w:numPr>
        <w:tabs>
          <w:tab w:val="left" w:pos="1298"/>
        </w:tabs>
        <w:spacing w:before="265" w:after="0" w:line="240" w:lineRule="auto"/>
        <w:ind w:left="1297" w:right="0" w:hanging="638"/>
        <w:jc w:val="both"/>
      </w:pPr>
      <w:r>
        <w:t>选用中低热的水泥品种</w:t>
      </w:r>
    </w:p>
    <w:p>
      <w:pPr>
        <w:pStyle w:val="BodyText"/>
        <w:spacing w:before="1"/>
        <w:rPr>
          <w:b/>
          <w:sz w:val="28"/>
        </w:rPr>
      </w:pPr>
    </w:p>
    <w:p>
      <w:pPr>
        <w:pStyle w:val="BodyText"/>
        <w:spacing w:line="364" w:lineRule="auto"/>
        <w:ind w:left="660" w:right="699" w:firstLine="719"/>
        <w:jc w:val="both"/>
      </w:pPr>
      <w:r>
        <w:t xml:space="preserve">混凝土升温的热源是水泥水化热，选用中低热的水泥品种，可减少水化热， </w:t>
      </w:r>
      <w:r>
        <w:rPr>
          <w:spacing w:val="-20"/>
        </w:rPr>
        <w:t>使混凝土减少升温。为此，施工大体积混凝土结构优先使用</w:t>
      </w:r>
      <w:r>
        <w:rPr>
          <w:position w:val="3"/>
          <w:sz w:val="18"/>
        </w:rPr>
        <w:t>#</w:t>
      </w:r>
      <w:r>
        <w:t>425</w:t>
      </w:r>
      <w:r>
        <w:rPr>
          <w:spacing w:val="-14"/>
        </w:rPr>
        <w:t xml:space="preserve"> 矿渣硅酸盐水泥。</w:t>
      </w:r>
      <w:r>
        <w:rPr>
          <w:position w:val="3"/>
          <w:sz w:val="18"/>
        </w:rPr>
        <w:t>#</w:t>
      </w:r>
      <w:r>
        <w:t>425</w:t>
      </w:r>
      <w:r>
        <w:rPr>
          <w:spacing w:val="-21"/>
        </w:rPr>
        <w:t xml:space="preserve"> 矿渣硅酸盐水泥其 </w:t>
      </w:r>
      <w:r>
        <w:t>3 d</w:t>
      </w:r>
      <w:r>
        <w:rPr>
          <w:spacing w:val="-30"/>
        </w:rPr>
        <w:t xml:space="preserve"> 的水化热为 </w:t>
      </w:r>
      <w:r>
        <w:t xml:space="preserve">180 </w:t>
      </w:r>
      <w:r>
        <w:rPr>
          <w:spacing w:val="-5"/>
        </w:rPr>
        <w:t>KJ/Kg</w:t>
      </w:r>
      <w:r>
        <w:rPr>
          <w:spacing w:val="-3"/>
        </w:rPr>
        <w:t>，而</w:t>
      </w:r>
      <w:r>
        <w:rPr>
          <w:position w:val="3"/>
          <w:sz w:val="18"/>
        </w:rPr>
        <w:t>#</w:t>
      </w:r>
      <w:r>
        <w:t>425</w:t>
      </w:r>
      <w:r>
        <w:rPr>
          <w:spacing w:val="-11"/>
        </w:rPr>
        <w:t xml:space="preserve"> 普通硅酸盐水泥则为</w:t>
      </w:r>
    </w:p>
    <w:p>
      <w:pPr>
        <w:pStyle w:val="BodyText"/>
        <w:spacing w:before="3"/>
        <w:ind w:left="660"/>
        <w:jc w:val="both"/>
      </w:pPr>
      <w:r>
        <w:t>250 KJ/Kg，水化热量减少 28 %。</w:t>
      </w:r>
    </w:p>
    <w:p>
      <w:pPr>
        <w:pStyle w:val="Heading3"/>
        <w:numPr>
          <w:ilvl w:val="1"/>
          <w:numId w:val="17"/>
        </w:numPr>
        <w:tabs>
          <w:tab w:val="left" w:pos="1298"/>
        </w:tabs>
        <w:spacing w:before="122" w:after="0" w:line="240" w:lineRule="auto"/>
        <w:ind w:left="1297" w:right="0" w:hanging="638"/>
        <w:jc w:val="both"/>
      </w:pPr>
      <w:r>
        <w:t>利用混凝土的后期强度</w:t>
      </w:r>
    </w:p>
    <w:p>
      <w:pPr>
        <w:pStyle w:val="BodyText"/>
        <w:spacing w:before="10"/>
        <w:rPr>
          <w:b/>
          <w:sz w:val="27"/>
        </w:rPr>
      </w:pPr>
    </w:p>
    <w:p>
      <w:pPr>
        <w:pStyle w:val="BodyText"/>
        <w:spacing w:line="364" w:lineRule="auto"/>
        <w:ind w:left="660" w:right="827" w:firstLine="719"/>
        <w:jc w:val="both"/>
      </w:pPr>
      <w:r>
        <w:rPr>
          <w:spacing w:val="1"/>
        </w:rPr>
        <w:t xml:space="preserve">试验数据证明，每立方米的混凝土水泥用量，每增减 </w:t>
      </w:r>
      <w:r>
        <w:t>10Kg，水泥水化热将</w:t>
      </w:r>
      <w:r>
        <w:rPr>
          <w:spacing w:val="-8"/>
        </w:rPr>
        <w:t xml:space="preserve">使混凝土的温度相应升降 </w:t>
      </w:r>
      <w:r>
        <w:t>1℃</w:t>
      </w:r>
      <w:r>
        <w:rPr>
          <w:spacing w:val="-1"/>
        </w:rPr>
        <w:t>。因此，为控制混凝土温升，降低温度应力，减少</w:t>
      </w:r>
      <w:r>
        <w:rPr>
          <w:spacing w:val="-10"/>
        </w:rPr>
        <w:t>产生温度裂缝的可能性，可根据结构实际承受荷载情况，对结构的刚度和强度进</w:t>
      </w:r>
      <w:r>
        <w:rPr>
          <w:spacing w:val="-20"/>
        </w:rPr>
        <w:t xml:space="preserve">行复算并取得设计和质量检查部门的认可后，可采用 </w:t>
      </w:r>
      <w:r>
        <w:t>R60</w:t>
      </w:r>
      <w:r>
        <w:rPr>
          <w:spacing w:val="-45"/>
        </w:rPr>
        <w:t xml:space="preserve"> 替代 </w:t>
      </w:r>
      <w:r>
        <w:t>R28</w:t>
      </w:r>
      <w:r>
        <w:rPr>
          <w:spacing w:val="-14"/>
        </w:rPr>
        <w:t xml:space="preserve"> 作为混凝土设</w:t>
      </w:r>
      <w:r>
        <w:rPr>
          <w:spacing w:val="-13"/>
        </w:rPr>
        <w:t xml:space="preserve">计强度，这样可使每立方米混凝土的水泥用量减少 </w:t>
      </w:r>
      <w:r>
        <w:t>40～70 Kg/m</w:t>
      </w:r>
      <w:r>
        <w:rPr>
          <w:position w:val="3"/>
          <w:sz w:val="18"/>
        </w:rPr>
        <w:t xml:space="preserve">3 </w:t>
      </w:r>
      <w:r>
        <w:t>左右，混凝土</w:t>
      </w:r>
      <w:r>
        <w:rPr>
          <w:spacing w:val="-9"/>
        </w:rPr>
        <w:t xml:space="preserve">的水化热温升相应减少 </w:t>
      </w:r>
      <w:r>
        <w:t>4～7 ℃。</w:t>
      </w:r>
    </w:p>
    <w:p>
      <w:pPr>
        <w:pStyle w:val="Heading3"/>
        <w:numPr>
          <w:ilvl w:val="1"/>
          <w:numId w:val="17"/>
        </w:numPr>
        <w:tabs>
          <w:tab w:val="left" w:pos="1298"/>
        </w:tabs>
        <w:spacing w:before="0" w:after="0" w:line="349" w:lineRule="exact"/>
        <w:ind w:left="1297" w:right="0" w:hanging="638"/>
        <w:jc w:val="both"/>
      </w:pPr>
      <w:r>
        <w:t>掺加减水剂</w:t>
      </w:r>
    </w:p>
    <w:p>
      <w:pPr>
        <w:pStyle w:val="BodyText"/>
        <w:spacing w:before="1"/>
        <w:rPr>
          <w:b/>
          <w:sz w:val="28"/>
        </w:rPr>
      </w:pPr>
    </w:p>
    <w:p>
      <w:pPr>
        <w:pStyle w:val="BodyText"/>
        <w:spacing w:line="364" w:lineRule="auto"/>
        <w:ind w:left="660" w:right="881" w:firstLine="719"/>
        <w:jc w:val="both"/>
      </w:pPr>
      <w:r>
        <w:rPr>
          <w:spacing w:val="-9"/>
        </w:rPr>
        <w:t>木质素磺酸钙属阴离子表面活性剂，对水泥颗粒有明显的分散效应，并能使</w:t>
      </w:r>
      <w:r>
        <w:rPr>
          <w:spacing w:val="1"/>
        </w:rPr>
        <w:t xml:space="preserve">水的表面张力降低而引起加气作用。因此，在混凝土中掺入水泥重量 </w:t>
      </w:r>
      <w:r>
        <w:t>0.25</w:t>
      </w:r>
      <w:r>
        <w:rPr>
          <w:spacing w:val="-6"/>
        </w:rPr>
        <w:t xml:space="preserve"> %的</w:t>
      </w:r>
      <w:r>
        <w:rPr>
          <w:spacing w:val="-9"/>
        </w:rPr>
        <w:t>木钙减水剂(即木质素磺酸钙)，它不仅能使混凝土和易性有明显的改善，同时又</w:t>
      </w:r>
      <w:r>
        <w:rPr>
          <w:spacing w:val="-23"/>
        </w:rPr>
        <w:t xml:space="preserve">减少了 </w:t>
      </w:r>
      <w:r>
        <w:t>10</w:t>
      </w:r>
      <w:r>
        <w:rPr>
          <w:spacing w:val="-8"/>
        </w:rPr>
        <w:t xml:space="preserve"> %左右的拌合水，节约 </w:t>
      </w:r>
      <w:r>
        <w:t>10 %左右的水泥，从而降低了水化热。</w:t>
      </w:r>
    </w:p>
    <w:p>
      <w:pPr>
        <w:pStyle w:val="Heading3"/>
        <w:numPr>
          <w:ilvl w:val="1"/>
          <w:numId w:val="17"/>
        </w:numPr>
        <w:tabs>
          <w:tab w:val="left" w:pos="1298"/>
        </w:tabs>
        <w:spacing w:before="0" w:after="0" w:line="347" w:lineRule="exact"/>
        <w:ind w:left="1297" w:right="0" w:hanging="638"/>
        <w:jc w:val="both"/>
      </w:pPr>
      <w:r>
        <w:t>掺加粉煤灰外掺料</w:t>
      </w:r>
    </w:p>
    <w:p>
      <w:pPr>
        <w:pStyle w:val="BodyText"/>
        <w:spacing w:before="237" w:line="364" w:lineRule="auto"/>
        <w:ind w:left="660" w:right="695" w:firstLine="719"/>
        <w:jc w:val="both"/>
      </w:pPr>
      <w:r>
        <w:rPr>
          <w:spacing w:val="-21"/>
        </w:rPr>
        <w:t xml:space="preserve">试验资料表明，在混凝土内掺入一定数量的粉煤灰，由于粉煤具有一定活性， </w:t>
      </w:r>
      <w:r>
        <w:t xml:space="preserve">不但可代替部分水泥，而且粉煤灰颗粒球形，具有“滚珠效应”而起润滑作用， </w:t>
      </w:r>
      <w:r>
        <w:rPr>
          <w:spacing w:val="-9"/>
        </w:rPr>
        <w:t xml:space="preserve">能改善混凝土的粘塑性，并可增加泵送混凝土要求的 </w:t>
      </w:r>
      <w:r>
        <w:t>0.315</w:t>
      </w:r>
      <w:r>
        <w:rPr>
          <w:spacing w:val="-90"/>
        </w:rPr>
        <w:t xml:space="preserve"> </w:t>
      </w:r>
      <w:r>
        <w:t>mm</w:t>
      </w:r>
      <w:r>
        <w:rPr>
          <w:spacing w:val="-14"/>
        </w:rPr>
        <w:t xml:space="preserve"> 以下细粒的含量， </w:t>
      </w:r>
      <w:r>
        <w:t>改善混凝土可泵性，降低混凝土的水化热。</w:t>
      </w:r>
    </w:p>
    <w:p>
      <w:pPr>
        <w:pStyle w:val="Heading3"/>
        <w:numPr>
          <w:ilvl w:val="1"/>
          <w:numId w:val="17"/>
        </w:numPr>
        <w:tabs>
          <w:tab w:val="left" w:pos="1298"/>
        </w:tabs>
        <w:spacing w:before="0" w:after="0" w:line="459" w:lineRule="exact"/>
        <w:ind w:left="1297" w:right="0" w:hanging="638"/>
        <w:jc w:val="both"/>
      </w:pPr>
      <w:r>
        <w:t>粗细骨料选择</w:t>
      </w:r>
    </w:p>
    <w:p>
      <w:pPr>
        <w:pStyle w:val="BodyText"/>
        <w:spacing w:before="1"/>
        <w:rPr>
          <w:b/>
          <w:sz w:val="28"/>
        </w:rPr>
      </w:pPr>
    </w:p>
    <w:p>
      <w:pPr>
        <w:pStyle w:val="BodyText"/>
        <w:spacing w:line="364" w:lineRule="auto"/>
        <w:ind w:left="660" w:right="736" w:firstLine="719"/>
      </w:pPr>
      <w:r>
        <w:rPr>
          <w:spacing w:val="-8"/>
        </w:rPr>
        <w:t>宜采用以自然连续级配的粗骨料配制混凝土。在石子规格上尽量选用粒径较</w:t>
      </w:r>
      <w:r>
        <w:rPr>
          <w:spacing w:val="-9"/>
        </w:rPr>
        <w:t>大、级配良好的石子。因为增大骨料粒径，可减少用水量，而使混凝土的收缩和</w:t>
      </w:r>
      <w:r>
        <w:rPr>
          <w:spacing w:val="-12"/>
        </w:rPr>
        <w:t>泌水随之减少。同时亦可减少水泥用量，从而使水泥的水化热减小，最终降低了混凝土的温升。</w:t>
      </w:r>
    </w:p>
    <w:p>
      <w:pPr>
        <w:pStyle w:val="BodyText"/>
        <w:spacing w:before="3"/>
        <w:ind w:left="1380"/>
      </w:pPr>
      <w:r>
        <w:t>细骨料以采用中、粗砂为宜，可减少用水量及水泥用量，从而就降低了混凝</w:t>
      </w:r>
    </w:p>
    <w:p>
      <w:pPr>
        <w:spacing w:after="0"/>
        <w:sectPr>
          <w:footerReference w:type="default" r:id="rId10"/>
          <w:pgSz w:w="17860" w:h="25260"/>
          <w:pgMar w:top="1880" w:right="1820" w:bottom="2040" w:left="2040" w:header="0" w:footer="1844"/>
          <w:pgNumType w:start="7"/>
          <w:cols w:space="708"/>
        </w:sectPr>
      </w:pPr>
    </w:p>
    <w:p>
      <w:pPr>
        <w:pStyle w:val="BodyText"/>
        <w:spacing w:before="32"/>
        <w:ind w:left="660"/>
      </w:pPr>
      <w:r>
        <w:t>土的温升和减小了混凝土的收缩。</w:t>
      </w:r>
    </w:p>
    <w:p>
      <w:pPr>
        <w:pStyle w:val="BodyText"/>
      </w:pPr>
    </w:p>
    <w:p>
      <w:pPr>
        <w:pStyle w:val="BodyText"/>
        <w:spacing w:before="8"/>
        <w:rPr>
          <w:sz w:val="32"/>
        </w:rPr>
      </w:pPr>
    </w:p>
    <w:p>
      <w:pPr>
        <w:pStyle w:val="Heading2"/>
      </w:pPr>
      <w:r>
        <w:t>5、测温控温方案</w:t>
      </w:r>
    </w:p>
    <w:p>
      <w:pPr>
        <w:pStyle w:val="Heading3"/>
        <w:spacing w:before="385"/>
        <w:ind w:left="660" w:firstLine="0"/>
      </w:pPr>
      <w:r>
        <w:t>5.1 编制说明</w:t>
      </w:r>
    </w:p>
    <w:p>
      <w:pPr>
        <w:pStyle w:val="BodyText"/>
        <w:spacing w:before="241"/>
        <w:ind w:left="1470"/>
      </w:pPr>
      <w:r>
        <w:t>*****1-5 号楼主楼地下室底板混凝土厚为 1.8m，电梯井集水井处分别厚达</w:t>
      </w:r>
    </w:p>
    <w:p>
      <w:pPr>
        <w:pStyle w:val="BodyText"/>
        <w:spacing w:before="240" w:line="364" w:lineRule="auto"/>
        <w:ind w:left="660" w:right="698"/>
      </w:pPr>
      <w:r>
        <w:t>5.0</w:t>
      </w:r>
      <w:r>
        <w:rPr>
          <w:spacing w:val="-91"/>
        </w:rPr>
        <w:t xml:space="preserve"> </w:t>
      </w:r>
      <w:r>
        <w:t>m</w:t>
      </w:r>
      <w:r>
        <w:rPr>
          <w:spacing w:val="-126"/>
        </w:rPr>
        <w:t>、</w:t>
      </w:r>
      <w:r>
        <w:t>4.0</w:t>
      </w:r>
      <w:r>
        <w:rPr>
          <w:spacing w:val="-89"/>
        </w:rPr>
        <w:t xml:space="preserve"> </w:t>
      </w:r>
      <w:r>
        <w:t>m</w:t>
      </w:r>
      <w:r>
        <w:rPr>
          <w:spacing w:val="-23"/>
        </w:rPr>
        <w:t xml:space="preserve"> 不等。混凝土均采用商品泵送混凝土，设计强度等级为 </w:t>
      </w:r>
      <w:r>
        <w:t>C30S6</w:t>
      </w:r>
      <w:r>
        <w:rPr>
          <w:spacing w:val="-63"/>
        </w:rPr>
        <w:t xml:space="preserve">、 </w:t>
      </w:r>
      <w:r>
        <w:rPr>
          <w:spacing w:val="-4"/>
        </w:rPr>
        <w:t xml:space="preserve">R60， </w:t>
      </w:r>
      <w:r>
        <w:t>属大体积混凝土结构。</w:t>
      </w:r>
    </w:p>
    <w:p>
      <w:pPr>
        <w:pStyle w:val="BodyText"/>
        <w:spacing w:before="2" w:line="364" w:lineRule="auto"/>
        <w:ind w:left="660" w:right="876" w:firstLine="809"/>
      </w:pPr>
      <w:r>
        <w:t>大体积混凝土因其内部的水泥水化热引起温度及温度应力变化，易产生结</w:t>
      </w:r>
      <w:r>
        <w:rPr>
          <w:spacing w:val="-12"/>
        </w:rPr>
        <w:t>构裂缝。控制混凝土温差裂缝是在大体积混凝土工程中非常必要的。一般情况下</w:t>
      </w:r>
      <w:r>
        <w:rPr>
          <w:spacing w:val="-6"/>
        </w:rPr>
        <w:t xml:space="preserve">将大体积混凝土的内表温差限定在 </w:t>
      </w:r>
      <w:r>
        <w:t>25</w:t>
      </w:r>
      <w:r>
        <w:rPr>
          <w:spacing w:val="-9"/>
        </w:rPr>
        <w:t xml:space="preserve"> ℃以内。为掌握基础内部实际温度变化情</w:t>
      </w:r>
      <w:r>
        <w:rPr>
          <w:spacing w:val="-13"/>
        </w:rPr>
        <w:t>况，防止内外温差超限值而产生收缩裂缝。因此对中心岛主楼地下室底板内外部</w:t>
      </w:r>
      <w:r>
        <w:t>位进行测温记录，密切监视温差波动，以指导施工时对混凝土的养护工作。</w:t>
      </w:r>
    </w:p>
    <w:p>
      <w:pPr>
        <w:pStyle w:val="Heading3"/>
        <w:numPr>
          <w:ilvl w:val="1"/>
          <w:numId w:val="16"/>
        </w:numPr>
        <w:tabs>
          <w:tab w:val="left" w:pos="1298"/>
        </w:tabs>
        <w:spacing w:before="5" w:after="0" w:line="240" w:lineRule="auto"/>
        <w:ind w:left="1297" w:right="0" w:hanging="638"/>
        <w:jc w:val="left"/>
      </w:pPr>
      <w:r>
        <w:t>测温方法</w:t>
      </w:r>
    </w:p>
    <w:p>
      <w:pPr>
        <w:pStyle w:val="ListParagraph"/>
        <w:numPr>
          <w:ilvl w:val="2"/>
          <w:numId w:val="16"/>
        </w:numPr>
        <w:tabs>
          <w:tab w:val="left" w:pos="1651"/>
        </w:tabs>
        <w:spacing w:before="241" w:after="0" w:line="240" w:lineRule="auto"/>
        <w:ind w:left="1650" w:right="0" w:hanging="991"/>
        <w:jc w:val="left"/>
        <w:rPr>
          <w:sz w:val="36"/>
        </w:rPr>
      </w:pPr>
      <w:r>
        <w:rPr>
          <w:sz w:val="36"/>
        </w:rPr>
        <w:t>测温仪器</w:t>
      </w:r>
    </w:p>
    <w:p>
      <w:pPr>
        <w:pStyle w:val="BodyText"/>
        <w:spacing w:before="241" w:line="364" w:lineRule="auto"/>
        <w:ind w:left="660" w:right="877" w:firstLine="809"/>
      </w:pPr>
      <w:r>
        <w:t>温设备采用大体积混凝土多点温度微机测量系统，传感器采用进口高精度</w:t>
      </w:r>
      <w:r>
        <w:rPr>
          <w:spacing w:val="-11"/>
        </w:rPr>
        <w:t>集成电路作感温元件，它具有抗干扰性强，精度高，离散性小及可靠性高等诸多</w:t>
      </w:r>
      <w:r>
        <w:t>特性，经老化筛选处理后用金属套管密封保护，经标定后使用。</w:t>
      </w:r>
    </w:p>
    <w:p>
      <w:pPr>
        <w:pStyle w:val="ListParagraph"/>
        <w:numPr>
          <w:ilvl w:val="2"/>
          <w:numId w:val="16"/>
        </w:numPr>
        <w:tabs>
          <w:tab w:val="left" w:pos="1651"/>
        </w:tabs>
        <w:spacing w:before="3" w:after="0" w:line="240" w:lineRule="auto"/>
        <w:ind w:left="1650" w:right="0" w:hanging="991"/>
        <w:jc w:val="left"/>
        <w:rPr>
          <w:sz w:val="36"/>
        </w:rPr>
      </w:pPr>
      <w:r>
        <w:rPr>
          <w:sz w:val="36"/>
        </w:rPr>
        <w:t>测点布置</w:t>
      </w:r>
    </w:p>
    <w:p>
      <w:pPr>
        <w:pStyle w:val="BodyText"/>
        <w:spacing w:before="241" w:line="364" w:lineRule="auto"/>
        <w:ind w:left="660" w:right="840" w:firstLine="809"/>
        <w:jc w:val="both"/>
      </w:pPr>
      <w:r>
        <w:t>1-5</w:t>
      </w:r>
      <w:r>
        <w:rPr>
          <w:spacing w:val="-10"/>
        </w:rPr>
        <w:t xml:space="preserve"> 号楼基础底板混凝土温度测点布置见附图—</w:t>
      </w:r>
      <w:r>
        <w:t>10</w:t>
      </w:r>
      <w:r>
        <w:rPr>
          <w:spacing w:val="-6"/>
        </w:rPr>
        <w:t>、—</w:t>
      </w:r>
      <w:r>
        <w:rPr>
          <w:spacing w:val="-12"/>
        </w:rPr>
        <w:t>11</w:t>
      </w:r>
      <w:r>
        <w:rPr>
          <w:spacing w:val="-6"/>
        </w:rPr>
        <w:t>、—</w:t>
      </w:r>
      <w:r>
        <w:rPr>
          <w:spacing w:val="-12"/>
        </w:rPr>
        <w:t>12</w:t>
      </w:r>
      <w:r>
        <w:rPr>
          <w:spacing w:val="-6"/>
        </w:rPr>
        <w:t>、—</w:t>
      </w:r>
      <w:r>
        <w:rPr>
          <w:spacing w:val="-11"/>
        </w:rPr>
        <w:t>13</w:t>
      </w:r>
      <w:r>
        <w:rPr>
          <w:spacing w:val="-8"/>
        </w:rPr>
        <w:t>。承</w:t>
      </w:r>
      <w:r>
        <w:rPr>
          <w:spacing w:val="-20"/>
        </w:rPr>
        <w:t xml:space="preserve">台内部 </w:t>
      </w:r>
      <w:r>
        <w:t>1</w:t>
      </w:r>
      <w:r>
        <w:rPr>
          <w:spacing w:val="-25"/>
        </w:rPr>
        <w:t xml:space="preserve"> 号楼设测点 </w:t>
      </w:r>
      <w:r>
        <w:t>29</w:t>
      </w:r>
      <w:r>
        <w:rPr>
          <w:spacing w:val="-38"/>
        </w:rPr>
        <w:t xml:space="preserve"> 个</w:t>
      </w:r>
      <w:r>
        <w:t>，2</w:t>
      </w:r>
      <w:r>
        <w:rPr>
          <w:spacing w:val="-25"/>
        </w:rPr>
        <w:t xml:space="preserve"> 号楼设测点 </w:t>
      </w:r>
      <w:r>
        <w:t>25</w:t>
      </w:r>
      <w:r>
        <w:rPr>
          <w:spacing w:val="-38"/>
        </w:rPr>
        <w:t xml:space="preserve"> 个</w:t>
      </w:r>
      <w:r>
        <w:t>，3</w:t>
      </w:r>
      <w:r>
        <w:rPr>
          <w:spacing w:val="-27"/>
        </w:rPr>
        <w:t xml:space="preserve"> 号、</w:t>
      </w:r>
      <w:r>
        <w:t>4</w:t>
      </w:r>
      <w:r>
        <w:rPr>
          <w:spacing w:val="-24"/>
        </w:rPr>
        <w:t xml:space="preserve"> 号楼设测点 </w:t>
      </w:r>
      <w:r>
        <w:t>35</w:t>
      </w:r>
      <w:r>
        <w:rPr>
          <w:spacing w:val="-40"/>
        </w:rPr>
        <w:t xml:space="preserve"> 个</w:t>
      </w:r>
      <w:r>
        <w:t>，5</w:t>
      </w:r>
    </w:p>
    <w:p>
      <w:pPr>
        <w:pStyle w:val="BodyText"/>
        <w:spacing w:before="2" w:line="364" w:lineRule="auto"/>
        <w:ind w:left="660" w:right="871"/>
        <w:jc w:val="both"/>
      </w:pPr>
      <w:r>
        <w:rPr>
          <w:spacing w:val="-14"/>
        </w:rPr>
        <w:t xml:space="preserve">号楼设测点 </w:t>
      </w:r>
      <w:r>
        <w:t>26</w:t>
      </w:r>
      <w:r>
        <w:rPr>
          <w:spacing w:val="-16"/>
        </w:rPr>
        <w:t xml:space="preserve"> 个，其中薄膜温度各为 </w:t>
      </w:r>
      <w:r>
        <w:t>1</w:t>
      </w:r>
      <w:r>
        <w:rPr>
          <w:spacing w:val="-17"/>
        </w:rPr>
        <w:t xml:space="preserve"> 个测点，五个单体共设 </w:t>
      </w:r>
      <w:r>
        <w:t>115</w:t>
      </w:r>
      <w:r>
        <w:rPr>
          <w:spacing w:val="-17"/>
        </w:rPr>
        <w:t xml:space="preserve"> 个测点，另</w:t>
      </w:r>
      <w:r>
        <w:rPr>
          <w:spacing w:val="-7"/>
        </w:rPr>
        <w:t xml:space="preserve">外大气温度和室内温度各设 </w:t>
      </w:r>
      <w:r>
        <w:t>1</w:t>
      </w:r>
      <w:r>
        <w:rPr>
          <w:spacing w:val="-17"/>
        </w:rPr>
        <w:t xml:space="preserve"> 个测点。温度传感器在混凝土浇捣之前预先埋设在</w:t>
      </w:r>
      <w:r>
        <w:t>测点位置上。</w:t>
      </w:r>
    </w:p>
    <w:p>
      <w:pPr>
        <w:pStyle w:val="ListParagraph"/>
        <w:numPr>
          <w:ilvl w:val="2"/>
          <w:numId w:val="16"/>
        </w:numPr>
        <w:tabs>
          <w:tab w:val="left" w:pos="1741"/>
        </w:tabs>
        <w:spacing w:before="3" w:after="0" w:line="364" w:lineRule="auto"/>
        <w:ind w:left="660" w:right="702" w:firstLine="0"/>
        <w:jc w:val="left"/>
        <w:rPr>
          <w:sz w:val="36"/>
        </w:rPr>
      </w:pPr>
      <w:r>
        <w:rPr>
          <w:sz w:val="36"/>
        </w:rPr>
        <w:t>大体积基础混凝土,采取蓄热保湿养护法，即混凝土表面覆盖塑料薄膜一</w:t>
      </w:r>
      <w:r>
        <w:rPr>
          <w:spacing w:val="-13"/>
          <w:sz w:val="36"/>
        </w:rPr>
        <w:t>层，以封闭混凝土内水分蒸发的途径，使混凝土能在潮湿条件下进行养护以控制</w:t>
      </w:r>
      <w:r>
        <w:rPr>
          <w:spacing w:val="-18"/>
          <w:sz w:val="36"/>
        </w:rPr>
        <w:t xml:space="preserve">干缩裂缝产生， 在这之上再盖一层麻袋或草包，以减少混凝土表面热量的散发； </w:t>
      </w:r>
      <w:r>
        <w:rPr>
          <w:spacing w:val="-10"/>
          <w:sz w:val="36"/>
        </w:rPr>
        <w:t>最后再覆盖一层塑料薄膜，以达防止雨水渗透的目的。在保湿的条件下加快混凝</w:t>
      </w:r>
      <w:r>
        <w:rPr>
          <w:spacing w:val="-16"/>
          <w:sz w:val="36"/>
        </w:rPr>
        <w:t>土强度的发展。提高混凝土的早期强度，从而确保本混凝土内表温差不会突破控制值。</w:t>
      </w:r>
    </w:p>
    <w:p>
      <w:pPr>
        <w:spacing w:after="0" w:line="364" w:lineRule="auto"/>
        <w:jc w:val="left"/>
        <w:rPr>
          <w:sz w:val="36"/>
        </w:rPr>
        <w:sectPr>
          <w:footerReference w:type="default" r:id="rId11"/>
          <w:pgSz w:w="17860" w:h="25260"/>
          <w:pgMar w:top="1920" w:right="1820" w:bottom="2040" w:left="2040" w:header="0" w:footer="1844"/>
          <w:pgNumType w:start="8"/>
          <w:cols w:space="708"/>
        </w:sectPr>
      </w:pPr>
    </w:p>
    <w:p>
      <w:pPr>
        <w:pStyle w:val="ListParagraph"/>
        <w:numPr>
          <w:ilvl w:val="2"/>
          <w:numId w:val="16"/>
        </w:numPr>
        <w:tabs>
          <w:tab w:val="left" w:pos="1651"/>
        </w:tabs>
        <w:spacing w:before="32" w:after="0" w:line="240" w:lineRule="auto"/>
        <w:ind w:left="1650" w:right="0" w:hanging="991"/>
        <w:jc w:val="left"/>
        <w:rPr>
          <w:sz w:val="36"/>
        </w:rPr>
      </w:pPr>
      <w:r>
        <w:rPr>
          <w:sz w:val="36"/>
        </w:rPr>
        <w:t>测温时间规定</w:t>
      </w:r>
    </w:p>
    <w:p>
      <w:pPr>
        <w:pStyle w:val="BodyText"/>
        <w:spacing w:before="241" w:line="364" w:lineRule="auto"/>
        <w:ind w:left="660" w:right="736" w:firstLine="809"/>
      </w:pPr>
      <w:r>
        <w:t>1-5</w:t>
      </w:r>
      <w:r>
        <w:rPr>
          <w:spacing w:val="-16"/>
        </w:rPr>
        <w:t xml:space="preserve"> 号楼自混凝土浇捣开始，多点温度微机测量系统将进行实时测试。本系</w:t>
      </w:r>
      <w:r>
        <w:rPr>
          <w:spacing w:val="-17"/>
        </w:rPr>
        <w:t>统具有可靠准确和及时的特点，它能在第一时间内提供任一测点的即时温度值。</w:t>
      </w:r>
      <w:r>
        <w:rPr>
          <w:spacing w:val="-9"/>
        </w:rPr>
        <w:t>以利于施工单位进行定量、定性分析，为控温防裂提供可靠的第一手资料。测温</w:t>
      </w:r>
      <w:r>
        <w:rPr>
          <w:spacing w:val="-13"/>
        </w:rPr>
        <w:t xml:space="preserve">数据每小时储存一次，工作人员每天在 </w:t>
      </w:r>
      <w:r>
        <w:t>8:30</w:t>
      </w:r>
      <w:r>
        <w:rPr>
          <w:spacing w:val="-54"/>
        </w:rPr>
        <w:t xml:space="preserve"> 与 </w:t>
      </w:r>
      <w:r>
        <w:t>14:30</w:t>
      </w:r>
      <w:r>
        <w:rPr>
          <w:spacing w:val="-10"/>
        </w:rPr>
        <w:t xml:space="preserve"> 向项目部分别提交当天的2:00</w:t>
      </w:r>
      <w:r>
        <w:rPr>
          <w:spacing w:val="-61"/>
        </w:rPr>
        <w:t xml:space="preserve"> 和 </w:t>
      </w:r>
      <w:r>
        <w:t>14:00</w:t>
      </w:r>
      <w:r>
        <w:rPr>
          <w:spacing w:val="-12"/>
        </w:rPr>
        <w:t xml:space="preserve"> 的实时温度数据。</w:t>
      </w:r>
    </w:p>
    <w:p>
      <w:pPr>
        <w:pStyle w:val="ListParagraph"/>
        <w:numPr>
          <w:ilvl w:val="2"/>
          <w:numId w:val="16"/>
        </w:numPr>
        <w:tabs>
          <w:tab w:val="left" w:pos="1651"/>
        </w:tabs>
        <w:spacing w:before="5" w:after="0" w:line="240" w:lineRule="auto"/>
        <w:ind w:left="1650" w:right="0" w:hanging="991"/>
        <w:jc w:val="left"/>
        <w:rPr>
          <w:sz w:val="36"/>
        </w:rPr>
      </w:pPr>
      <w:r>
        <w:rPr>
          <w:sz w:val="36"/>
        </w:rPr>
        <w:t>测温注意事项</w:t>
      </w:r>
    </w:p>
    <w:p>
      <w:pPr>
        <w:pStyle w:val="BodyText"/>
        <w:spacing w:before="240" w:line="364" w:lineRule="auto"/>
        <w:ind w:left="660" w:right="861" w:firstLine="809"/>
        <w:jc w:val="both"/>
      </w:pPr>
      <w:r>
        <w:rPr>
          <w:spacing w:val="-3"/>
        </w:rPr>
        <w:t>测温时如遇异常天气，下雨，大风，气温骤变时,应做好记录。当混凝土内</w:t>
      </w:r>
      <w:r>
        <w:rPr>
          <w:spacing w:val="-7"/>
        </w:rPr>
        <w:t xml:space="preserve">外温差(中心温度与离表面 </w:t>
      </w:r>
      <w:r>
        <w:t>5</w:t>
      </w:r>
      <w:r>
        <w:rPr>
          <w:spacing w:val="-17"/>
        </w:rPr>
        <w:t xml:space="preserve"> 厘米处的温度差值)达到 </w:t>
      </w:r>
      <w:r>
        <w:t>25</w:t>
      </w:r>
      <w:r>
        <w:rPr>
          <w:spacing w:val="-8"/>
        </w:rPr>
        <w:t xml:space="preserve"> ℃时，测温人员应及时向现场工程技术人员反映，及时采取保温应急措施。</w:t>
      </w:r>
    </w:p>
    <w:p>
      <w:pPr>
        <w:pStyle w:val="BodyText"/>
        <w:spacing w:before="1"/>
        <w:rPr>
          <w:sz w:val="50"/>
        </w:rPr>
      </w:pPr>
    </w:p>
    <w:p>
      <w:pPr>
        <w:pStyle w:val="Heading2"/>
        <w:spacing w:before="1"/>
      </w:pPr>
      <w:r>
        <w:t>6、专项质量保证措施</w:t>
      </w:r>
    </w:p>
    <w:p>
      <w:pPr>
        <w:pStyle w:val="ListParagraph"/>
        <w:numPr>
          <w:ilvl w:val="1"/>
          <w:numId w:val="15"/>
        </w:numPr>
        <w:tabs>
          <w:tab w:val="left" w:pos="1381"/>
        </w:tabs>
        <w:spacing w:before="384" w:after="0" w:line="364" w:lineRule="auto"/>
        <w:ind w:left="660" w:right="916" w:firstLine="0"/>
        <w:jc w:val="both"/>
        <w:rPr>
          <w:sz w:val="36"/>
        </w:rPr>
      </w:pPr>
      <w:r>
        <w:rPr>
          <w:sz w:val="36"/>
        </w:rPr>
        <w:t>施工缝位置严格按设计技术方案要求留设（后浇带按施工图位置留设</w:t>
      </w:r>
      <w:r>
        <w:rPr>
          <w:spacing w:val="-180"/>
          <w:sz w:val="36"/>
        </w:rPr>
        <w:t>）</w:t>
      </w:r>
      <w:r>
        <w:rPr>
          <w:spacing w:val="-8"/>
          <w:sz w:val="36"/>
        </w:rPr>
        <w:t>，并</w:t>
      </w:r>
      <w:r>
        <w:rPr>
          <w:spacing w:val="-13"/>
          <w:sz w:val="36"/>
        </w:rPr>
        <w:t>按要求进行防水构造处理。在施工缝浇捣砼前，须凿除表面水泥浆与松散的混凝</w:t>
      </w:r>
      <w:r>
        <w:rPr>
          <w:sz w:val="36"/>
        </w:rPr>
        <w:t>土，以保证混凝土施工缝处的粘结效果。</w:t>
      </w:r>
    </w:p>
    <w:p>
      <w:pPr>
        <w:pStyle w:val="ListParagraph"/>
        <w:numPr>
          <w:ilvl w:val="1"/>
          <w:numId w:val="15"/>
        </w:numPr>
        <w:tabs>
          <w:tab w:val="left" w:pos="1291"/>
        </w:tabs>
        <w:spacing w:before="3" w:after="0" w:line="364" w:lineRule="auto"/>
        <w:ind w:left="660" w:right="828" w:firstLine="0"/>
        <w:jc w:val="left"/>
        <w:rPr>
          <w:sz w:val="36"/>
        </w:rPr>
      </w:pPr>
      <w:r>
        <w:rPr>
          <w:spacing w:val="-1"/>
          <w:sz w:val="36"/>
        </w:rPr>
        <w:t>底板混凝土浇筑须有组织、有计划进行，合理安排材料供应、施工流程、劳</w:t>
      </w:r>
      <w:r>
        <w:rPr>
          <w:sz w:val="36"/>
        </w:rPr>
        <w:t>动力，确保砼浇筑连续进行。</w:t>
      </w:r>
    </w:p>
    <w:p>
      <w:pPr>
        <w:pStyle w:val="ListParagraph"/>
        <w:numPr>
          <w:ilvl w:val="1"/>
          <w:numId w:val="15"/>
        </w:numPr>
        <w:tabs>
          <w:tab w:val="left" w:pos="1291"/>
        </w:tabs>
        <w:spacing w:before="2" w:after="0" w:line="240" w:lineRule="auto"/>
        <w:ind w:left="1290" w:right="0" w:hanging="631"/>
        <w:jc w:val="left"/>
        <w:rPr>
          <w:sz w:val="36"/>
        </w:rPr>
      </w:pPr>
      <w:r>
        <w:rPr>
          <w:spacing w:val="-14"/>
          <w:sz w:val="36"/>
        </w:rPr>
        <w:t>底板商品混凝土配合比须按要求配制，从降低水化热出发，控制砼温升现象。</w:t>
      </w:r>
    </w:p>
    <w:p>
      <w:pPr>
        <w:pStyle w:val="ListParagraph"/>
        <w:numPr>
          <w:ilvl w:val="1"/>
          <w:numId w:val="15"/>
        </w:numPr>
        <w:tabs>
          <w:tab w:val="left" w:pos="1291"/>
        </w:tabs>
        <w:spacing w:before="241" w:after="0" w:line="364" w:lineRule="auto"/>
        <w:ind w:left="660" w:right="917" w:firstLine="0"/>
        <w:jc w:val="left"/>
        <w:rPr>
          <w:sz w:val="36"/>
        </w:rPr>
      </w:pPr>
      <w:r>
        <w:rPr>
          <w:spacing w:val="-6"/>
          <w:sz w:val="36"/>
        </w:rPr>
        <w:t>底板混凝土须严格执行浇灌令制度，浇灌令签发前作好各项技术复核、隐蔽</w:t>
      </w:r>
      <w:r>
        <w:rPr>
          <w:sz w:val="36"/>
        </w:rPr>
        <w:t>验收工作和浇捣砼前各项准备工作。</w:t>
      </w:r>
    </w:p>
    <w:p>
      <w:pPr>
        <w:pStyle w:val="ListParagraph"/>
        <w:numPr>
          <w:ilvl w:val="1"/>
          <w:numId w:val="15"/>
        </w:numPr>
        <w:tabs>
          <w:tab w:val="left" w:pos="1291"/>
        </w:tabs>
        <w:spacing w:before="2" w:after="0" w:line="364" w:lineRule="auto"/>
        <w:ind w:left="660" w:right="917" w:firstLine="0"/>
        <w:jc w:val="left"/>
        <w:rPr>
          <w:sz w:val="36"/>
        </w:rPr>
      </w:pPr>
      <w:r>
        <w:rPr>
          <w:spacing w:val="-8"/>
          <w:sz w:val="36"/>
        </w:rPr>
        <w:t>底板商品混凝土供应时，须同时提供砼级配单、砼出厂合格证及拌制砼的各</w:t>
      </w:r>
      <w:r>
        <w:rPr>
          <w:sz w:val="36"/>
        </w:rPr>
        <w:t>种材料的质量保证书、复试报告。</w:t>
      </w:r>
    </w:p>
    <w:p>
      <w:pPr>
        <w:pStyle w:val="ListParagraph"/>
        <w:numPr>
          <w:ilvl w:val="1"/>
          <w:numId w:val="15"/>
        </w:numPr>
        <w:tabs>
          <w:tab w:val="left" w:pos="1291"/>
        </w:tabs>
        <w:spacing w:before="0" w:after="0" w:line="344" w:lineRule="exact"/>
        <w:ind w:left="1290" w:right="0" w:hanging="631"/>
        <w:jc w:val="left"/>
        <w:rPr>
          <w:sz w:val="36"/>
        </w:rPr>
      </w:pPr>
      <w:r>
        <w:rPr>
          <w:sz w:val="36"/>
        </w:rPr>
        <w:t>为控制混凝土温差裂缝，根据主楼底板厚度情况，对主楼底板与电梯井部位</w:t>
      </w:r>
    </w:p>
    <w:p>
      <w:pPr>
        <w:pStyle w:val="BodyText"/>
        <w:spacing w:before="238"/>
        <w:ind w:left="660"/>
      </w:pPr>
      <w:r>
        <w:t>采取测温方法，并根据测温情况，做好砼的保温保湿养护。</w:t>
      </w:r>
    </w:p>
    <w:p>
      <w:pPr>
        <w:pStyle w:val="ListParagraph"/>
        <w:numPr>
          <w:ilvl w:val="1"/>
          <w:numId w:val="15"/>
        </w:numPr>
        <w:tabs>
          <w:tab w:val="left" w:pos="1291"/>
        </w:tabs>
        <w:spacing w:before="241" w:after="0" w:line="364" w:lineRule="auto"/>
        <w:ind w:left="660" w:right="828" w:firstLine="0"/>
        <w:jc w:val="left"/>
        <w:rPr>
          <w:sz w:val="36"/>
        </w:rPr>
      </w:pPr>
      <w:r>
        <w:rPr>
          <w:spacing w:val="-1"/>
          <w:sz w:val="36"/>
        </w:rPr>
        <w:t>混凝土泵送过程中严禁向砼中加水，浇筑时应分层均匀振捣密实，至排除气</w:t>
      </w:r>
      <w:r>
        <w:rPr>
          <w:sz w:val="36"/>
        </w:rPr>
        <w:t>泡为止，防止漏振。浇筑中，应随时检查模板支撑情况，防止漏浆。</w:t>
      </w:r>
    </w:p>
    <w:p>
      <w:pPr>
        <w:pStyle w:val="BodyText"/>
      </w:pPr>
    </w:p>
    <w:p>
      <w:pPr>
        <w:pStyle w:val="Heading2"/>
        <w:spacing w:before="294"/>
      </w:pPr>
      <w:r>
        <w:t>7、后浇带与施工缝的处理</w:t>
      </w:r>
    </w:p>
    <w:p>
      <w:pPr>
        <w:pStyle w:val="ListParagraph"/>
        <w:numPr>
          <w:ilvl w:val="1"/>
          <w:numId w:val="14"/>
        </w:numPr>
        <w:tabs>
          <w:tab w:val="left" w:pos="1291"/>
        </w:tabs>
        <w:spacing w:before="384" w:after="0" w:line="240" w:lineRule="auto"/>
        <w:ind w:left="1290" w:right="0" w:hanging="631"/>
        <w:jc w:val="left"/>
        <w:rPr>
          <w:sz w:val="36"/>
        </w:rPr>
      </w:pPr>
      <w:r>
        <w:rPr>
          <w:sz w:val="36"/>
        </w:rPr>
        <w:t>地下室底板后浇带按施工图正确留设，并做成平直缝，采用迎水面设外贴式</w:t>
      </w:r>
    </w:p>
    <w:p>
      <w:pPr>
        <w:spacing w:after="0" w:line="240" w:lineRule="auto"/>
        <w:jc w:val="left"/>
        <w:rPr>
          <w:sz w:val="36"/>
        </w:rPr>
        <w:sectPr>
          <w:footerReference w:type="default" r:id="rId12"/>
          <w:pgSz w:w="17860" w:h="25260"/>
          <w:pgMar w:top="1920" w:right="1820" w:bottom="2040" w:left="2040" w:header="0" w:footer="1844"/>
          <w:pgNumType w:start="9"/>
          <w:cols w:space="708"/>
        </w:sectPr>
      </w:pPr>
    </w:p>
    <w:p>
      <w:pPr>
        <w:pStyle w:val="BodyText"/>
        <w:spacing w:before="32" w:line="364" w:lineRule="auto"/>
        <w:ind w:left="660" w:right="876"/>
      </w:pPr>
      <w:r>
        <w:t>止水带与底板厚度中部设一道–300×4</w:t>
      </w:r>
      <w:r>
        <w:rPr>
          <w:spacing w:val="-51"/>
        </w:rPr>
        <w:t xml:space="preserve"> </w:t>
      </w:r>
      <w:r>
        <w:t>mm</w:t>
      </w:r>
      <w:r>
        <w:rPr>
          <w:spacing w:val="-11"/>
        </w:rPr>
        <w:t xml:space="preserve"> 的止水钢板进行防水构造处理。详见</w:t>
      </w:r>
      <w:r>
        <w:t>附图—4。</w:t>
      </w:r>
    </w:p>
    <w:p>
      <w:pPr>
        <w:pStyle w:val="ListParagraph"/>
        <w:numPr>
          <w:ilvl w:val="1"/>
          <w:numId w:val="14"/>
        </w:numPr>
        <w:tabs>
          <w:tab w:val="left" w:pos="1291"/>
        </w:tabs>
        <w:spacing w:before="2" w:after="0" w:line="302" w:lineRule="auto"/>
        <w:ind w:left="660" w:right="1548" w:firstLine="0"/>
        <w:jc w:val="left"/>
        <w:rPr>
          <w:sz w:val="36"/>
        </w:rPr>
      </w:pPr>
      <w:r>
        <w:rPr>
          <w:spacing w:val="-1"/>
          <w:sz w:val="36"/>
        </w:rPr>
        <w:t>底板后浇带封闭时间根据要求为主楼结构封顶且沉降速率趋向平稳后。</w:t>
      </w:r>
      <w:r>
        <w:rPr>
          <w:sz w:val="36"/>
        </w:rPr>
        <w:t>采用早强、补偿收缩混凝土浇筑，其强度等级应高于两侧混凝土一级。</w:t>
      </w:r>
    </w:p>
    <w:p>
      <w:pPr>
        <w:pStyle w:val="ListParagraph"/>
        <w:numPr>
          <w:ilvl w:val="1"/>
          <w:numId w:val="14"/>
        </w:numPr>
        <w:tabs>
          <w:tab w:val="left" w:pos="1291"/>
        </w:tabs>
        <w:spacing w:before="123" w:after="0" w:line="362" w:lineRule="auto"/>
        <w:ind w:left="660" w:right="828" w:firstLine="0"/>
        <w:jc w:val="left"/>
        <w:rPr>
          <w:sz w:val="36"/>
        </w:rPr>
      </w:pPr>
      <w:r>
        <w:rPr>
          <w:spacing w:val="-1"/>
          <w:sz w:val="36"/>
        </w:rPr>
        <w:t>后浇带二侧施工时，用细眼钢丝网与钢筋固定，浇捣混凝土渗出的水泥浆用</w:t>
      </w:r>
      <w:r>
        <w:rPr>
          <w:sz w:val="36"/>
        </w:rPr>
        <w:t>压力水枪冲洗，积水用吸水软管抽走。</w:t>
      </w:r>
    </w:p>
    <w:p>
      <w:pPr>
        <w:pStyle w:val="ListParagraph"/>
        <w:numPr>
          <w:ilvl w:val="1"/>
          <w:numId w:val="14"/>
        </w:numPr>
        <w:tabs>
          <w:tab w:val="left" w:pos="1291"/>
        </w:tabs>
        <w:spacing w:before="7" w:after="0" w:line="362" w:lineRule="auto"/>
        <w:ind w:left="660" w:right="877" w:firstLine="0"/>
        <w:jc w:val="left"/>
        <w:rPr>
          <w:sz w:val="36"/>
        </w:rPr>
      </w:pPr>
      <w:r>
        <w:rPr>
          <w:spacing w:val="-5"/>
          <w:sz w:val="36"/>
        </w:rPr>
        <w:t>后浇带二侧混凝土施工完毕后，后浇带的二侧砌二皮标准砖上盖木板以防止</w:t>
      </w:r>
      <w:r>
        <w:rPr>
          <w:sz w:val="36"/>
        </w:rPr>
        <w:t>垃圾落在里面。</w:t>
      </w:r>
    </w:p>
    <w:p>
      <w:pPr>
        <w:pStyle w:val="ListParagraph"/>
        <w:numPr>
          <w:ilvl w:val="1"/>
          <w:numId w:val="14"/>
        </w:numPr>
        <w:tabs>
          <w:tab w:val="left" w:pos="1291"/>
        </w:tabs>
        <w:spacing w:before="9" w:after="0" w:line="364" w:lineRule="auto"/>
        <w:ind w:left="660" w:right="877" w:firstLine="0"/>
        <w:jc w:val="both"/>
        <w:rPr>
          <w:sz w:val="36"/>
        </w:rPr>
      </w:pPr>
      <w:r>
        <w:rPr>
          <w:spacing w:val="-7"/>
          <w:sz w:val="36"/>
        </w:rPr>
        <w:t>混凝土施工完毕后，后浇带的二侧砌二皮标准砖上盖木板以防止垃圾落在里</w:t>
      </w:r>
      <w:r>
        <w:rPr>
          <w:spacing w:val="-14"/>
          <w:sz w:val="36"/>
        </w:rPr>
        <w:t>面。后浇带混凝土浇捣前，需仔细将侧面混凝土的浮浆凿除形成毛面，并清除其</w:t>
      </w:r>
      <w:r>
        <w:rPr>
          <w:spacing w:val="-13"/>
          <w:sz w:val="36"/>
        </w:rPr>
        <w:t>中的垃圾与杂物，混凝土浇注前隔夜浇水湿润。后浇带混凝土的养护时间不得少</w:t>
      </w:r>
      <w:r>
        <w:rPr>
          <w:spacing w:val="-46"/>
          <w:sz w:val="36"/>
        </w:rPr>
        <w:t xml:space="preserve">于 </w:t>
      </w:r>
      <w:r>
        <w:rPr>
          <w:sz w:val="36"/>
        </w:rPr>
        <w:t>28</w:t>
      </w:r>
      <w:r>
        <w:rPr>
          <w:spacing w:val="-30"/>
          <w:sz w:val="36"/>
        </w:rPr>
        <w:t xml:space="preserve"> 天。</w:t>
      </w:r>
    </w:p>
    <w:p>
      <w:pPr>
        <w:pStyle w:val="ListParagraph"/>
        <w:numPr>
          <w:ilvl w:val="1"/>
          <w:numId w:val="14"/>
        </w:numPr>
        <w:tabs>
          <w:tab w:val="left" w:pos="1291"/>
        </w:tabs>
        <w:spacing w:before="0" w:after="0" w:line="364" w:lineRule="auto"/>
        <w:ind w:left="660" w:right="876" w:firstLine="0"/>
        <w:jc w:val="both"/>
        <w:rPr>
          <w:sz w:val="36"/>
        </w:rPr>
      </w:pPr>
      <w:r>
        <w:rPr>
          <w:spacing w:val="-3"/>
          <w:sz w:val="36"/>
        </w:rPr>
        <w:t>中心岛底板与围护周边底板处施工缝位置按基坑围护设计图正确留设，施工</w:t>
      </w:r>
      <w:r>
        <w:rPr>
          <w:sz w:val="36"/>
        </w:rPr>
        <w:t>缝处设二道–300×4</w:t>
      </w:r>
      <w:r>
        <w:rPr>
          <w:spacing w:val="-90"/>
          <w:sz w:val="36"/>
        </w:rPr>
        <w:t xml:space="preserve"> </w:t>
      </w:r>
      <w:r>
        <w:rPr>
          <w:sz w:val="36"/>
        </w:rPr>
        <w:t>mm</w:t>
      </w:r>
      <w:r>
        <w:rPr>
          <w:spacing w:val="-23"/>
          <w:sz w:val="36"/>
        </w:rPr>
        <w:t xml:space="preserve"> 的止水钢板进行防水构造处理，分别位于底板厚度的 </w:t>
      </w:r>
      <w:r>
        <w:rPr>
          <w:spacing w:val="-6"/>
          <w:sz w:val="36"/>
        </w:rPr>
        <w:t xml:space="preserve">1/3 </w:t>
      </w:r>
      <w:r>
        <w:rPr>
          <w:sz w:val="36"/>
        </w:rPr>
        <w:t>处。详见附图—</w:t>
      </w:r>
      <w:r>
        <w:rPr>
          <w:rFonts w:ascii="Arial" w:eastAsia="Arial" w:hAnsi="Arial"/>
          <w:sz w:val="36"/>
        </w:rPr>
        <w:t>5</w:t>
      </w:r>
      <w:r>
        <w:rPr>
          <w:sz w:val="36"/>
        </w:rPr>
        <w:t>。</w:t>
      </w:r>
    </w:p>
    <w:p>
      <w:pPr>
        <w:pStyle w:val="ListParagraph"/>
        <w:numPr>
          <w:ilvl w:val="1"/>
          <w:numId w:val="14"/>
        </w:numPr>
        <w:tabs>
          <w:tab w:val="left" w:pos="1291"/>
        </w:tabs>
        <w:spacing w:before="0" w:after="0" w:line="364" w:lineRule="auto"/>
        <w:ind w:left="660" w:right="878" w:firstLine="0"/>
        <w:jc w:val="both"/>
        <w:rPr>
          <w:sz w:val="36"/>
        </w:rPr>
      </w:pPr>
      <w:r>
        <w:rPr>
          <w:spacing w:val="-7"/>
          <w:sz w:val="36"/>
        </w:rPr>
        <w:t xml:space="preserve">板墙施工缝留设在底板面以上 </w:t>
      </w:r>
      <w:r>
        <w:rPr>
          <w:sz w:val="36"/>
        </w:rPr>
        <w:t>300</w:t>
      </w:r>
      <w:r>
        <w:rPr>
          <w:spacing w:val="-72"/>
          <w:sz w:val="36"/>
        </w:rPr>
        <w:t xml:space="preserve"> </w:t>
      </w:r>
      <w:r>
        <w:rPr>
          <w:sz w:val="36"/>
        </w:rPr>
        <w:t>mm</w:t>
      </w:r>
      <w:r>
        <w:rPr>
          <w:spacing w:val="-11"/>
          <w:sz w:val="36"/>
        </w:rPr>
        <w:t xml:space="preserve"> 处，墙厚中部设一道</w:t>
      </w:r>
      <w:r>
        <w:rPr>
          <w:sz w:val="36"/>
        </w:rPr>
        <w:t>–300×4</w:t>
      </w:r>
      <w:r>
        <w:rPr>
          <w:spacing w:val="-72"/>
          <w:sz w:val="36"/>
        </w:rPr>
        <w:t xml:space="preserve"> </w:t>
      </w:r>
      <w:r>
        <w:rPr>
          <w:sz w:val="36"/>
        </w:rPr>
        <w:t>mm</w:t>
      </w:r>
      <w:r>
        <w:rPr>
          <w:spacing w:val="-35"/>
          <w:sz w:val="36"/>
        </w:rPr>
        <w:t xml:space="preserve"> 的止</w:t>
      </w:r>
      <w:r>
        <w:rPr>
          <w:sz w:val="36"/>
        </w:rPr>
        <w:t>水钢板进行防水构造处理。详见附图—</w:t>
      </w:r>
      <w:r>
        <w:rPr>
          <w:rFonts w:ascii="Arial" w:eastAsia="Arial" w:hAnsi="Arial"/>
          <w:sz w:val="36"/>
        </w:rPr>
        <w:t>6</w:t>
      </w:r>
      <w:r>
        <w:rPr>
          <w:sz w:val="36"/>
        </w:rPr>
        <w:t>。</w:t>
      </w: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spacing w:before="11"/>
        <w:rPr>
          <w:sz w:val="56"/>
        </w:rPr>
      </w:pPr>
    </w:p>
    <w:p>
      <w:pPr>
        <w:pStyle w:val="Heading1"/>
        <w:spacing w:before="0"/>
      </w:pPr>
      <w:r>
        <w:t>八、保证质量的技术措施</w:t>
      </w:r>
    </w:p>
    <w:p>
      <w:pPr>
        <w:pStyle w:val="Heading2"/>
        <w:spacing w:before="332"/>
      </w:pPr>
      <w:r>
        <w:t>1、钢筋施工质量保证措施</w:t>
      </w:r>
    </w:p>
    <w:p>
      <w:pPr>
        <w:pStyle w:val="ListParagraph"/>
        <w:numPr>
          <w:ilvl w:val="1"/>
          <w:numId w:val="13"/>
        </w:numPr>
        <w:tabs>
          <w:tab w:val="left" w:pos="1291"/>
        </w:tabs>
        <w:spacing w:before="384" w:after="0" w:line="240" w:lineRule="auto"/>
        <w:ind w:left="1290" w:right="0" w:hanging="631"/>
        <w:jc w:val="left"/>
        <w:rPr>
          <w:sz w:val="36"/>
        </w:rPr>
      </w:pPr>
      <w:r>
        <w:pict>
          <v:group id="_x0000_s1025" style="width:593.75pt;height:37pt;margin-top:48.44pt;margin-left:174.25pt;mso-position-horizontal-relative:page;mso-wrap-distance-left:0;mso-wrap-distance-right:0;position:absolute;z-index:-251658240" coordorigin="3485,969" coordsize="11875,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1875;height:740;left:3485;position:absolute;top:968" stroked="f">
              <v:imagedata r:id="rId13" o:title=""/>
            </v:shape>
            <v:shapetype id="_x0000_t202" coordsize="21600,21600" o:spt="202" path="m,l,21600r21600,l21600,xe">
              <v:stroke joinstyle="miter"/>
              <v:path gradientshapeok="t" o:connecttype="rect"/>
            </v:shapetype>
            <v:shape id="_x0000_s1027" type="#_x0000_t202" style="width:740;height:360;left:3784;position:absolute;top:1154" filled="f" stroked="f">
              <v:textbox inset="0,0,0,0">
                <w:txbxContent>
                  <w:p>
                    <w:pPr>
                      <w:spacing w:before="0" w:line="360" w:lineRule="exact"/>
                      <w:ind w:left="0" w:right="0" w:firstLine="0"/>
                      <w:jc w:val="left"/>
                      <w:rPr>
                        <w:sz w:val="36"/>
                      </w:rPr>
                    </w:pPr>
                    <w:r>
                      <w:rPr>
                        <w:sz w:val="36"/>
                      </w:rPr>
                      <w:t>序号</w:t>
                    </w:r>
                  </w:p>
                </w:txbxContent>
              </v:textbox>
            </v:shape>
            <v:shape id="_x0000_s1028" type="#_x0000_t202" style="width:380;height:360;left:7068;position:absolute;top:1154" filled="f" stroked="f">
              <v:textbox inset="0,0,0,0">
                <w:txbxContent>
                  <w:p>
                    <w:pPr>
                      <w:spacing w:before="0" w:line="360" w:lineRule="exact"/>
                      <w:ind w:left="0" w:right="0" w:firstLine="0"/>
                      <w:jc w:val="left"/>
                      <w:rPr>
                        <w:sz w:val="36"/>
                      </w:rPr>
                    </w:pPr>
                    <w:r>
                      <w:rPr>
                        <w:sz w:val="36"/>
                      </w:rPr>
                      <w:t>项</w:t>
                    </w:r>
                  </w:p>
                </w:txbxContent>
              </v:textbox>
            </v:shape>
            <v:shape id="_x0000_s1029" type="#_x0000_t202" style="width:380;height:360;left:8688;position:absolute;top:1154" filled="f" stroked="f">
              <v:textbox inset="0,0,0,0">
                <w:txbxContent>
                  <w:p>
                    <w:pPr>
                      <w:spacing w:before="0" w:line="360" w:lineRule="exact"/>
                      <w:ind w:left="0" w:right="0" w:firstLine="0"/>
                      <w:jc w:val="left"/>
                      <w:rPr>
                        <w:sz w:val="36"/>
                      </w:rPr>
                    </w:pPr>
                    <w:r>
                      <w:rPr>
                        <w:sz w:val="36"/>
                      </w:rPr>
                      <w:t>目</w:t>
                    </w:r>
                  </w:p>
                </w:txbxContent>
              </v:textbox>
            </v:shape>
            <v:shape id="_x0000_s1030" type="#_x0000_t202" style="width:2541;height:360;left:11623;position:absolute;top:1154" filled="f" stroked="f">
              <v:textbox inset="0,0,0,0">
                <w:txbxContent>
                  <w:p>
                    <w:pPr>
                      <w:spacing w:before="0" w:line="360" w:lineRule="exact"/>
                      <w:ind w:left="0" w:right="0" w:firstLine="0"/>
                      <w:jc w:val="left"/>
                      <w:rPr>
                        <w:sz w:val="36"/>
                      </w:rPr>
                    </w:pPr>
                    <w:r>
                      <w:rPr>
                        <w:sz w:val="36"/>
                      </w:rPr>
                      <w:t>允许偏差（mm）</w:t>
                    </w:r>
                  </w:p>
                </w:txbxContent>
              </v:textbox>
            </v:shape>
            <w10:wrap type="topAndBottom"/>
          </v:group>
        </w:pict>
      </w:r>
      <w:r>
        <w:rPr>
          <w:sz w:val="36"/>
        </w:rPr>
        <w:t>钢筋绑扎质量标准：</w:t>
      </w:r>
    </w:p>
    <w:p>
      <w:pPr>
        <w:spacing w:after="0" w:line="240" w:lineRule="auto"/>
        <w:jc w:val="left"/>
        <w:rPr>
          <w:sz w:val="36"/>
        </w:rPr>
        <w:sectPr>
          <w:footerReference w:type="default" r:id="rId14"/>
          <w:pgSz w:w="17860" w:h="25260"/>
          <w:pgMar w:top="1920" w:right="1820" w:bottom="2040" w:left="2040" w:header="0" w:footer="1844"/>
          <w:pgNumType w:start="10"/>
          <w:cols w:space="708"/>
        </w:sectPr>
      </w:pPr>
    </w:p>
    <w:p>
      <w:pPr>
        <w:pStyle w:val="BodyText"/>
        <w:spacing w:before="4" w:after="1"/>
        <w:rPr>
          <w:sz w:val="15"/>
        </w:rPr>
      </w:pPr>
    </w:p>
    <w:tbl>
      <w:tblPr>
        <w:tblStyle w:val="TableNormal0"/>
        <w:tblW w:w="0" w:type="auto"/>
        <w:jc w:val="left"/>
        <w:tblInd w:w="19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07"/>
        <w:gridCol w:w="3961"/>
        <w:gridCol w:w="2143"/>
        <w:gridCol w:w="2080"/>
      </w:tblGrid>
      <w:tr>
        <w:tblPrEx>
          <w:tblW w:w="0" w:type="auto"/>
          <w:jc w:val="left"/>
          <w:tblInd w:w="19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718"/>
          <w:jc w:val="left"/>
        </w:trPr>
        <w:tc>
          <w:tcPr>
            <w:tcW w:w="1107" w:type="dxa"/>
          </w:tcPr>
          <w:p>
            <w:pPr>
              <w:pStyle w:val="TableParagraph"/>
              <w:spacing w:before="310" w:line="389" w:lineRule="exact"/>
              <w:ind w:left="50"/>
              <w:rPr>
                <w:sz w:val="36"/>
              </w:rPr>
            </w:pPr>
            <w:r>
              <w:rPr>
                <w:sz w:val="36"/>
              </w:rPr>
              <w:t>1</w:t>
            </w:r>
          </w:p>
        </w:tc>
        <w:tc>
          <w:tcPr>
            <w:tcW w:w="3961" w:type="dxa"/>
          </w:tcPr>
          <w:p>
            <w:pPr>
              <w:pStyle w:val="TableParagraph"/>
              <w:spacing w:before="310" w:line="389" w:lineRule="exact"/>
              <w:ind w:left="877"/>
              <w:rPr>
                <w:sz w:val="36"/>
              </w:rPr>
            </w:pPr>
            <w:r>
              <w:rPr>
                <w:sz w:val="36"/>
              </w:rPr>
              <w:t>受力钢筋</w:t>
            </w:r>
          </w:p>
        </w:tc>
        <w:tc>
          <w:tcPr>
            <w:tcW w:w="2143" w:type="dxa"/>
          </w:tcPr>
          <w:p>
            <w:pPr>
              <w:pStyle w:val="TableParagraph"/>
              <w:spacing w:line="411" w:lineRule="exact"/>
              <w:ind w:left="112"/>
              <w:rPr>
                <w:sz w:val="36"/>
              </w:rPr>
            </w:pPr>
            <w:r>
              <w:rPr>
                <w:sz w:val="36"/>
              </w:rPr>
              <w:t>排距</w:t>
            </w:r>
          </w:p>
        </w:tc>
        <w:tc>
          <w:tcPr>
            <w:tcW w:w="2080" w:type="dxa"/>
          </w:tcPr>
          <w:p>
            <w:pPr>
              <w:pStyle w:val="TableParagraph"/>
              <w:spacing w:line="411" w:lineRule="exact"/>
              <w:ind w:left="1287" w:right="32"/>
              <w:jc w:val="center"/>
              <w:rPr>
                <w:sz w:val="36"/>
              </w:rPr>
            </w:pPr>
            <w:r>
              <w:rPr>
                <w:sz w:val="36"/>
              </w:rPr>
              <w:t>±5</w:t>
            </w:r>
          </w:p>
        </w:tc>
      </w:tr>
      <w:tr>
        <w:tblPrEx>
          <w:tblW w:w="0" w:type="auto"/>
          <w:jc w:val="left"/>
          <w:tblInd w:w="1971" w:type="dxa"/>
          <w:tblLayout w:type="fixed"/>
          <w:tblCellMar>
            <w:top w:w="0" w:type="dxa"/>
            <w:left w:w="0" w:type="dxa"/>
            <w:bottom w:w="0" w:type="dxa"/>
            <w:right w:w="0" w:type="dxa"/>
          </w:tblCellMar>
          <w:tblLook w:val="01E0"/>
        </w:tblPrEx>
        <w:trPr>
          <w:trHeight w:val="1254"/>
          <w:jc w:val="left"/>
        </w:trPr>
        <w:tc>
          <w:tcPr>
            <w:tcW w:w="1107" w:type="dxa"/>
          </w:tcPr>
          <w:p>
            <w:pPr>
              <w:pStyle w:val="TableParagraph"/>
              <w:spacing w:before="10"/>
              <w:rPr>
                <w:sz w:val="51"/>
              </w:rPr>
            </w:pPr>
          </w:p>
          <w:p>
            <w:pPr>
              <w:pStyle w:val="TableParagraph"/>
              <w:ind w:left="50"/>
              <w:rPr>
                <w:sz w:val="36"/>
              </w:rPr>
            </w:pPr>
            <w:r>
              <w:rPr>
                <w:sz w:val="36"/>
              </w:rPr>
              <w:t>2</w:t>
            </w:r>
          </w:p>
        </w:tc>
        <w:tc>
          <w:tcPr>
            <w:tcW w:w="3961" w:type="dxa"/>
          </w:tcPr>
          <w:p>
            <w:pPr>
              <w:pStyle w:val="TableParagraph"/>
              <w:spacing w:before="10"/>
              <w:rPr>
                <w:sz w:val="51"/>
              </w:rPr>
            </w:pPr>
          </w:p>
          <w:p>
            <w:pPr>
              <w:pStyle w:val="TableParagraph"/>
              <w:ind w:left="2227"/>
              <w:rPr>
                <w:sz w:val="36"/>
              </w:rPr>
            </w:pPr>
            <w:r>
              <w:rPr>
                <w:sz w:val="36"/>
              </w:rPr>
              <w:t>箍筋间距</w:t>
            </w:r>
          </w:p>
        </w:tc>
        <w:tc>
          <w:tcPr>
            <w:tcW w:w="2143" w:type="dxa"/>
          </w:tcPr>
          <w:p>
            <w:pPr>
              <w:pStyle w:val="TableParagraph"/>
              <w:spacing w:line="409" w:lineRule="exact"/>
              <w:ind w:left="112"/>
              <w:rPr>
                <w:sz w:val="36"/>
              </w:rPr>
            </w:pPr>
            <w:r>
              <w:rPr>
                <w:sz w:val="36"/>
              </w:rPr>
              <w:t>间距</w:t>
            </w:r>
          </w:p>
        </w:tc>
        <w:tc>
          <w:tcPr>
            <w:tcW w:w="2080" w:type="dxa"/>
          </w:tcPr>
          <w:p>
            <w:pPr>
              <w:pStyle w:val="TableParagraph"/>
              <w:spacing w:line="409" w:lineRule="exact"/>
              <w:ind w:left="1307"/>
              <w:rPr>
                <w:sz w:val="36"/>
              </w:rPr>
            </w:pPr>
            <w:r>
              <w:rPr>
                <w:sz w:val="36"/>
              </w:rPr>
              <w:t>±10</w:t>
            </w:r>
          </w:p>
          <w:p>
            <w:pPr>
              <w:pStyle w:val="TableParagraph"/>
              <w:spacing w:before="255"/>
              <w:ind w:left="1307"/>
              <w:rPr>
                <w:sz w:val="36"/>
              </w:rPr>
            </w:pPr>
            <w:r>
              <w:rPr>
                <w:sz w:val="36"/>
              </w:rPr>
              <w:t>±20</w:t>
            </w:r>
          </w:p>
        </w:tc>
      </w:tr>
      <w:tr>
        <w:tblPrEx>
          <w:tblW w:w="0" w:type="auto"/>
          <w:jc w:val="left"/>
          <w:tblInd w:w="1971" w:type="dxa"/>
          <w:tblLayout w:type="fixed"/>
          <w:tblCellMar>
            <w:top w:w="0" w:type="dxa"/>
            <w:left w:w="0" w:type="dxa"/>
            <w:bottom w:w="0" w:type="dxa"/>
            <w:right w:w="0" w:type="dxa"/>
          </w:tblCellMar>
          <w:tblLook w:val="01E0"/>
        </w:tblPrEx>
        <w:trPr>
          <w:trHeight w:val="540"/>
          <w:jc w:val="left"/>
        </w:trPr>
        <w:tc>
          <w:tcPr>
            <w:tcW w:w="1107" w:type="dxa"/>
          </w:tcPr>
          <w:p>
            <w:pPr>
              <w:pStyle w:val="TableParagraph"/>
              <w:spacing w:before="129" w:line="391" w:lineRule="exact"/>
              <w:ind w:left="50"/>
              <w:rPr>
                <w:sz w:val="36"/>
              </w:rPr>
            </w:pPr>
            <w:r>
              <w:rPr>
                <w:sz w:val="36"/>
              </w:rPr>
              <w:t>3</w:t>
            </w:r>
          </w:p>
        </w:tc>
        <w:tc>
          <w:tcPr>
            <w:tcW w:w="3961" w:type="dxa"/>
          </w:tcPr>
          <w:p>
            <w:pPr>
              <w:pStyle w:val="TableParagraph"/>
              <w:spacing w:before="129" w:line="391" w:lineRule="exact"/>
              <w:ind w:left="2047"/>
              <w:rPr>
                <w:sz w:val="36"/>
              </w:rPr>
            </w:pPr>
            <w:r>
              <w:rPr>
                <w:sz w:val="36"/>
              </w:rPr>
              <w:t>保护层厚度</w:t>
            </w:r>
          </w:p>
        </w:tc>
        <w:tc>
          <w:tcPr>
            <w:tcW w:w="2143" w:type="dxa"/>
          </w:tcPr>
          <w:p>
            <w:pPr>
              <w:pStyle w:val="TableParagraph"/>
              <w:rPr>
                <w:rFonts w:ascii="Times New Roman"/>
                <w:sz w:val="36"/>
              </w:rPr>
            </w:pPr>
          </w:p>
        </w:tc>
        <w:tc>
          <w:tcPr>
            <w:tcW w:w="2080" w:type="dxa"/>
          </w:tcPr>
          <w:p>
            <w:pPr>
              <w:pStyle w:val="TableParagraph"/>
              <w:spacing w:before="129" w:line="391" w:lineRule="exact"/>
              <w:ind w:left="1287" w:right="32"/>
              <w:jc w:val="center"/>
              <w:rPr>
                <w:sz w:val="36"/>
              </w:rPr>
            </w:pPr>
            <w:r>
              <w:rPr>
                <w:sz w:val="36"/>
              </w:rPr>
              <w:t>±10</w:t>
            </w:r>
          </w:p>
        </w:tc>
      </w:tr>
    </w:tbl>
    <w:p>
      <w:pPr>
        <w:pStyle w:val="BodyText"/>
        <w:rPr>
          <w:sz w:val="20"/>
        </w:rPr>
      </w:pPr>
    </w:p>
    <w:p>
      <w:pPr>
        <w:pStyle w:val="ListParagraph"/>
        <w:numPr>
          <w:ilvl w:val="1"/>
          <w:numId w:val="13"/>
        </w:numPr>
        <w:tabs>
          <w:tab w:val="left" w:pos="1291"/>
        </w:tabs>
        <w:spacing w:before="49" w:after="0" w:line="364" w:lineRule="auto"/>
        <w:ind w:left="660" w:right="918" w:firstLine="0"/>
        <w:jc w:val="left"/>
        <w:rPr>
          <w:sz w:val="36"/>
        </w:rPr>
      </w:pPr>
      <w:r>
        <w:drawing>
          <wp:anchor distT="0" distB="0" distL="0" distR="0" simplePos="0" relativeHeight="251660288" behindDoc="1" locked="0" layoutInCell="1" allowOverlap="1">
            <wp:simplePos x="0" y="0"/>
            <wp:positionH relativeFrom="page">
              <wp:posOffset>2212975</wp:posOffset>
            </wp:positionH>
            <wp:positionV relativeFrom="paragraph">
              <wp:posOffset>-1879472</wp:posOffset>
            </wp:positionV>
            <wp:extent cx="7524887" cy="1836896"/>
            <wp:effectExtent l="0" t="0" r="0" b="0"/>
            <wp:wrapNone/>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pic:nvPicPr>
                  <pic:blipFill>
                    <a:blip xmlns:r="http://schemas.openxmlformats.org/officeDocument/2006/relationships" r:embed="rId15" cstate="print"/>
                    <a:stretch>
                      <a:fillRect/>
                    </a:stretch>
                  </pic:blipFill>
                  <pic:spPr>
                    <a:xfrm>
                      <a:off x="0" y="0"/>
                      <a:ext cx="7524887" cy="1836896"/>
                    </a:xfrm>
                    <a:prstGeom prst="rect">
                      <a:avLst/>
                    </a:prstGeom>
                  </pic:spPr>
                </pic:pic>
              </a:graphicData>
            </a:graphic>
          </wp:anchor>
        </w:drawing>
      </w:r>
      <w:r>
        <w:rPr>
          <w:spacing w:val="-6"/>
          <w:sz w:val="36"/>
        </w:rPr>
        <w:t>钢筋进入施工现场时须有出厂质量证明书，有焊接接头的钢筋须附焊接试验</w:t>
      </w:r>
      <w:r>
        <w:rPr>
          <w:sz w:val="36"/>
        </w:rPr>
        <w:t>报告单。</w:t>
      </w:r>
    </w:p>
    <w:p>
      <w:pPr>
        <w:pStyle w:val="ListParagraph"/>
        <w:numPr>
          <w:ilvl w:val="1"/>
          <w:numId w:val="13"/>
        </w:numPr>
        <w:tabs>
          <w:tab w:val="left" w:pos="1291"/>
        </w:tabs>
        <w:spacing w:before="2" w:after="0" w:line="364" w:lineRule="auto"/>
        <w:ind w:left="660" w:right="828" w:firstLine="0"/>
        <w:jc w:val="left"/>
        <w:rPr>
          <w:sz w:val="36"/>
        </w:rPr>
      </w:pPr>
      <w:r>
        <w:rPr>
          <w:spacing w:val="-1"/>
          <w:sz w:val="36"/>
        </w:rPr>
        <w:t>钢筋的品种、规格形式、尺寸、数量、锚固长度、接头位置，必须符合设计</w:t>
      </w:r>
      <w:r>
        <w:rPr>
          <w:sz w:val="36"/>
        </w:rPr>
        <w:t>要求和规范规定。</w:t>
      </w:r>
    </w:p>
    <w:p>
      <w:pPr>
        <w:pStyle w:val="ListParagraph"/>
        <w:numPr>
          <w:ilvl w:val="1"/>
          <w:numId w:val="13"/>
        </w:numPr>
        <w:tabs>
          <w:tab w:val="left" w:pos="1291"/>
        </w:tabs>
        <w:spacing w:before="3" w:after="0" w:line="364" w:lineRule="auto"/>
        <w:ind w:left="660" w:right="918" w:firstLine="0"/>
        <w:jc w:val="left"/>
        <w:rPr>
          <w:sz w:val="36"/>
        </w:rPr>
      </w:pPr>
      <w:r>
        <w:rPr>
          <w:spacing w:val="-5"/>
          <w:sz w:val="36"/>
        </w:rPr>
        <w:t>滚轧直螺纹连接接头须按施工质量规范要求抽样检测合格，套筒进场须有出</w:t>
      </w:r>
      <w:r>
        <w:rPr>
          <w:sz w:val="36"/>
        </w:rPr>
        <w:t>厂质量证明书。</w:t>
      </w:r>
    </w:p>
    <w:p>
      <w:pPr>
        <w:pStyle w:val="ListParagraph"/>
        <w:numPr>
          <w:ilvl w:val="1"/>
          <w:numId w:val="13"/>
        </w:numPr>
        <w:tabs>
          <w:tab w:val="left" w:pos="1291"/>
        </w:tabs>
        <w:spacing w:before="0" w:after="0" w:line="344" w:lineRule="exact"/>
        <w:ind w:left="1290" w:right="0" w:hanging="631"/>
        <w:jc w:val="left"/>
        <w:rPr>
          <w:sz w:val="36"/>
        </w:rPr>
      </w:pPr>
      <w:r>
        <w:rPr>
          <w:spacing w:val="-3"/>
          <w:sz w:val="36"/>
        </w:rPr>
        <w:t>钢筋保护层厚度必须符合设计与验收规范要求，板底钢筋保护层采用预制砼</w:t>
      </w:r>
    </w:p>
    <w:p>
      <w:pPr>
        <w:pStyle w:val="BodyText"/>
        <w:spacing w:before="237"/>
        <w:ind w:left="660"/>
      </w:pPr>
      <w:r>
        <w:t>垫块，数量每平方米不少于一只，板面钢筋保护层采用角铁支架控制。</w:t>
      </w:r>
    </w:p>
    <w:p>
      <w:pPr>
        <w:pStyle w:val="BodyText"/>
        <w:rPr>
          <w:sz w:val="28"/>
        </w:rPr>
      </w:pPr>
    </w:p>
    <w:p>
      <w:pPr>
        <w:pStyle w:val="ListParagraph"/>
        <w:numPr>
          <w:ilvl w:val="1"/>
          <w:numId w:val="13"/>
        </w:numPr>
        <w:tabs>
          <w:tab w:val="left" w:pos="1291"/>
        </w:tabs>
        <w:spacing w:before="1" w:after="0" w:line="364" w:lineRule="auto"/>
        <w:ind w:left="660" w:right="828" w:firstLine="0"/>
        <w:jc w:val="left"/>
        <w:rPr>
          <w:sz w:val="36"/>
        </w:rPr>
      </w:pPr>
      <w:r>
        <w:rPr>
          <w:spacing w:val="-1"/>
          <w:sz w:val="36"/>
        </w:rPr>
        <w:t>人防地下室临空墙、门框墙插筋须一次到顶，不得留接头，并注意防护区内</w:t>
      </w:r>
      <w:r>
        <w:rPr>
          <w:sz w:val="36"/>
        </w:rPr>
        <w:t>外的竖向钢筋位置不得放反。</w:t>
      </w:r>
    </w:p>
    <w:p>
      <w:pPr>
        <w:pStyle w:val="ListParagraph"/>
        <w:numPr>
          <w:ilvl w:val="1"/>
          <w:numId w:val="13"/>
        </w:numPr>
        <w:tabs>
          <w:tab w:val="left" w:pos="1291"/>
        </w:tabs>
        <w:spacing w:before="0" w:after="0" w:line="344" w:lineRule="exact"/>
        <w:ind w:left="1290" w:right="0" w:hanging="631"/>
        <w:jc w:val="left"/>
        <w:rPr>
          <w:sz w:val="36"/>
        </w:rPr>
      </w:pPr>
      <w:r>
        <w:rPr>
          <w:sz w:val="36"/>
        </w:rPr>
        <w:t>钢筋绑扎完毕，须待人防质监站验收验收通过后，方可进行模板安装。</w:t>
      </w:r>
    </w:p>
    <w:p>
      <w:pPr>
        <w:pStyle w:val="BodyText"/>
      </w:pPr>
    </w:p>
    <w:p>
      <w:pPr>
        <w:pStyle w:val="BodyText"/>
        <w:spacing w:before="8"/>
        <w:rPr>
          <w:sz w:val="41"/>
        </w:rPr>
      </w:pPr>
    </w:p>
    <w:p>
      <w:pPr>
        <w:pStyle w:val="Heading2"/>
      </w:pPr>
      <w:r>
        <w:t>2、模板施工质量保证措施</w:t>
      </w:r>
    </w:p>
    <w:p>
      <w:pPr>
        <w:pStyle w:val="ListParagraph"/>
        <w:numPr>
          <w:ilvl w:val="1"/>
          <w:numId w:val="12"/>
        </w:numPr>
        <w:tabs>
          <w:tab w:val="left" w:pos="1291"/>
        </w:tabs>
        <w:spacing w:before="385" w:after="0" w:line="240" w:lineRule="auto"/>
        <w:ind w:left="1290" w:right="0" w:hanging="631"/>
        <w:jc w:val="left"/>
        <w:rPr>
          <w:sz w:val="36"/>
        </w:rPr>
      </w:pPr>
      <w:r>
        <w:pict>
          <v:group id="_x0000_s1031" style="width:543pt;height:181pt;margin-top:48.1pt;margin-left:188pt;mso-position-horizontal-relative:page;position:absolute;z-index:-251657216" coordorigin="3760,962" coordsize="10860,3620">
            <v:shape id="_x0000_s1032" type="#_x0000_t75" style="width:10860;height:3620;left:3760;position:absolute;top:962" stroked="f">
              <v:imagedata r:id="rId16" o:title=""/>
            </v:shape>
            <v:shape id="_x0000_s1033" type="#_x0000_t202" style="width:920;height:360;left:4097;position:absolute;top:1152" filled="f" stroked="f">
              <v:textbox inset="0,0,0,0">
                <w:txbxContent>
                  <w:p>
                    <w:pPr>
                      <w:spacing w:before="0" w:line="360" w:lineRule="exact"/>
                      <w:ind w:left="0" w:right="0" w:firstLine="0"/>
                      <w:jc w:val="left"/>
                      <w:rPr>
                        <w:sz w:val="36"/>
                      </w:rPr>
                    </w:pPr>
                    <w:r>
                      <w:rPr>
                        <w:sz w:val="36"/>
                      </w:rPr>
                      <w:t>序 号</w:t>
                    </w:r>
                  </w:p>
                </w:txbxContent>
              </v:textbox>
            </v:shape>
            <v:shape id="_x0000_s1034" type="#_x0000_t202" style="width:380;height:360;left:7295;position:absolute;top:1152" filled="f" stroked="f">
              <v:textbox inset="0,0,0,0">
                <w:txbxContent>
                  <w:p>
                    <w:pPr>
                      <w:spacing w:before="0" w:line="360" w:lineRule="exact"/>
                      <w:ind w:left="0" w:right="0" w:firstLine="0"/>
                      <w:jc w:val="left"/>
                      <w:rPr>
                        <w:sz w:val="36"/>
                      </w:rPr>
                    </w:pPr>
                    <w:r>
                      <w:rPr>
                        <w:sz w:val="36"/>
                      </w:rPr>
                      <w:t>项</w:t>
                    </w:r>
                  </w:p>
                </w:txbxContent>
              </v:textbox>
            </v:shape>
            <v:shape id="_x0000_s1035" type="#_x0000_t202" style="width:380;height:360;left:8195;position:absolute;top:1152" filled="f" stroked="f">
              <v:textbox inset="0,0,0,0">
                <w:txbxContent>
                  <w:p>
                    <w:pPr>
                      <w:spacing w:before="0" w:line="360" w:lineRule="exact"/>
                      <w:ind w:left="0" w:right="0" w:firstLine="0"/>
                      <w:jc w:val="left"/>
                      <w:rPr>
                        <w:sz w:val="36"/>
                      </w:rPr>
                    </w:pPr>
                    <w:r>
                      <w:rPr>
                        <w:sz w:val="36"/>
                      </w:rPr>
                      <w:t>目</w:t>
                    </w:r>
                  </w:p>
                </w:txbxContent>
              </v:textbox>
            </v:shape>
            <v:shape id="_x0000_s1036" type="#_x0000_t202" style="width:2540;height:360;left:10848;position:absolute;top:1152" filled="f" stroked="f">
              <v:textbox inset="0,0,0,0">
                <w:txbxContent>
                  <w:p>
                    <w:pPr>
                      <w:spacing w:before="0" w:line="360" w:lineRule="exact"/>
                      <w:ind w:left="0" w:right="0" w:firstLine="0"/>
                      <w:jc w:val="left"/>
                      <w:rPr>
                        <w:sz w:val="36"/>
                      </w:rPr>
                    </w:pPr>
                    <w:r>
                      <w:rPr>
                        <w:sz w:val="36"/>
                      </w:rPr>
                      <w:t>允许偏差（mm）</w:t>
                    </w:r>
                  </w:p>
                </w:txbxContent>
              </v:textbox>
            </v:shape>
          </v:group>
        </w:pict>
      </w:r>
      <w:r>
        <w:rPr>
          <w:sz w:val="36"/>
        </w:rPr>
        <w:t>模板安装质量标准：</w:t>
      </w:r>
    </w:p>
    <w:p>
      <w:pPr>
        <w:pStyle w:val="BodyText"/>
        <w:rPr>
          <w:sz w:val="20"/>
        </w:rPr>
      </w:pPr>
    </w:p>
    <w:p>
      <w:pPr>
        <w:pStyle w:val="BodyText"/>
        <w:rPr>
          <w:sz w:val="20"/>
        </w:rPr>
      </w:pPr>
    </w:p>
    <w:p>
      <w:pPr>
        <w:pStyle w:val="BodyText"/>
        <w:rPr>
          <w:sz w:val="20"/>
        </w:rPr>
      </w:pPr>
    </w:p>
    <w:p>
      <w:pPr>
        <w:pStyle w:val="BodyText"/>
        <w:spacing w:before="9" w:after="1"/>
        <w:rPr>
          <w:sz w:val="19"/>
        </w:rPr>
      </w:pPr>
    </w:p>
    <w:tbl>
      <w:tblPr>
        <w:tblStyle w:val="TableNormal0"/>
        <w:tblW w:w="0" w:type="auto"/>
        <w:jc w:val="left"/>
        <w:tblInd w:w="23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44"/>
        <w:gridCol w:w="4816"/>
        <w:gridCol w:w="2052"/>
      </w:tblGrid>
      <w:tr>
        <w:tblPrEx>
          <w:tblW w:w="0" w:type="auto"/>
          <w:jc w:val="left"/>
          <w:tblInd w:w="23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38"/>
          <w:jc w:val="left"/>
        </w:trPr>
        <w:tc>
          <w:tcPr>
            <w:tcW w:w="1244" w:type="dxa"/>
          </w:tcPr>
          <w:p>
            <w:pPr>
              <w:pStyle w:val="TableParagraph"/>
              <w:spacing w:line="411" w:lineRule="exact"/>
              <w:ind w:left="50"/>
              <w:rPr>
                <w:sz w:val="36"/>
              </w:rPr>
            </w:pPr>
            <w:r>
              <w:rPr>
                <w:sz w:val="36"/>
              </w:rPr>
              <w:t>1</w:t>
            </w:r>
          </w:p>
        </w:tc>
        <w:tc>
          <w:tcPr>
            <w:tcW w:w="4816" w:type="dxa"/>
          </w:tcPr>
          <w:p>
            <w:pPr>
              <w:pStyle w:val="TableParagraph"/>
              <w:spacing w:line="411" w:lineRule="exact"/>
              <w:ind w:left="995" w:right="1261"/>
              <w:jc w:val="center"/>
              <w:rPr>
                <w:sz w:val="36"/>
              </w:rPr>
            </w:pPr>
            <w:r>
              <w:rPr>
                <w:sz w:val="36"/>
              </w:rPr>
              <w:t>轴线位置</w:t>
            </w:r>
          </w:p>
        </w:tc>
        <w:tc>
          <w:tcPr>
            <w:tcW w:w="2052" w:type="dxa"/>
          </w:tcPr>
          <w:p>
            <w:pPr>
              <w:pStyle w:val="TableParagraph"/>
              <w:spacing w:line="411" w:lineRule="exact"/>
              <w:ind w:left="1230"/>
              <w:jc w:val="center"/>
              <w:rPr>
                <w:sz w:val="36"/>
              </w:rPr>
            </w:pPr>
            <w:r>
              <w:rPr>
                <w:sz w:val="36"/>
              </w:rPr>
              <w:t>5</w:t>
            </w:r>
          </w:p>
        </w:tc>
      </w:tr>
      <w:tr>
        <w:tblPrEx>
          <w:tblW w:w="0" w:type="auto"/>
          <w:jc w:val="left"/>
          <w:tblInd w:w="2374" w:type="dxa"/>
          <w:tblLayout w:type="fixed"/>
          <w:tblCellMar>
            <w:top w:w="0" w:type="dxa"/>
            <w:left w:w="0" w:type="dxa"/>
            <w:bottom w:w="0" w:type="dxa"/>
            <w:right w:w="0" w:type="dxa"/>
          </w:tblCellMar>
          <w:tblLook w:val="01E0"/>
        </w:tblPrEx>
        <w:trPr>
          <w:trHeight w:val="718"/>
          <w:jc w:val="left"/>
        </w:trPr>
        <w:tc>
          <w:tcPr>
            <w:tcW w:w="1244" w:type="dxa"/>
          </w:tcPr>
          <w:p>
            <w:pPr>
              <w:pStyle w:val="TableParagraph"/>
              <w:spacing w:before="127"/>
              <w:ind w:left="50"/>
              <w:rPr>
                <w:sz w:val="36"/>
              </w:rPr>
            </w:pPr>
            <w:r>
              <w:rPr>
                <w:sz w:val="36"/>
              </w:rPr>
              <w:t>2</w:t>
            </w:r>
          </w:p>
        </w:tc>
        <w:tc>
          <w:tcPr>
            <w:tcW w:w="4816" w:type="dxa"/>
          </w:tcPr>
          <w:p>
            <w:pPr>
              <w:pStyle w:val="TableParagraph"/>
              <w:spacing w:before="127"/>
              <w:ind w:left="995" w:right="1261"/>
              <w:jc w:val="center"/>
              <w:rPr>
                <w:sz w:val="36"/>
              </w:rPr>
            </w:pPr>
            <w:r>
              <w:rPr>
                <w:sz w:val="36"/>
              </w:rPr>
              <w:t>截面内部尺寸</w:t>
            </w:r>
          </w:p>
        </w:tc>
        <w:tc>
          <w:tcPr>
            <w:tcW w:w="2052" w:type="dxa"/>
          </w:tcPr>
          <w:p>
            <w:pPr>
              <w:pStyle w:val="TableParagraph"/>
              <w:spacing w:before="127"/>
              <w:ind w:left="1261" w:right="31"/>
              <w:jc w:val="center"/>
              <w:rPr>
                <w:sz w:val="36"/>
              </w:rPr>
            </w:pPr>
            <w:r>
              <w:rPr>
                <w:sz w:val="36"/>
              </w:rPr>
              <w:t>±10</w:t>
            </w:r>
          </w:p>
        </w:tc>
      </w:tr>
      <w:tr>
        <w:tblPrEx>
          <w:tblW w:w="0" w:type="auto"/>
          <w:jc w:val="left"/>
          <w:tblInd w:w="2374" w:type="dxa"/>
          <w:tblLayout w:type="fixed"/>
          <w:tblCellMar>
            <w:top w:w="0" w:type="dxa"/>
            <w:left w:w="0" w:type="dxa"/>
            <w:bottom w:w="0" w:type="dxa"/>
            <w:right w:w="0" w:type="dxa"/>
          </w:tblCellMar>
          <w:tblLook w:val="01E0"/>
        </w:tblPrEx>
        <w:trPr>
          <w:trHeight w:val="718"/>
          <w:jc w:val="left"/>
        </w:trPr>
        <w:tc>
          <w:tcPr>
            <w:tcW w:w="1244" w:type="dxa"/>
          </w:tcPr>
          <w:p>
            <w:pPr>
              <w:pStyle w:val="TableParagraph"/>
              <w:spacing w:before="129"/>
              <w:ind w:left="50"/>
              <w:rPr>
                <w:sz w:val="36"/>
              </w:rPr>
            </w:pPr>
            <w:r>
              <w:rPr>
                <w:sz w:val="36"/>
              </w:rPr>
              <w:t>3</w:t>
            </w:r>
          </w:p>
        </w:tc>
        <w:tc>
          <w:tcPr>
            <w:tcW w:w="4816" w:type="dxa"/>
          </w:tcPr>
          <w:p>
            <w:pPr>
              <w:pStyle w:val="TableParagraph"/>
              <w:spacing w:before="129"/>
              <w:ind w:left="995" w:right="1261"/>
              <w:jc w:val="center"/>
              <w:rPr>
                <w:sz w:val="36"/>
              </w:rPr>
            </w:pPr>
            <w:r>
              <w:rPr>
                <w:sz w:val="36"/>
              </w:rPr>
              <w:t>垂直度</w:t>
            </w:r>
          </w:p>
        </w:tc>
        <w:tc>
          <w:tcPr>
            <w:tcW w:w="2052" w:type="dxa"/>
          </w:tcPr>
          <w:p>
            <w:pPr>
              <w:pStyle w:val="TableParagraph"/>
              <w:spacing w:before="129"/>
              <w:ind w:left="1230"/>
              <w:jc w:val="center"/>
              <w:rPr>
                <w:sz w:val="36"/>
              </w:rPr>
            </w:pPr>
            <w:r>
              <w:rPr>
                <w:sz w:val="36"/>
              </w:rPr>
              <w:t>6</w:t>
            </w:r>
          </w:p>
        </w:tc>
      </w:tr>
      <w:tr>
        <w:tblPrEx>
          <w:tblW w:w="0" w:type="auto"/>
          <w:jc w:val="left"/>
          <w:tblInd w:w="2374" w:type="dxa"/>
          <w:tblLayout w:type="fixed"/>
          <w:tblCellMar>
            <w:top w:w="0" w:type="dxa"/>
            <w:left w:w="0" w:type="dxa"/>
            <w:bottom w:w="0" w:type="dxa"/>
            <w:right w:w="0" w:type="dxa"/>
          </w:tblCellMar>
          <w:tblLook w:val="01E0"/>
        </w:tblPrEx>
        <w:trPr>
          <w:trHeight w:val="538"/>
          <w:jc w:val="left"/>
        </w:trPr>
        <w:tc>
          <w:tcPr>
            <w:tcW w:w="1244" w:type="dxa"/>
          </w:tcPr>
          <w:p>
            <w:pPr>
              <w:pStyle w:val="TableParagraph"/>
              <w:spacing w:before="127" w:line="391" w:lineRule="exact"/>
              <w:ind w:left="50"/>
              <w:rPr>
                <w:sz w:val="36"/>
              </w:rPr>
            </w:pPr>
            <w:r>
              <w:rPr>
                <w:sz w:val="36"/>
              </w:rPr>
              <w:t>4</w:t>
            </w:r>
          </w:p>
        </w:tc>
        <w:tc>
          <w:tcPr>
            <w:tcW w:w="4816" w:type="dxa"/>
          </w:tcPr>
          <w:p>
            <w:pPr>
              <w:pStyle w:val="TableParagraph"/>
              <w:spacing w:before="127" w:line="391" w:lineRule="exact"/>
              <w:ind w:left="995" w:right="1261"/>
              <w:jc w:val="center"/>
              <w:rPr>
                <w:sz w:val="36"/>
              </w:rPr>
            </w:pPr>
            <w:r>
              <w:rPr>
                <w:sz w:val="36"/>
              </w:rPr>
              <w:t>相邻两板高低差</w:t>
            </w:r>
          </w:p>
        </w:tc>
        <w:tc>
          <w:tcPr>
            <w:tcW w:w="2052" w:type="dxa"/>
          </w:tcPr>
          <w:p>
            <w:pPr>
              <w:pStyle w:val="TableParagraph"/>
              <w:spacing w:before="127" w:line="391" w:lineRule="exact"/>
              <w:ind w:left="1230"/>
              <w:jc w:val="center"/>
              <w:rPr>
                <w:sz w:val="36"/>
              </w:rPr>
            </w:pPr>
            <w:r>
              <w:rPr>
                <w:sz w:val="36"/>
              </w:rPr>
              <w:t>2</w:t>
            </w:r>
          </w:p>
        </w:tc>
      </w:tr>
    </w:tbl>
    <w:p>
      <w:pPr>
        <w:pStyle w:val="BodyText"/>
        <w:rPr>
          <w:sz w:val="20"/>
        </w:rPr>
      </w:pPr>
    </w:p>
    <w:p>
      <w:pPr>
        <w:pStyle w:val="BodyText"/>
        <w:rPr>
          <w:sz w:val="20"/>
        </w:rPr>
      </w:pPr>
    </w:p>
    <w:p>
      <w:pPr>
        <w:pStyle w:val="BodyText"/>
        <w:rPr>
          <w:sz w:val="20"/>
        </w:rPr>
      </w:pPr>
    </w:p>
    <w:p>
      <w:pPr>
        <w:pStyle w:val="BodyText"/>
        <w:spacing w:before="11"/>
        <w:rPr>
          <w:sz w:val="14"/>
        </w:rPr>
      </w:pPr>
    </w:p>
    <w:p>
      <w:pPr>
        <w:pStyle w:val="ListParagraph"/>
        <w:numPr>
          <w:ilvl w:val="1"/>
          <w:numId w:val="12"/>
        </w:numPr>
        <w:tabs>
          <w:tab w:val="left" w:pos="1291"/>
        </w:tabs>
        <w:spacing w:before="49" w:after="0" w:line="364" w:lineRule="auto"/>
        <w:ind w:left="660" w:right="828" w:firstLine="0"/>
        <w:jc w:val="left"/>
        <w:rPr>
          <w:sz w:val="36"/>
        </w:rPr>
      </w:pPr>
      <w:r>
        <w:rPr>
          <w:spacing w:val="-1"/>
          <w:sz w:val="36"/>
        </w:rPr>
        <w:t>模板应有足够的强度、刚度和稳定性，表面平整、光滑，已损坏的模板不得</w:t>
      </w:r>
      <w:r>
        <w:rPr>
          <w:sz w:val="36"/>
        </w:rPr>
        <w:t>使用。</w:t>
      </w:r>
    </w:p>
    <w:p>
      <w:pPr>
        <w:pStyle w:val="ListParagraph"/>
        <w:numPr>
          <w:ilvl w:val="1"/>
          <w:numId w:val="12"/>
        </w:numPr>
        <w:tabs>
          <w:tab w:val="left" w:pos="1291"/>
        </w:tabs>
        <w:spacing w:before="2" w:after="0" w:line="364" w:lineRule="auto"/>
        <w:ind w:left="660" w:right="918" w:firstLine="0"/>
        <w:jc w:val="left"/>
        <w:rPr>
          <w:sz w:val="36"/>
        </w:rPr>
      </w:pPr>
      <w:r>
        <w:rPr>
          <w:spacing w:val="-6"/>
          <w:sz w:val="36"/>
        </w:rPr>
        <w:t>模板就位安装时，应先将模板下口部位进行找平，相邻模板之间上下左右必</w:t>
      </w:r>
      <w:r>
        <w:rPr>
          <w:sz w:val="36"/>
        </w:rPr>
        <w:t>须对齐，拼缝严密，高低误差和垂直度偏差符合规范要求。</w:t>
      </w:r>
    </w:p>
    <w:p>
      <w:pPr>
        <w:pStyle w:val="ListParagraph"/>
        <w:numPr>
          <w:ilvl w:val="1"/>
          <w:numId w:val="12"/>
        </w:numPr>
        <w:tabs>
          <w:tab w:val="left" w:pos="1291"/>
        </w:tabs>
        <w:spacing w:before="2" w:after="0" w:line="240" w:lineRule="auto"/>
        <w:ind w:left="1290" w:right="0" w:hanging="631"/>
        <w:jc w:val="left"/>
        <w:rPr>
          <w:sz w:val="36"/>
        </w:rPr>
      </w:pPr>
      <w:r>
        <w:rPr>
          <w:sz w:val="36"/>
        </w:rPr>
        <w:t>模板隔离剂应选用长效的，涂刷均匀，不得漏刷。</w:t>
      </w:r>
    </w:p>
    <w:p>
      <w:pPr>
        <w:spacing w:after="0" w:line="240" w:lineRule="auto"/>
        <w:jc w:val="left"/>
        <w:rPr>
          <w:sz w:val="36"/>
        </w:rPr>
      </w:pPr>
      <w:r>
        <w:rPr>
          <w:sz w:val="36"/>
        </w:rPr>
        <w:br/>
      </w:r>
      <w:r>
        <w:rPr>
          <w:sz w:val="36"/>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7" w:history="1">
        <w:r>
          <w:rPr>
            <w:rFonts w:ascii="SimSun" w:eastAsia="SimSun" w:hAnsi="SimSun" w:cs="SimSun"/>
            <w:b/>
            <w:bCs/>
            <w:color w:val="0000EE"/>
            <w:sz w:val="30"/>
            <w:szCs w:val="30"/>
            <w:u w:val="single" w:color="0000EE"/>
          </w:rPr>
          <w:t>https://d.book118.com/668004111101006046</w:t>
        </w:r>
      </w:hyperlink>
    </w:p>
    <w:p>
      <w:pPr>
        <w:spacing w:after="0" w:line="240" w:lineRule="auto"/>
        <w:jc w:val="left"/>
        <w:rPr>
          <w:sz w:val="36"/>
        </w:rPr>
      </w:pPr>
    </w:p>
    <w:sectPr>
      <w:footerReference w:type="default" r:id="rId18"/>
      <w:pgSz w:w="17860" w:h="25260"/>
      <w:pgMar w:top="1820" w:right="1820" w:bottom="2040" w:left="2040" w:header="0" w:footer="1844"/>
      <w:pgNumType w:start="11"/>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19.7pt;height:15.85pt;margin-top:1159.35pt;margin-left:436.81pt;mso-position-horizontal-relative:page;mso-position-vertical-relative:page;position:absolute;z-index:-251658240"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w:t>
                </w:r>
                <w:r>
                  <w:fldChar w:fldCharType="end"/>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19.7pt;height:15.85pt;margin-top:1159.35pt;margin-left:436.81pt;mso-position-horizontal-relative:page;mso-position-vertical-relative:page;position:absolute;z-index:-251657216"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w:t>
                </w:r>
                <w:r>
                  <w:fldChar w:fldCharType="end"/>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19.7pt;height:15.85pt;margin-top:1159.35pt;margin-left:436.81pt;mso-position-horizontal-relative:page;mso-position-vertical-relative:page;position:absolute;z-index:-251656192"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3</w:t>
                </w:r>
                <w:r>
                  <w:fldChar w:fldCharType="end"/>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19.7pt;height:15.85pt;margin-top:1159.35pt;margin-left:436.81pt;mso-position-horizontal-relative:page;mso-position-vertical-relative:page;position:absolute;z-index:-251655168"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4</w:t>
                </w:r>
                <w:r>
                  <w:fldChar w:fldCharType="end"/>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19.7pt;height:15.85pt;margin-top:1159.35pt;margin-left:436.81pt;mso-position-horizontal-relative:page;mso-position-vertical-relative:page;position:absolute;z-index:-251654144"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5</w:t>
                </w:r>
                <w:r>
                  <w:fldChar w:fldCharType="end"/>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19.7pt;height:15.85pt;margin-top:1159.35pt;margin-left:436.81pt;mso-position-horizontal-relative:page;mso-position-vertical-relative:page;position:absolute;z-index:-251653120"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6</w:t>
                </w:r>
                <w:r>
                  <w:fldChar w:fldCharType="end"/>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19.7pt;height:15.85pt;margin-top:1159.35pt;margin-left:436.81pt;mso-position-horizontal-relative:page;mso-position-vertical-relative:page;position:absolute;z-index:-251652096"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7</w:t>
                </w:r>
                <w:r>
                  <w:fldChar w:fldCharType="end"/>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19.7pt;height:15.85pt;margin-top:1159.35pt;margin-left:436.81pt;mso-position-horizontal-relative:page;mso-position-vertical-relative:page;position:absolute;z-index:-251651072"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8</w:t>
                </w:r>
                <w:r>
                  <w:fldChar w:fldCharType="end"/>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19.7pt;height:15.85pt;margin-top:1159.35pt;margin-left:436.81pt;mso-position-horizontal-relative:page;mso-position-vertical-relative:page;position:absolute;z-index:-251650048"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9</w:t>
                </w:r>
                <w:r>
                  <w:fldChar w:fldCharType="end"/>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19.7pt;height:15.85pt;margin-top:1159.35pt;margin-left:436.81pt;mso-position-horizontal-relative:page;mso-position-vertical-relative:page;position:absolute;z-index:-251649024"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10</w:t>
                </w:r>
                <w:r>
                  <w:fldChar w:fldCharType="end"/>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19.7pt;height:15.85pt;margin-top:1159.35pt;margin-left:436.81pt;mso-position-horizontal-relative:page;mso-position-vertical-relative:page;position:absolute;z-index:-251648000"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11</w:t>
                </w:r>
                <w:r>
                  <w:fldChar w:fldCharType="end"/>
                </w:r>
              </w:p>
            </w:txbxContent>
          </v:textbox>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218659"/>
    <w:multiLevelType w:val="hybridMultilevel"/>
    <w:tmpl w:val="00000000"/>
    <w:lvl w:ilvl="0">
      <w:start w:val="4"/>
      <w:numFmt w:val="decimal"/>
      <w:lvlText w:val="%1"/>
      <w:lvlJc w:val="left"/>
      <w:pPr>
        <w:ind w:left="1297" w:hanging="637"/>
        <w:jc w:val="left"/>
      </w:pPr>
      <w:rPr>
        <w:rFonts w:hint="default"/>
      </w:rPr>
    </w:lvl>
    <w:lvl w:ilvl="1">
      <w:start w:val="1"/>
      <w:numFmt w:val="decimal"/>
      <w:lvlText w:val="%1.%2"/>
      <w:lvlJc w:val="left"/>
      <w:pPr>
        <w:ind w:left="1297" w:hanging="637"/>
        <w:jc w:val="left"/>
      </w:pPr>
      <w:rPr>
        <w:rFonts w:ascii="宋体" w:eastAsia="宋体" w:hAnsi="宋体" w:cs="宋体" w:hint="default"/>
        <w:b/>
        <w:bCs/>
        <w:w w:val="99"/>
        <w:sz w:val="36"/>
        <w:szCs w:val="36"/>
      </w:rPr>
    </w:lvl>
    <w:lvl w:ilvl="2">
      <w:start w:val="0"/>
      <w:numFmt w:val="bullet"/>
      <w:lvlText w:val="•"/>
      <w:lvlJc w:val="left"/>
      <w:pPr>
        <w:ind w:left="3839" w:hanging="637"/>
      </w:pPr>
      <w:rPr>
        <w:rFonts w:hint="default"/>
      </w:rPr>
    </w:lvl>
    <w:lvl w:ilvl="3">
      <w:start w:val="0"/>
      <w:numFmt w:val="bullet"/>
      <w:lvlText w:val="•"/>
      <w:lvlJc w:val="left"/>
      <w:pPr>
        <w:ind w:left="5109" w:hanging="637"/>
      </w:pPr>
      <w:rPr>
        <w:rFonts w:hint="default"/>
      </w:rPr>
    </w:lvl>
    <w:lvl w:ilvl="4">
      <w:start w:val="0"/>
      <w:numFmt w:val="bullet"/>
      <w:lvlText w:val="•"/>
      <w:lvlJc w:val="left"/>
      <w:pPr>
        <w:ind w:left="6379" w:hanging="637"/>
      </w:pPr>
      <w:rPr>
        <w:rFonts w:hint="default"/>
      </w:rPr>
    </w:lvl>
    <w:lvl w:ilvl="5">
      <w:start w:val="0"/>
      <w:numFmt w:val="bullet"/>
      <w:lvlText w:val="•"/>
      <w:lvlJc w:val="left"/>
      <w:pPr>
        <w:ind w:left="7649" w:hanging="637"/>
      </w:pPr>
      <w:rPr>
        <w:rFonts w:hint="default"/>
      </w:rPr>
    </w:lvl>
    <w:lvl w:ilvl="6">
      <w:start w:val="0"/>
      <w:numFmt w:val="bullet"/>
      <w:lvlText w:val="•"/>
      <w:lvlJc w:val="left"/>
      <w:pPr>
        <w:ind w:left="8919" w:hanging="637"/>
      </w:pPr>
      <w:rPr>
        <w:rFonts w:hint="default"/>
      </w:rPr>
    </w:lvl>
    <w:lvl w:ilvl="7">
      <w:start w:val="0"/>
      <w:numFmt w:val="bullet"/>
      <w:lvlText w:val="•"/>
      <w:lvlJc w:val="left"/>
      <w:pPr>
        <w:ind w:left="10189" w:hanging="637"/>
      </w:pPr>
      <w:rPr>
        <w:rFonts w:hint="default"/>
      </w:rPr>
    </w:lvl>
    <w:lvl w:ilvl="8">
      <w:start w:val="0"/>
      <w:numFmt w:val="bullet"/>
      <w:lvlText w:val="•"/>
      <w:lvlJc w:val="left"/>
      <w:pPr>
        <w:ind w:left="11459" w:hanging="637"/>
      </w:pPr>
      <w:rPr>
        <w:rFonts w:hint="default"/>
      </w:rPr>
    </w:lvl>
  </w:abstractNum>
  <w:abstractNum w:abstractNumId="1">
    <w:nsid w:val="1E244C2F"/>
    <w:multiLevelType w:val="hybridMultilevel"/>
    <w:tmpl w:val="00000000"/>
    <w:lvl w:ilvl="0">
      <w:start w:val="1"/>
      <w:numFmt w:val="decimal"/>
      <w:lvlText w:val="%1"/>
      <w:lvlJc w:val="left"/>
      <w:pPr>
        <w:ind w:left="1290" w:hanging="630"/>
        <w:jc w:val="left"/>
      </w:pPr>
      <w:rPr>
        <w:rFonts w:hint="default"/>
      </w:rPr>
    </w:lvl>
    <w:lvl w:ilvl="1">
      <w:start w:val="1"/>
      <w:numFmt w:val="decimal"/>
      <w:lvlText w:val="%1.%2"/>
      <w:lvlJc w:val="left"/>
      <w:pPr>
        <w:ind w:left="1290" w:hanging="630"/>
        <w:jc w:val="left"/>
      </w:pPr>
      <w:rPr>
        <w:rFonts w:ascii="宋体" w:eastAsia="宋体" w:hAnsi="宋体" w:cs="宋体" w:hint="default"/>
        <w:w w:val="100"/>
        <w:sz w:val="36"/>
        <w:szCs w:val="36"/>
      </w:rPr>
    </w:lvl>
    <w:lvl w:ilvl="2">
      <w:start w:val="0"/>
      <w:numFmt w:val="bullet"/>
      <w:lvlText w:val="•"/>
      <w:lvlJc w:val="left"/>
      <w:pPr>
        <w:ind w:left="3839" w:hanging="630"/>
      </w:pPr>
      <w:rPr>
        <w:rFonts w:hint="default"/>
      </w:rPr>
    </w:lvl>
    <w:lvl w:ilvl="3">
      <w:start w:val="0"/>
      <w:numFmt w:val="bullet"/>
      <w:lvlText w:val="•"/>
      <w:lvlJc w:val="left"/>
      <w:pPr>
        <w:ind w:left="5109" w:hanging="630"/>
      </w:pPr>
      <w:rPr>
        <w:rFonts w:hint="default"/>
      </w:rPr>
    </w:lvl>
    <w:lvl w:ilvl="4">
      <w:start w:val="0"/>
      <w:numFmt w:val="bullet"/>
      <w:lvlText w:val="•"/>
      <w:lvlJc w:val="left"/>
      <w:pPr>
        <w:ind w:left="6379" w:hanging="630"/>
      </w:pPr>
      <w:rPr>
        <w:rFonts w:hint="default"/>
      </w:rPr>
    </w:lvl>
    <w:lvl w:ilvl="5">
      <w:start w:val="0"/>
      <w:numFmt w:val="bullet"/>
      <w:lvlText w:val="•"/>
      <w:lvlJc w:val="left"/>
      <w:pPr>
        <w:ind w:left="7649" w:hanging="630"/>
      </w:pPr>
      <w:rPr>
        <w:rFonts w:hint="default"/>
      </w:rPr>
    </w:lvl>
    <w:lvl w:ilvl="6">
      <w:start w:val="0"/>
      <w:numFmt w:val="bullet"/>
      <w:lvlText w:val="•"/>
      <w:lvlJc w:val="left"/>
      <w:pPr>
        <w:ind w:left="8919" w:hanging="630"/>
      </w:pPr>
      <w:rPr>
        <w:rFonts w:hint="default"/>
      </w:rPr>
    </w:lvl>
    <w:lvl w:ilvl="7">
      <w:start w:val="0"/>
      <w:numFmt w:val="bullet"/>
      <w:lvlText w:val="•"/>
      <w:lvlJc w:val="left"/>
      <w:pPr>
        <w:ind w:left="10189" w:hanging="630"/>
      </w:pPr>
      <w:rPr>
        <w:rFonts w:hint="default"/>
      </w:rPr>
    </w:lvl>
    <w:lvl w:ilvl="8">
      <w:start w:val="0"/>
      <w:numFmt w:val="bullet"/>
      <w:lvlText w:val="•"/>
      <w:lvlJc w:val="left"/>
      <w:pPr>
        <w:ind w:left="11459" w:hanging="630"/>
      </w:pPr>
      <w:rPr>
        <w:rFonts w:hint="default"/>
      </w:rPr>
    </w:lvl>
  </w:abstractNum>
  <w:abstractNum w:abstractNumId="2">
    <w:nsid w:val="1F81A707"/>
    <w:multiLevelType w:val="hybridMultilevel"/>
    <w:tmpl w:val="00000000"/>
    <w:lvl w:ilvl="0">
      <w:start w:val="2"/>
      <w:numFmt w:val="decimal"/>
      <w:lvlText w:val="%1）"/>
      <w:lvlJc w:val="left"/>
      <w:pPr>
        <w:ind w:left="1201" w:hanging="541"/>
        <w:jc w:val="left"/>
      </w:pPr>
      <w:rPr>
        <w:rFonts w:ascii="宋体" w:eastAsia="宋体" w:hAnsi="宋体" w:cs="宋体" w:hint="default"/>
        <w:w w:val="100"/>
        <w:sz w:val="34"/>
        <w:szCs w:val="34"/>
      </w:rPr>
    </w:lvl>
    <w:lvl w:ilvl="1">
      <w:start w:val="0"/>
      <w:numFmt w:val="bullet"/>
      <w:lvlText w:val="•"/>
      <w:lvlJc w:val="left"/>
      <w:pPr>
        <w:ind w:left="2479" w:hanging="541"/>
      </w:pPr>
      <w:rPr>
        <w:rFonts w:hint="default"/>
      </w:rPr>
    </w:lvl>
    <w:lvl w:ilvl="2">
      <w:start w:val="0"/>
      <w:numFmt w:val="bullet"/>
      <w:lvlText w:val="•"/>
      <w:lvlJc w:val="left"/>
      <w:pPr>
        <w:ind w:left="3759" w:hanging="541"/>
      </w:pPr>
      <w:rPr>
        <w:rFonts w:hint="default"/>
      </w:rPr>
    </w:lvl>
    <w:lvl w:ilvl="3">
      <w:start w:val="0"/>
      <w:numFmt w:val="bullet"/>
      <w:lvlText w:val="•"/>
      <w:lvlJc w:val="left"/>
      <w:pPr>
        <w:ind w:left="5039" w:hanging="541"/>
      </w:pPr>
      <w:rPr>
        <w:rFonts w:hint="default"/>
      </w:rPr>
    </w:lvl>
    <w:lvl w:ilvl="4">
      <w:start w:val="0"/>
      <w:numFmt w:val="bullet"/>
      <w:lvlText w:val="•"/>
      <w:lvlJc w:val="left"/>
      <w:pPr>
        <w:ind w:left="6319" w:hanging="541"/>
      </w:pPr>
      <w:rPr>
        <w:rFonts w:hint="default"/>
      </w:rPr>
    </w:lvl>
    <w:lvl w:ilvl="5">
      <w:start w:val="0"/>
      <w:numFmt w:val="bullet"/>
      <w:lvlText w:val="•"/>
      <w:lvlJc w:val="left"/>
      <w:pPr>
        <w:ind w:left="7599" w:hanging="541"/>
      </w:pPr>
      <w:rPr>
        <w:rFonts w:hint="default"/>
      </w:rPr>
    </w:lvl>
    <w:lvl w:ilvl="6">
      <w:start w:val="0"/>
      <w:numFmt w:val="bullet"/>
      <w:lvlText w:val="•"/>
      <w:lvlJc w:val="left"/>
      <w:pPr>
        <w:ind w:left="8879" w:hanging="541"/>
      </w:pPr>
      <w:rPr>
        <w:rFonts w:hint="default"/>
      </w:rPr>
    </w:lvl>
    <w:lvl w:ilvl="7">
      <w:start w:val="0"/>
      <w:numFmt w:val="bullet"/>
      <w:lvlText w:val="•"/>
      <w:lvlJc w:val="left"/>
      <w:pPr>
        <w:ind w:left="10159" w:hanging="541"/>
      </w:pPr>
      <w:rPr>
        <w:rFonts w:hint="default"/>
      </w:rPr>
    </w:lvl>
    <w:lvl w:ilvl="8">
      <w:start w:val="0"/>
      <w:numFmt w:val="bullet"/>
      <w:lvlText w:val="•"/>
      <w:lvlJc w:val="left"/>
      <w:pPr>
        <w:ind w:left="11439" w:hanging="541"/>
      </w:pPr>
      <w:rPr>
        <w:rFonts w:hint="default"/>
      </w:rPr>
    </w:lvl>
  </w:abstractNum>
  <w:abstractNum w:abstractNumId="3">
    <w:nsid w:val="29CC4EE8"/>
    <w:multiLevelType w:val="hybridMultilevel"/>
    <w:tmpl w:val="00000000"/>
    <w:lvl w:ilvl="0">
      <w:start w:val="6"/>
      <w:numFmt w:val="decimal"/>
      <w:lvlText w:val="%1"/>
      <w:lvlJc w:val="left"/>
      <w:pPr>
        <w:ind w:left="660" w:hanging="720"/>
        <w:jc w:val="left"/>
      </w:pPr>
      <w:rPr>
        <w:rFonts w:hint="default"/>
      </w:rPr>
    </w:lvl>
    <w:lvl w:ilvl="1">
      <w:start w:val="1"/>
      <w:numFmt w:val="decimal"/>
      <w:lvlText w:val="%1.%2"/>
      <w:lvlJc w:val="left"/>
      <w:pPr>
        <w:ind w:left="660" w:hanging="720"/>
        <w:jc w:val="left"/>
      </w:pPr>
      <w:rPr>
        <w:rFonts w:ascii="宋体" w:eastAsia="宋体" w:hAnsi="宋体" w:cs="宋体" w:hint="default"/>
        <w:w w:val="100"/>
        <w:sz w:val="36"/>
        <w:szCs w:val="36"/>
      </w:rPr>
    </w:lvl>
    <w:lvl w:ilvl="2">
      <w:start w:val="0"/>
      <w:numFmt w:val="bullet"/>
      <w:lvlText w:val="•"/>
      <w:lvlJc w:val="left"/>
      <w:pPr>
        <w:ind w:left="3327" w:hanging="720"/>
      </w:pPr>
      <w:rPr>
        <w:rFonts w:hint="default"/>
      </w:rPr>
    </w:lvl>
    <w:lvl w:ilvl="3">
      <w:start w:val="0"/>
      <w:numFmt w:val="bullet"/>
      <w:lvlText w:val="•"/>
      <w:lvlJc w:val="left"/>
      <w:pPr>
        <w:ind w:left="4661" w:hanging="720"/>
      </w:pPr>
      <w:rPr>
        <w:rFonts w:hint="default"/>
      </w:rPr>
    </w:lvl>
    <w:lvl w:ilvl="4">
      <w:start w:val="0"/>
      <w:numFmt w:val="bullet"/>
      <w:lvlText w:val="•"/>
      <w:lvlJc w:val="left"/>
      <w:pPr>
        <w:ind w:left="5995" w:hanging="720"/>
      </w:pPr>
      <w:rPr>
        <w:rFonts w:hint="default"/>
      </w:rPr>
    </w:lvl>
    <w:lvl w:ilvl="5">
      <w:start w:val="0"/>
      <w:numFmt w:val="bullet"/>
      <w:lvlText w:val="•"/>
      <w:lvlJc w:val="left"/>
      <w:pPr>
        <w:ind w:left="7329" w:hanging="720"/>
      </w:pPr>
      <w:rPr>
        <w:rFonts w:hint="default"/>
      </w:rPr>
    </w:lvl>
    <w:lvl w:ilvl="6">
      <w:start w:val="0"/>
      <w:numFmt w:val="bullet"/>
      <w:lvlText w:val="•"/>
      <w:lvlJc w:val="left"/>
      <w:pPr>
        <w:ind w:left="8663" w:hanging="720"/>
      </w:pPr>
      <w:rPr>
        <w:rFonts w:hint="default"/>
      </w:rPr>
    </w:lvl>
    <w:lvl w:ilvl="7">
      <w:start w:val="0"/>
      <w:numFmt w:val="bullet"/>
      <w:lvlText w:val="•"/>
      <w:lvlJc w:val="left"/>
      <w:pPr>
        <w:ind w:left="9997" w:hanging="720"/>
      </w:pPr>
      <w:rPr>
        <w:rFonts w:hint="default"/>
      </w:rPr>
    </w:lvl>
    <w:lvl w:ilvl="8">
      <w:start w:val="0"/>
      <w:numFmt w:val="bullet"/>
      <w:lvlText w:val="•"/>
      <w:lvlJc w:val="left"/>
      <w:pPr>
        <w:ind w:left="11331" w:hanging="720"/>
      </w:pPr>
      <w:rPr>
        <w:rFonts w:hint="default"/>
      </w:rPr>
    </w:lvl>
  </w:abstractNum>
  <w:abstractNum w:abstractNumId="4">
    <w:nsid w:val="35C9CB45"/>
    <w:multiLevelType w:val="hybridMultilevel"/>
    <w:tmpl w:val="00000000"/>
    <w:lvl w:ilvl="0">
      <w:start w:val="7"/>
      <w:numFmt w:val="decimal"/>
      <w:lvlText w:val="%1"/>
      <w:lvlJc w:val="left"/>
      <w:pPr>
        <w:ind w:left="1290" w:hanging="630"/>
        <w:jc w:val="left"/>
      </w:pPr>
      <w:rPr>
        <w:rFonts w:hint="default"/>
      </w:rPr>
    </w:lvl>
    <w:lvl w:ilvl="1">
      <w:start w:val="1"/>
      <w:numFmt w:val="decimal"/>
      <w:lvlText w:val="%1.%2"/>
      <w:lvlJc w:val="left"/>
      <w:pPr>
        <w:ind w:left="1290" w:hanging="630"/>
        <w:jc w:val="left"/>
      </w:pPr>
      <w:rPr>
        <w:rFonts w:ascii="宋体" w:eastAsia="宋体" w:hAnsi="宋体" w:cs="宋体" w:hint="default"/>
        <w:w w:val="100"/>
        <w:sz w:val="36"/>
        <w:szCs w:val="36"/>
      </w:rPr>
    </w:lvl>
    <w:lvl w:ilvl="2">
      <w:start w:val="0"/>
      <w:numFmt w:val="bullet"/>
      <w:lvlText w:val="•"/>
      <w:lvlJc w:val="left"/>
      <w:pPr>
        <w:ind w:left="3839" w:hanging="630"/>
      </w:pPr>
      <w:rPr>
        <w:rFonts w:hint="default"/>
      </w:rPr>
    </w:lvl>
    <w:lvl w:ilvl="3">
      <w:start w:val="0"/>
      <w:numFmt w:val="bullet"/>
      <w:lvlText w:val="•"/>
      <w:lvlJc w:val="left"/>
      <w:pPr>
        <w:ind w:left="5109" w:hanging="630"/>
      </w:pPr>
      <w:rPr>
        <w:rFonts w:hint="default"/>
      </w:rPr>
    </w:lvl>
    <w:lvl w:ilvl="4">
      <w:start w:val="0"/>
      <w:numFmt w:val="bullet"/>
      <w:lvlText w:val="•"/>
      <w:lvlJc w:val="left"/>
      <w:pPr>
        <w:ind w:left="6379" w:hanging="630"/>
      </w:pPr>
      <w:rPr>
        <w:rFonts w:hint="default"/>
      </w:rPr>
    </w:lvl>
    <w:lvl w:ilvl="5">
      <w:start w:val="0"/>
      <w:numFmt w:val="bullet"/>
      <w:lvlText w:val="•"/>
      <w:lvlJc w:val="left"/>
      <w:pPr>
        <w:ind w:left="7649" w:hanging="630"/>
      </w:pPr>
      <w:rPr>
        <w:rFonts w:hint="default"/>
      </w:rPr>
    </w:lvl>
    <w:lvl w:ilvl="6">
      <w:start w:val="0"/>
      <w:numFmt w:val="bullet"/>
      <w:lvlText w:val="•"/>
      <w:lvlJc w:val="left"/>
      <w:pPr>
        <w:ind w:left="8919" w:hanging="630"/>
      </w:pPr>
      <w:rPr>
        <w:rFonts w:hint="default"/>
      </w:rPr>
    </w:lvl>
    <w:lvl w:ilvl="7">
      <w:start w:val="0"/>
      <w:numFmt w:val="bullet"/>
      <w:lvlText w:val="•"/>
      <w:lvlJc w:val="left"/>
      <w:pPr>
        <w:ind w:left="10189" w:hanging="630"/>
      </w:pPr>
      <w:rPr>
        <w:rFonts w:hint="default"/>
      </w:rPr>
    </w:lvl>
    <w:lvl w:ilvl="8">
      <w:start w:val="0"/>
      <w:numFmt w:val="bullet"/>
      <w:lvlText w:val="•"/>
      <w:lvlJc w:val="left"/>
      <w:pPr>
        <w:ind w:left="11459" w:hanging="630"/>
      </w:pPr>
      <w:rPr>
        <w:rFonts w:hint="default"/>
      </w:rPr>
    </w:lvl>
  </w:abstractNum>
  <w:abstractNum w:abstractNumId="5">
    <w:nsid w:val="3B68567F"/>
    <w:multiLevelType w:val="hybridMultilevel"/>
    <w:tmpl w:val="00000000"/>
    <w:lvl w:ilvl="0">
      <w:start w:val="5"/>
      <w:numFmt w:val="decimal"/>
      <w:lvlText w:val="%1）"/>
      <w:lvlJc w:val="left"/>
      <w:pPr>
        <w:ind w:left="1201" w:hanging="541"/>
        <w:jc w:val="left"/>
      </w:pPr>
      <w:rPr>
        <w:rFonts w:ascii="宋体" w:eastAsia="宋体" w:hAnsi="宋体" w:cs="宋体" w:hint="default"/>
        <w:w w:val="100"/>
        <w:sz w:val="34"/>
        <w:szCs w:val="34"/>
      </w:rPr>
    </w:lvl>
    <w:lvl w:ilvl="1">
      <w:start w:val="0"/>
      <w:numFmt w:val="bullet"/>
      <w:lvlText w:val="•"/>
      <w:lvlJc w:val="left"/>
      <w:pPr>
        <w:ind w:left="2479" w:hanging="541"/>
      </w:pPr>
      <w:rPr>
        <w:rFonts w:hint="default"/>
      </w:rPr>
    </w:lvl>
    <w:lvl w:ilvl="2">
      <w:start w:val="0"/>
      <w:numFmt w:val="bullet"/>
      <w:lvlText w:val="•"/>
      <w:lvlJc w:val="left"/>
      <w:pPr>
        <w:ind w:left="3759" w:hanging="541"/>
      </w:pPr>
      <w:rPr>
        <w:rFonts w:hint="default"/>
      </w:rPr>
    </w:lvl>
    <w:lvl w:ilvl="3">
      <w:start w:val="0"/>
      <w:numFmt w:val="bullet"/>
      <w:lvlText w:val="•"/>
      <w:lvlJc w:val="left"/>
      <w:pPr>
        <w:ind w:left="5039" w:hanging="541"/>
      </w:pPr>
      <w:rPr>
        <w:rFonts w:hint="default"/>
      </w:rPr>
    </w:lvl>
    <w:lvl w:ilvl="4">
      <w:start w:val="0"/>
      <w:numFmt w:val="bullet"/>
      <w:lvlText w:val="•"/>
      <w:lvlJc w:val="left"/>
      <w:pPr>
        <w:ind w:left="6319" w:hanging="541"/>
      </w:pPr>
      <w:rPr>
        <w:rFonts w:hint="default"/>
      </w:rPr>
    </w:lvl>
    <w:lvl w:ilvl="5">
      <w:start w:val="0"/>
      <w:numFmt w:val="bullet"/>
      <w:lvlText w:val="•"/>
      <w:lvlJc w:val="left"/>
      <w:pPr>
        <w:ind w:left="7599" w:hanging="541"/>
      </w:pPr>
      <w:rPr>
        <w:rFonts w:hint="default"/>
      </w:rPr>
    </w:lvl>
    <w:lvl w:ilvl="6">
      <w:start w:val="0"/>
      <w:numFmt w:val="bullet"/>
      <w:lvlText w:val="•"/>
      <w:lvlJc w:val="left"/>
      <w:pPr>
        <w:ind w:left="8879" w:hanging="541"/>
      </w:pPr>
      <w:rPr>
        <w:rFonts w:hint="default"/>
      </w:rPr>
    </w:lvl>
    <w:lvl w:ilvl="7">
      <w:start w:val="0"/>
      <w:numFmt w:val="bullet"/>
      <w:lvlText w:val="•"/>
      <w:lvlJc w:val="left"/>
      <w:pPr>
        <w:ind w:left="10159" w:hanging="541"/>
      </w:pPr>
      <w:rPr>
        <w:rFonts w:hint="default"/>
      </w:rPr>
    </w:lvl>
    <w:lvl w:ilvl="8">
      <w:start w:val="0"/>
      <w:numFmt w:val="bullet"/>
      <w:lvlText w:val="•"/>
      <w:lvlJc w:val="left"/>
      <w:pPr>
        <w:ind w:left="11439" w:hanging="541"/>
      </w:pPr>
      <w:rPr>
        <w:rFonts w:hint="default"/>
      </w:rPr>
    </w:lvl>
  </w:abstractNum>
  <w:abstractNum w:abstractNumId="6">
    <w:nsid w:val="3E1461A9"/>
    <w:multiLevelType w:val="hybridMultilevel"/>
    <w:tmpl w:val="00000000"/>
    <w:lvl w:ilvl="0">
      <w:start w:val="1"/>
      <w:numFmt w:val="decimal"/>
      <w:lvlText w:val="%1）"/>
      <w:lvlJc w:val="left"/>
      <w:pPr>
        <w:ind w:left="660" w:hanging="541"/>
        <w:jc w:val="left"/>
      </w:pPr>
      <w:rPr>
        <w:rFonts w:ascii="宋体" w:eastAsia="宋体" w:hAnsi="宋体" w:cs="宋体" w:hint="default"/>
        <w:spacing w:val="-76"/>
        <w:w w:val="100"/>
        <w:sz w:val="34"/>
        <w:szCs w:val="34"/>
      </w:rPr>
    </w:lvl>
    <w:lvl w:ilvl="1">
      <w:start w:val="0"/>
      <w:numFmt w:val="bullet"/>
      <w:lvlText w:val="•"/>
      <w:lvlJc w:val="left"/>
      <w:pPr>
        <w:ind w:left="1993" w:hanging="541"/>
      </w:pPr>
      <w:rPr>
        <w:rFonts w:hint="default"/>
      </w:rPr>
    </w:lvl>
    <w:lvl w:ilvl="2">
      <w:start w:val="0"/>
      <w:numFmt w:val="bullet"/>
      <w:lvlText w:val="•"/>
      <w:lvlJc w:val="left"/>
      <w:pPr>
        <w:ind w:left="3327" w:hanging="541"/>
      </w:pPr>
      <w:rPr>
        <w:rFonts w:hint="default"/>
      </w:rPr>
    </w:lvl>
    <w:lvl w:ilvl="3">
      <w:start w:val="0"/>
      <w:numFmt w:val="bullet"/>
      <w:lvlText w:val="•"/>
      <w:lvlJc w:val="left"/>
      <w:pPr>
        <w:ind w:left="4661" w:hanging="541"/>
      </w:pPr>
      <w:rPr>
        <w:rFonts w:hint="default"/>
      </w:rPr>
    </w:lvl>
    <w:lvl w:ilvl="4">
      <w:start w:val="0"/>
      <w:numFmt w:val="bullet"/>
      <w:lvlText w:val="•"/>
      <w:lvlJc w:val="left"/>
      <w:pPr>
        <w:ind w:left="5995" w:hanging="541"/>
      </w:pPr>
      <w:rPr>
        <w:rFonts w:hint="default"/>
      </w:rPr>
    </w:lvl>
    <w:lvl w:ilvl="5">
      <w:start w:val="0"/>
      <w:numFmt w:val="bullet"/>
      <w:lvlText w:val="•"/>
      <w:lvlJc w:val="left"/>
      <w:pPr>
        <w:ind w:left="7329" w:hanging="541"/>
      </w:pPr>
      <w:rPr>
        <w:rFonts w:hint="default"/>
      </w:rPr>
    </w:lvl>
    <w:lvl w:ilvl="6">
      <w:start w:val="0"/>
      <w:numFmt w:val="bullet"/>
      <w:lvlText w:val="•"/>
      <w:lvlJc w:val="left"/>
      <w:pPr>
        <w:ind w:left="8663" w:hanging="541"/>
      </w:pPr>
      <w:rPr>
        <w:rFonts w:hint="default"/>
      </w:rPr>
    </w:lvl>
    <w:lvl w:ilvl="7">
      <w:start w:val="0"/>
      <w:numFmt w:val="bullet"/>
      <w:lvlText w:val="•"/>
      <w:lvlJc w:val="left"/>
      <w:pPr>
        <w:ind w:left="9997" w:hanging="541"/>
      </w:pPr>
      <w:rPr>
        <w:rFonts w:hint="default"/>
      </w:rPr>
    </w:lvl>
    <w:lvl w:ilvl="8">
      <w:start w:val="0"/>
      <w:numFmt w:val="bullet"/>
      <w:lvlText w:val="•"/>
      <w:lvlJc w:val="left"/>
      <w:pPr>
        <w:ind w:left="11331" w:hanging="541"/>
      </w:pPr>
      <w:rPr>
        <w:rFonts w:hint="default"/>
      </w:rPr>
    </w:lvl>
  </w:abstractNum>
  <w:abstractNum w:abstractNumId="7">
    <w:nsid w:val="42228A5A"/>
    <w:multiLevelType w:val="hybridMultilevel"/>
    <w:tmpl w:val="00000000"/>
    <w:lvl w:ilvl="0">
      <w:start w:val="1"/>
      <w:numFmt w:val="decimal"/>
      <w:lvlText w:val="%1）"/>
      <w:lvlJc w:val="left"/>
      <w:pPr>
        <w:ind w:left="1201" w:hanging="541"/>
        <w:jc w:val="left"/>
      </w:pPr>
      <w:rPr>
        <w:rFonts w:ascii="宋体" w:eastAsia="宋体" w:hAnsi="宋体" w:cs="宋体" w:hint="default"/>
        <w:spacing w:val="-73"/>
        <w:w w:val="100"/>
        <w:sz w:val="34"/>
        <w:szCs w:val="34"/>
      </w:rPr>
    </w:lvl>
    <w:lvl w:ilvl="1">
      <w:start w:val="0"/>
      <w:numFmt w:val="bullet"/>
      <w:lvlText w:val="•"/>
      <w:lvlJc w:val="left"/>
      <w:pPr>
        <w:ind w:left="2479" w:hanging="541"/>
      </w:pPr>
      <w:rPr>
        <w:rFonts w:hint="default"/>
      </w:rPr>
    </w:lvl>
    <w:lvl w:ilvl="2">
      <w:start w:val="0"/>
      <w:numFmt w:val="bullet"/>
      <w:lvlText w:val="•"/>
      <w:lvlJc w:val="left"/>
      <w:pPr>
        <w:ind w:left="3759" w:hanging="541"/>
      </w:pPr>
      <w:rPr>
        <w:rFonts w:hint="default"/>
      </w:rPr>
    </w:lvl>
    <w:lvl w:ilvl="3">
      <w:start w:val="0"/>
      <w:numFmt w:val="bullet"/>
      <w:lvlText w:val="•"/>
      <w:lvlJc w:val="left"/>
      <w:pPr>
        <w:ind w:left="5039" w:hanging="541"/>
      </w:pPr>
      <w:rPr>
        <w:rFonts w:hint="default"/>
      </w:rPr>
    </w:lvl>
    <w:lvl w:ilvl="4">
      <w:start w:val="0"/>
      <w:numFmt w:val="bullet"/>
      <w:lvlText w:val="•"/>
      <w:lvlJc w:val="left"/>
      <w:pPr>
        <w:ind w:left="6319" w:hanging="541"/>
      </w:pPr>
      <w:rPr>
        <w:rFonts w:hint="default"/>
      </w:rPr>
    </w:lvl>
    <w:lvl w:ilvl="5">
      <w:start w:val="0"/>
      <w:numFmt w:val="bullet"/>
      <w:lvlText w:val="•"/>
      <w:lvlJc w:val="left"/>
      <w:pPr>
        <w:ind w:left="7599" w:hanging="541"/>
      </w:pPr>
      <w:rPr>
        <w:rFonts w:hint="default"/>
      </w:rPr>
    </w:lvl>
    <w:lvl w:ilvl="6">
      <w:start w:val="0"/>
      <w:numFmt w:val="bullet"/>
      <w:lvlText w:val="•"/>
      <w:lvlJc w:val="left"/>
      <w:pPr>
        <w:ind w:left="8879" w:hanging="541"/>
      </w:pPr>
      <w:rPr>
        <w:rFonts w:hint="default"/>
      </w:rPr>
    </w:lvl>
    <w:lvl w:ilvl="7">
      <w:start w:val="0"/>
      <w:numFmt w:val="bullet"/>
      <w:lvlText w:val="•"/>
      <w:lvlJc w:val="left"/>
      <w:pPr>
        <w:ind w:left="10159" w:hanging="541"/>
      </w:pPr>
      <w:rPr>
        <w:rFonts w:hint="default"/>
      </w:rPr>
    </w:lvl>
    <w:lvl w:ilvl="8">
      <w:start w:val="0"/>
      <w:numFmt w:val="bullet"/>
      <w:lvlText w:val="•"/>
      <w:lvlJc w:val="left"/>
      <w:pPr>
        <w:ind w:left="11439" w:hanging="541"/>
      </w:pPr>
      <w:rPr>
        <w:rFonts w:hint="default"/>
      </w:rPr>
    </w:lvl>
  </w:abstractNum>
  <w:abstractNum w:abstractNumId="8">
    <w:nsid w:val="43F7BFF9"/>
    <w:multiLevelType w:val="hybridMultilevel"/>
    <w:tmpl w:val="00000000"/>
    <w:lvl w:ilvl="0">
      <w:start w:val="4"/>
      <w:numFmt w:val="decimal"/>
      <w:lvlText w:val="%1"/>
      <w:lvlJc w:val="left"/>
      <w:pPr>
        <w:ind w:left="660" w:hanging="630"/>
        <w:jc w:val="left"/>
      </w:pPr>
      <w:rPr>
        <w:rFonts w:hint="default"/>
      </w:rPr>
    </w:lvl>
    <w:lvl w:ilvl="1">
      <w:start w:val="1"/>
      <w:numFmt w:val="decimal"/>
      <w:lvlText w:val="%1.%2"/>
      <w:lvlJc w:val="left"/>
      <w:pPr>
        <w:ind w:left="660" w:hanging="630"/>
        <w:jc w:val="left"/>
      </w:pPr>
      <w:rPr>
        <w:rFonts w:ascii="宋体" w:eastAsia="宋体" w:hAnsi="宋体" w:cs="宋体" w:hint="default"/>
        <w:w w:val="100"/>
        <w:sz w:val="36"/>
        <w:szCs w:val="36"/>
      </w:rPr>
    </w:lvl>
    <w:lvl w:ilvl="2">
      <w:start w:val="1"/>
      <w:numFmt w:val="decimal"/>
      <w:lvlText w:val="%1.%2.%3"/>
      <w:lvlJc w:val="left"/>
      <w:pPr>
        <w:ind w:left="1650" w:hanging="990"/>
        <w:jc w:val="left"/>
      </w:pPr>
      <w:rPr>
        <w:rFonts w:ascii="宋体" w:eastAsia="宋体" w:hAnsi="宋体" w:cs="宋体" w:hint="default"/>
        <w:w w:val="100"/>
        <w:sz w:val="36"/>
        <w:szCs w:val="36"/>
      </w:rPr>
    </w:lvl>
    <w:lvl w:ilvl="3">
      <w:start w:val="0"/>
      <w:numFmt w:val="bullet"/>
      <w:lvlText w:val="•"/>
      <w:lvlJc w:val="left"/>
      <w:pPr>
        <w:ind w:left="4402" w:hanging="990"/>
      </w:pPr>
      <w:rPr>
        <w:rFonts w:hint="default"/>
      </w:rPr>
    </w:lvl>
    <w:lvl w:ilvl="4">
      <w:start w:val="0"/>
      <w:numFmt w:val="bullet"/>
      <w:lvlText w:val="•"/>
      <w:lvlJc w:val="left"/>
      <w:pPr>
        <w:ind w:left="5773" w:hanging="990"/>
      </w:pPr>
      <w:rPr>
        <w:rFonts w:hint="default"/>
      </w:rPr>
    </w:lvl>
    <w:lvl w:ilvl="5">
      <w:start w:val="0"/>
      <w:numFmt w:val="bullet"/>
      <w:lvlText w:val="•"/>
      <w:lvlJc w:val="left"/>
      <w:pPr>
        <w:ind w:left="7144" w:hanging="990"/>
      </w:pPr>
      <w:rPr>
        <w:rFonts w:hint="default"/>
      </w:rPr>
    </w:lvl>
    <w:lvl w:ilvl="6">
      <w:start w:val="0"/>
      <w:numFmt w:val="bullet"/>
      <w:lvlText w:val="•"/>
      <w:lvlJc w:val="left"/>
      <w:pPr>
        <w:ind w:left="8515" w:hanging="990"/>
      </w:pPr>
      <w:rPr>
        <w:rFonts w:hint="default"/>
      </w:rPr>
    </w:lvl>
    <w:lvl w:ilvl="7">
      <w:start w:val="0"/>
      <w:numFmt w:val="bullet"/>
      <w:lvlText w:val="•"/>
      <w:lvlJc w:val="left"/>
      <w:pPr>
        <w:ind w:left="9886" w:hanging="990"/>
      </w:pPr>
      <w:rPr>
        <w:rFonts w:hint="default"/>
      </w:rPr>
    </w:lvl>
    <w:lvl w:ilvl="8">
      <w:start w:val="0"/>
      <w:numFmt w:val="bullet"/>
      <w:lvlText w:val="•"/>
      <w:lvlJc w:val="left"/>
      <w:pPr>
        <w:ind w:left="11257" w:hanging="990"/>
      </w:pPr>
      <w:rPr>
        <w:rFonts w:hint="default"/>
      </w:rPr>
    </w:lvl>
  </w:abstractNum>
  <w:abstractNum w:abstractNumId="9">
    <w:nsid w:val="45D5E4E6"/>
    <w:multiLevelType w:val="hybridMultilevel"/>
    <w:tmpl w:val="00000000"/>
    <w:lvl w:ilvl="0">
      <w:start w:val="1"/>
      <w:numFmt w:val="decimal"/>
      <w:lvlText w:val="%1）"/>
      <w:lvlJc w:val="left"/>
      <w:pPr>
        <w:ind w:left="660" w:hanging="541"/>
        <w:jc w:val="left"/>
      </w:pPr>
      <w:rPr>
        <w:rFonts w:ascii="宋体" w:eastAsia="宋体" w:hAnsi="宋体" w:cs="宋体" w:hint="default"/>
        <w:w w:val="100"/>
        <w:sz w:val="34"/>
        <w:szCs w:val="34"/>
      </w:rPr>
    </w:lvl>
    <w:lvl w:ilvl="1">
      <w:start w:val="0"/>
      <w:numFmt w:val="bullet"/>
      <w:lvlText w:val="•"/>
      <w:lvlJc w:val="left"/>
      <w:pPr>
        <w:ind w:left="1993" w:hanging="541"/>
      </w:pPr>
      <w:rPr>
        <w:rFonts w:hint="default"/>
      </w:rPr>
    </w:lvl>
    <w:lvl w:ilvl="2">
      <w:start w:val="0"/>
      <w:numFmt w:val="bullet"/>
      <w:lvlText w:val="•"/>
      <w:lvlJc w:val="left"/>
      <w:pPr>
        <w:ind w:left="3327" w:hanging="541"/>
      </w:pPr>
      <w:rPr>
        <w:rFonts w:hint="default"/>
      </w:rPr>
    </w:lvl>
    <w:lvl w:ilvl="3">
      <w:start w:val="0"/>
      <w:numFmt w:val="bullet"/>
      <w:lvlText w:val="•"/>
      <w:lvlJc w:val="left"/>
      <w:pPr>
        <w:ind w:left="4661" w:hanging="541"/>
      </w:pPr>
      <w:rPr>
        <w:rFonts w:hint="default"/>
      </w:rPr>
    </w:lvl>
    <w:lvl w:ilvl="4">
      <w:start w:val="0"/>
      <w:numFmt w:val="bullet"/>
      <w:lvlText w:val="•"/>
      <w:lvlJc w:val="left"/>
      <w:pPr>
        <w:ind w:left="5995" w:hanging="541"/>
      </w:pPr>
      <w:rPr>
        <w:rFonts w:hint="default"/>
      </w:rPr>
    </w:lvl>
    <w:lvl w:ilvl="5">
      <w:start w:val="0"/>
      <w:numFmt w:val="bullet"/>
      <w:lvlText w:val="•"/>
      <w:lvlJc w:val="left"/>
      <w:pPr>
        <w:ind w:left="7329" w:hanging="541"/>
      </w:pPr>
      <w:rPr>
        <w:rFonts w:hint="default"/>
      </w:rPr>
    </w:lvl>
    <w:lvl w:ilvl="6">
      <w:start w:val="0"/>
      <w:numFmt w:val="bullet"/>
      <w:lvlText w:val="•"/>
      <w:lvlJc w:val="left"/>
      <w:pPr>
        <w:ind w:left="8663" w:hanging="541"/>
      </w:pPr>
      <w:rPr>
        <w:rFonts w:hint="default"/>
      </w:rPr>
    </w:lvl>
    <w:lvl w:ilvl="7">
      <w:start w:val="0"/>
      <w:numFmt w:val="bullet"/>
      <w:lvlText w:val="•"/>
      <w:lvlJc w:val="left"/>
      <w:pPr>
        <w:ind w:left="9997" w:hanging="541"/>
      </w:pPr>
      <w:rPr>
        <w:rFonts w:hint="default"/>
      </w:rPr>
    </w:lvl>
    <w:lvl w:ilvl="8">
      <w:start w:val="0"/>
      <w:numFmt w:val="bullet"/>
      <w:lvlText w:val="•"/>
      <w:lvlJc w:val="left"/>
      <w:pPr>
        <w:ind w:left="11331" w:hanging="541"/>
      </w:pPr>
      <w:rPr>
        <w:rFonts w:hint="default"/>
      </w:rPr>
    </w:lvl>
  </w:abstractNum>
  <w:abstractNum w:abstractNumId="10">
    <w:nsid w:val="4DE3E69B"/>
    <w:multiLevelType w:val="hybridMultilevel"/>
    <w:tmpl w:val="00000000"/>
    <w:lvl w:ilvl="0">
      <w:start w:val="2"/>
      <w:numFmt w:val="decimal"/>
      <w:lvlText w:val="%1"/>
      <w:lvlJc w:val="left"/>
      <w:pPr>
        <w:ind w:left="1290" w:hanging="630"/>
        <w:jc w:val="left"/>
      </w:pPr>
      <w:rPr>
        <w:rFonts w:hint="default"/>
      </w:rPr>
    </w:lvl>
    <w:lvl w:ilvl="1">
      <w:start w:val="1"/>
      <w:numFmt w:val="decimal"/>
      <w:lvlText w:val="%1.%2"/>
      <w:lvlJc w:val="left"/>
      <w:pPr>
        <w:ind w:left="1290" w:hanging="630"/>
        <w:jc w:val="left"/>
      </w:pPr>
      <w:rPr>
        <w:rFonts w:ascii="宋体" w:eastAsia="宋体" w:hAnsi="宋体" w:cs="宋体" w:hint="default"/>
        <w:w w:val="100"/>
        <w:sz w:val="36"/>
        <w:szCs w:val="36"/>
      </w:rPr>
    </w:lvl>
    <w:lvl w:ilvl="2">
      <w:start w:val="0"/>
      <w:numFmt w:val="bullet"/>
      <w:lvlText w:val="•"/>
      <w:lvlJc w:val="left"/>
      <w:pPr>
        <w:ind w:left="3839" w:hanging="630"/>
      </w:pPr>
      <w:rPr>
        <w:rFonts w:hint="default"/>
      </w:rPr>
    </w:lvl>
    <w:lvl w:ilvl="3">
      <w:start w:val="0"/>
      <w:numFmt w:val="bullet"/>
      <w:lvlText w:val="•"/>
      <w:lvlJc w:val="left"/>
      <w:pPr>
        <w:ind w:left="5109" w:hanging="630"/>
      </w:pPr>
      <w:rPr>
        <w:rFonts w:hint="default"/>
      </w:rPr>
    </w:lvl>
    <w:lvl w:ilvl="4">
      <w:start w:val="0"/>
      <w:numFmt w:val="bullet"/>
      <w:lvlText w:val="•"/>
      <w:lvlJc w:val="left"/>
      <w:pPr>
        <w:ind w:left="6379" w:hanging="630"/>
      </w:pPr>
      <w:rPr>
        <w:rFonts w:hint="default"/>
      </w:rPr>
    </w:lvl>
    <w:lvl w:ilvl="5">
      <w:start w:val="0"/>
      <w:numFmt w:val="bullet"/>
      <w:lvlText w:val="•"/>
      <w:lvlJc w:val="left"/>
      <w:pPr>
        <w:ind w:left="7649" w:hanging="630"/>
      </w:pPr>
      <w:rPr>
        <w:rFonts w:hint="default"/>
      </w:rPr>
    </w:lvl>
    <w:lvl w:ilvl="6">
      <w:start w:val="0"/>
      <w:numFmt w:val="bullet"/>
      <w:lvlText w:val="•"/>
      <w:lvlJc w:val="left"/>
      <w:pPr>
        <w:ind w:left="8919" w:hanging="630"/>
      </w:pPr>
      <w:rPr>
        <w:rFonts w:hint="default"/>
      </w:rPr>
    </w:lvl>
    <w:lvl w:ilvl="7">
      <w:start w:val="0"/>
      <w:numFmt w:val="bullet"/>
      <w:lvlText w:val="•"/>
      <w:lvlJc w:val="left"/>
      <w:pPr>
        <w:ind w:left="10189" w:hanging="630"/>
      </w:pPr>
      <w:rPr>
        <w:rFonts w:hint="default"/>
      </w:rPr>
    </w:lvl>
    <w:lvl w:ilvl="8">
      <w:start w:val="0"/>
      <w:numFmt w:val="bullet"/>
      <w:lvlText w:val="•"/>
      <w:lvlJc w:val="left"/>
      <w:pPr>
        <w:ind w:left="11459" w:hanging="630"/>
      </w:pPr>
      <w:rPr>
        <w:rFonts w:hint="default"/>
      </w:rPr>
    </w:lvl>
  </w:abstractNum>
  <w:abstractNum w:abstractNumId="11">
    <w:nsid w:val="53634D58"/>
    <w:multiLevelType w:val="hybridMultilevel"/>
    <w:tmpl w:val="00000000"/>
    <w:lvl w:ilvl="0">
      <w:start w:val="3"/>
      <w:numFmt w:val="decimal"/>
      <w:lvlText w:val="%1"/>
      <w:lvlJc w:val="left"/>
      <w:pPr>
        <w:ind w:left="1297" w:hanging="637"/>
        <w:jc w:val="left"/>
      </w:pPr>
      <w:rPr>
        <w:rFonts w:hint="default"/>
      </w:rPr>
    </w:lvl>
    <w:lvl w:ilvl="1">
      <w:start w:val="1"/>
      <w:numFmt w:val="decimal"/>
      <w:lvlText w:val="%1.%2"/>
      <w:lvlJc w:val="left"/>
      <w:pPr>
        <w:ind w:left="1297" w:hanging="637"/>
        <w:jc w:val="left"/>
      </w:pPr>
      <w:rPr>
        <w:rFonts w:ascii="宋体" w:eastAsia="宋体" w:hAnsi="宋体" w:cs="宋体" w:hint="default"/>
        <w:b/>
        <w:bCs/>
        <w:w w:val="99"/>
        <w:sz w:val="36"/>
        <w:szCs w:val="36"/>
      </w:rPr>
    </w:lvl>
    <w:lvl w:ilvl="2">
      <w:start w:val="1"/>
      <w:numFmt w:val="decimal"/>
      <w:lvlText w:val="%1.%2.%3"/>
      <w:lvlJc w:val="left"/>
      <w:pPr>
        <w:ind w:left="660" w:hanging="990"/>
        <w:jc w:val="left"/>
      </w:pPr>
      <w:rPr>
        <w:rFonts w:ascii="宋体" w:eastAsia="宋体" w:hAnsi="宋体" w:cs="宋体" w:hint="default"/>
        <w:w w:val="100"/>
        <w:sz w:val="36"/>
        <w:szCs w:val="36"/>
      </w:rPr>
    </w:lvl>
    <w:lvl w:ilvl="3">
      <w:start w:val="0"/>
      <w:numFmt w:val="bullet"/>
      <w:lvlText w:val="•"/>
      <w:lvlJc w:val="left"/>
      <w:pPr>
        <w:ind w:left="3202" w:hanging="990"/>
      </w:pPr>
      <w:rPr>
        <w:rFonts w:hint="default"/>
      </w:rPr>
    </w:lvl>
    <w:lvl w:ilvl="4">
      <w:start w:val="0"/>
      <w:numFmt w:val="bullet"/>
      <w:lvlText w:val="•"/>
      <w:lvlJc w:val="left"/>
      <w:pPr>
        <w:ind w:left="4744" w:hanging="990"/>
      </w:pPr>
      <w:rPr>
        <w:rFonts w:hint="default"/>
      </w:rPr>
    </w:lvl>
    <w:lvl w:ilvl="5">
      <w:start w:val="0"/>
      <w:numFmt w:val="bullet"/>
      <w:lvlText w:val="•"/>
      <w:lvlJc w:val="left"/>
      <w:pPr>
        <w:ind w:left="6287" w:hanging="990"/>
      </w:pPr>
      <w:rPr>
        <w:rFonts w:hint="default"/>
      </w:rPr>
    </w:lvl>
    <w:lvl w:ilvl="6">
      <w:start w:val="0"/>
      <w:numFmt w:val="bullet"/>
      <w:lvlText w:val="•"/>
      <w:lvlJc w:val="left"/>
      <w:pPr>
        <w:ind w:left="7829" w:hanging="990"/>
      </w:pPr>
      <w:rPr>
        <w:rFonts w:hint="default"/>
      </w:rPr>
    </w:lvl>
    <w:lvl w:ilvl="7">
      <w:start w:val="0"/>
      <w:numFmt w:val="bullet"/>
      <w:lvlText w:val="•"/>
      <w:lvlJc w:val="left"/>
      <w:pPr>
        <w:ind w:left="9372" w:hanging="990"/>
      </w:pPr>
      <w:rPr>
        <w:rFonts w:hint="default"/>
      </w:rPr>
    </w:lvl>
    <w:lvl w:ilvl="8">
      <w:start w:val="0"/>
      <w:numFmt w:val="bullet"/>
      <w:lvlText w:val="•"/>
      <w:lvlJc w:val="left"/>
      <w:pPr>
        <w:ind w:left="10914" w:hanging="990"/>
      </w:pPr>
      <w:rPr>
        <w:rFonts w:hint="default"/>
      </w:rPr>
    </w:lvl>
  </w:abstractNum>
  <w:abstractNum w:abstractNumId="12">
    <w:nsid w:val="5DFB9BD7"/>
    <w:multiLevelType w:val="hybridMultilevel"/>
    <w:tmpl w:val="00000000"/>
    <w:lvl w:ilvl="0">
      <w:start w:val="5"/>
      <w:numFmt w:val="decimal"/>
      <w:lvlText w:val="%1"/>
      <w:lvlJc w:val="left"/>
      <w:pPr>
        <w:ind w:left="1297" w:hanging="637"/>
        <w:jc w:val="left"/>
      </w:pPr>
      <w:rPr>
        <w:rFonts w:hint="default"/>
      </w:rPr>
    </w:lvl>
    <w:lvl w:ilvl="1">
      <w:start w:val="2"/>
      <w:numFmt w:val="decimal"/>
      <w:lvlText w:val="%1.%2"/>
      <w:lvlJc w:val="left"/>
      <w:pPr>
        <w:ind w:left="1297" w:hanging="637"/>
        <w:jc w:val="left"/>
      </w:pPr>
      <w:rPr>
        <w:rFonts w:ascii="宋体" w:eastAsia="宋体" w:hAnsi="宋体" w:cs="宋体" w:hint="default"/>
        <w:b/>
        <w:bCs/>
        <w:w w:val="99"/>
        <w:sz w:val="36"/>
        <w:szCs w:val="36"/>
      </w:rPr>
    </w:lvl>
    <w:lvl w:ilvl="2">
      <w:start w:val="1"/>
      <w:numFmt w:val="decimal"/>
      <w:lvlText w:val="%1.%2.%3"/>
      <w:lvlJc w:val="left"/>
      <w:pPr>
        <w:ind w:left="1650" w:hanging="990"/>
        <w:jc w:val="left"/>
      </w:pPr>
      <w:rPr>
        <w:rFonts w:ascii="宋体" w:eastAsia="宋体" w:hAnsi="宋体" w:cs="宋体" w:hint="default"/>
        <w:w w:val="100"/>
        <w:sz w:val="36"/>
        <w:szCs w:val="36"/>
      </w:rPr>
    </w:lvl>
    <w:lvl w:ilvl="3">
      <w:start w:val="0"/>
      <w:numFmt w:val="bullet"/>
      <w:lvlText w:val="•"/>
      <w:lvlJc w:val="left"/>
      <w:pPr>
        <w:ind w:left="4402" w:hanging="990"/>
      </w:pPr>
      <w:rPr>
        <w:rFonts w:hint="default"/>
      </w:rPr>
    </w:lvl>
    <w:lvl w:ilvl="4">
      <w:start w:val="0"/>
      <w:numFmt w:val="bullet"/>
      <w:lvlText w:val="•"/>
      <w:lvlJc w:val="left"/>
      <w:pPr>
        <w:ind w:left="5773" w:hanging="990"/>
      </w:pPr>
      <w:rPr>
        <w:rFonts w:hint="default"/>
      </w:rPr>
    </w:lvl>
    <w:lvl w:ilvl="5">
      <w:start w:val="0"/>
      <w:numFmt w:val="bullet"/>
      <w:lvlText w:val="•"/>
      <w:lvlJc w:val="left"/>
      <w:pPr>
        <w:ind w:left="7144" w:hanging="990"/>
      </w:pPr>
      <w:rPr>
        <w:rFonts w:hint="default"/>
      </w:rPr>
    </w:lvl>
    <w:lvl w:ilvl="6">
      <w:start w:val="0"/>
      <w:numFmt w:val="bullet"/>
      <w:lvlText w:val="•"/>
      <w:lvlJc w:val="left"/>
      <w:pPr>
        <w:ind w:left="8515" w:hanging="990"/>
      </w:pPr>
      <w:rPr>
        <w:rFonts w:hint="default"/>
      </w:rPr>
    </w:lvl>
    <w:lvl w:ilvl="7">
      <w:start w:val="0"/>
      <w:numFmt w:val="bullet"/>
      <w:lvlText w:val="•"/>
      <w:lvlJc w:val="left"/>
      <w:pPr>
        <w:ind w:left="9886" w:hanging="990"/>
      </w:pPr>
      <w:rPr>
        <w:rFonts w:hint="default"/>
      </w:rPr>
    </w:lvl>
    <w:lvl w:ilvl="8">
      <w:start w:val="0"/>
      <w:numFmt w:val="bullet"/>
      <w:lvlText w:val="•"/>
      <w:lvlJc w:val="left"/>
      <w:pPr>
        <w:ind w:left="11257" w:hanging="990"/>
      </w:pPr>
      <w:rPr>
        <w:rFonts w:hint="default"/>
      </w:rPr>
    </w:lvl>
  </w:abstractNum>
  <w:abstractNum w:abstractNumId="13">
    <w:nsid w:val="61BBED25"/>
    <w:multiLevelType w:val="hybridMultilevel"/>
    <w:tmpl w:val="00000000"/>
    <w:lvl w:ilvl="0">
      <w:start w:val="2"/>
      <w:numFmt w:val="decimal"/>
      <w:lvlText w:val="%1"/>
      <w:lvlJc w:val="left"/>
      <w:pPr>
        <w:ind w:left="660" w:hanging="630"/>
        <w:jc w:val="left"/>
      </w:pPr>
      <w:rPr>
        <w:rFonts w:hint="default"/>
      </w:rPr>
    </w:lvl>
    <w:lvl w:ilvl="1">
      <w:start w:val="1"/>
      <w:numFmt w:val="decimal"/>
      <w:lvlText w:val="%1.%2"/>
      <w:lvlJc w:val="left"/>
      <w:pPr>
        <w:ind w:left="660" w:hanging="630"/>
        <w:jc w:val="left"/>
      </w:pPr>
      <w:rPr>
        <w:rFonts w:ascii="宋体" w:eastAsia="宋体" w:hAnsi="宋体" w:cs="宋体" w:hint="default"/>
        <w:w w:val="100"/>
        <w:sz w:val="36"/>
        <w:szCs w:val="36"/>
      </w:rPr>
    </w:lvl>
    <w:lvl w:ilvl="2">
      <w:start w:val="0"/>
      <w:numFmt w:val="bullet"/>
      <w:lvlText w:val="•"/>
      <w:lvlJc w:val="left"/>
      <w:pPr>
        <w:ind w:left="3327" w:hanging="630"/>
      </w:pPr>
      <w:rPr>
        <w:rFonts w:hint="default"/>
      </w:rPr>
    </w:lvl>
    <w:lvl w:ilvl="3">
      <w:start w:val="0"/>
      <w:numFmt w:val="bullet"/>
      <w:lvlText w:val="•"/>
      <w:lvlJc w:val="left"/>
      <w:pPr>
        <w:ind w:left="4661" w:hanging="630"/>
      </w:pPr>
      <w:rPr>
        <w:rFonts w:hint="default"/>
      </w:rPr>
    </w:lvl>
    <w:lvl w:ilvl="4">
      <w:start w:val="0"/>
      <w:numFmt w:val="bullet"/>
      <w:lvlText w:val="•"/>
      <w:lvlJc w:val="left"/>
      <w:pPr>
        <w:ind w:left="5995" w:hanging="630"/>
      </w:pPr>
      <w:rPr>
        <w:rFonts w:hint="default"/>
      </w:rPr>
    </w:lvl>
    <w:lvl w:ilvl="5">
      <w:start w:val="0"/>
      <w:numFmt w:val="bullet"/>
      <w:lvlText w:val="•"/>
      <w:lvlJc w:val="left"/>
      <w:pPr>
        <w:ind w:left="7329" w:hanging="630"/>
      </w:pPr>
      <w:rPr>
        <w:rFonts w:hint="default"/>
      </w:rPr>
    </w:lvl>
    <w:lvl w:ilvl="6">
      <w:start w:val="0"/>
      <w:numFmt w:val="bullet"/>
      <w:lvlText w:val="•"/>
      <w:lvlJc w:val="left"/>
      <w:pPr>
        <w:ind w:left="8663" w:hanging="630"/>
      </w:pPr>
      <w:rPr>
        <w:rFonts w:hint="default"/>
      </w:rPr>
    </w:lvl>
    <w:lvl w:ilvl="7">
      <w:start w:val="0"/>
      <w:numFmt w:val="bullet"/>
      <w:lvlText w:val="•"/>
      <w:lvlJc w:val="left"/>
      <w:pPr>
        <w:ind w:left="9997" w:hanging="630"/>
      </w:pPr>
      <w:rPr>
        <w:rFonts w:hint="default"/>
      </w:rPr>
    </w:lvl>
    <w:lvl w:ilvl="8">
      <w:start w:val="0"/>
      <w:numFmt w:val="bullet"/>
      <w:lvlText w:val="•"/>
      <w:lvlJc w:val="left"/>
      <w:pPr>
        <w:ind w:left="11331" w:hanging="630"/>
      </w:pPr>
      <w:rPr>
        <w:rFonts w:hint="default"/>
      </w:rPr>
    </w:lvl>
  </w:abstractNum>
  <w:abstractNum w:abstractNumId="14">
    <w:nsid w:val="62FDAC5E"/>
    <w:multiLevelType w:val="hybridMultilevel"/>
    <w:tmpl w:val="00000000"/>
    <w:lvl w:ilvl="0">
      <w:start w:val="2"/>
      <w:numFmt w:val="decimal"/>
      <w:lvlText w:val="%1"/>
      <w:lvlJc w:val="left"/>
      <w:pPr>
        <w:ind w:left="1290" w:hanging="630"/>
        <w:jc w:val="left"/>
      </w:pPr>
      <w:rPr>
        <w:rFonts w:hint="default"/>
      </w:rPr>
    </w:lvl>
    <w:lvl w:ilvl="1">
      <w:start w:val="1"/>
      <w:numFmt w:val="decimal"/>
      <w:lvlText w:val="%1.%2"/>
      <w:lvlJc w:val="left"/>
      <w:pPr>
        <w:ind w:left="1290" w:hanging="630"/>
        <w:jc w:val="left"/>
      </w:pPr>
      <w:rPr>
        <w:rFonts w:ascii="宋体" w:eastAsia="宋体" w:hAnsi="宋体" w:cs="宋体" w:hint="default"/>
        <w:w w:val="100"/>
        <w:sz w:val="36"/>
        <w:szCs w:val="36"/>
      </w:rPr>
    </w:lvl>
    <w:lvl w:ilvl="2">
      <w:start w:val="0"/>
      <w:numFmt w:val="bullet"/>
      <w:lvlText w:val="•"/>
      <w:lvlJc w:val="left"/>
      <w:pPr>
        <w:ind w:left="3839" w:hanging="630"/>
      </w:pPr>
      <w:rPr>
        <w:rFonts w:hint="default"/>
      </w:rPr>
    </w:lvl>
    <w:lvl w:ilvl="3">
      <w:start w:val="0"/>
      <w:numFmt w:val="bullet"/>
      <w:lvlText w:val="•"/>
      <w:lvlJc w:val="left"/>
      <w:pPr>
        <w:ind w:left="5109" w:hanging="630"/>
      </w:pPr>
      <w:rPr>
        <w:rFonts w:hint="default"/>
      </w:rPr>
    </w:lvl>
    <w:lvl w:ilvl="4">
      <w:start w:val="0"/>
      <w:numFmt w:val="bullet"/>
      <w:lvlText w:val="•"/>
      <w:lvlJc w:val="left"/>
      <w:pPr>
        <w:ind w:left="6379" w:hanging="630"/>
      </w:pPr>
      <w:rPr>
        <w:rFonts w:hint="default"/>
      </w:rPr>
    </w:lvl>
    <w:lvl w:ilvl="5">
      <w:start w:val="0"/>
      <w:numFmt w:val="bullet"/>
      <w:lvlText w:val="•"/>
      <w:lvlJc w:val="left"/>
      <w:pPr>
        <w:ind w:left="7649" w:hanging="630"/>
      </w:pPr>
      <w:rPr>
        <w:rFonts w:hint="default"/>
      </w:rPr>
    </w:lvl>
    <w:lvl w:ilvl="6">
      <w:start w:val="0"/>
      <w:numFmt w:val="bullet"/>
      <w:lvlText w:val="•"/>
      <w:lvlJc w:val="left"/>
      <w:pPr>
        <w:ind w:left="8919" w:hanging="630"/>
      </w:pPr>
      <w:rPr>
        <w:rFonts w:hint="default"/>
      </w:rPr>
    </w:lvl>
    <w:lvl w:ilvl="7">
      <w:start w:val="0"/>
      <w:numFmt w:val="bullet"/>
      <w:lvlText w:val="•"/>
      <w:lvlJc w:val="left"/>
      <w:pPr>
        <w:ind w:left="10189" w:hanging="630"/>
      </w:pPr>
      <w:rPr>
        <w:rFonts w:hint="default"/>
      </w:rPr>
    </w:lvl>
    <w:lvl w:ilvl="8">
      <w:start w:val="0"/>
      <w:numFmt w:val="bullet"/>
      <w:lvlText w:val="•"/>
      <w:lvlJc w:val="left"/>
      <w:pPr>
        <w:ind w:left="11459" w:hanging="630"/>
      </w:pPr>
      <w:rPr>
        <w:rFonts w:hint="default"/>
      </w:rPr>
    </w:lvl>
  </w:abstractNum>
  <w:abstractNum w:abstractNumId="15">
    <w:nsid w:val="6428E11E"/>
    <w:multiLevelType w:val="hybridMultilevel"/>
    <w:tmpl w:val="00000000"/>
    <w:lvl w:ilvl="0">
      <w:start w:val="5"/>
      <w:numFmt w:val="decimal"/>
      <w:lvlText w:val="%1"/>
      <w:lvlJc w:val="left"/>
      <w:pPr>
        <w:ind w:left="660" w:hanging="630"/>
        <w:jc w:val="left"/>
      </w:pPr>
      <w:rPr>
        <w:rFonts w:hint="default"/>
      </w:rPr>
    </w:lvl>
    <w:lvl w:ilvl="1">
      <w:start w:val="1"/>
      <w:numFmt w:val="decimal"/>
      <w:lvlText w:val="%1.%2"/>
      <w:lvlJc w:val="left"/>
      <w:pPr>
        <w:ind w:left="660" w:hanging="630"/>
        <w:jc w:val="left"/>
      </w:pPr>
      <w:rPr>
        <w:rFonts w:ascii="宋体" w:eastAsia="宋体" w:hAnsi="宋体" w:cs="宋体" w:hint="default"/>
        <w:w w:val="100"/>
        <w:sz w:val="36"/>
        <w:szCs w:val="36"/>
      </w:rPr>
    </w:lvl>
    <w:lvl w:ilvl="2">
      <w:start w:val="0"/>
      <w:numFmt w:val="bullet"/>
      <w:lvlText w:val="•"/>
      <w:lvlJc w:val="left"/>
      <w:pPr>
        <w:ind w:left="3327" w:hanging="630"/>
      </w:pPr>
      <w:rPr>
        <w:rFonts w:hint="default"/>
      </w:rPr>
    </w:lvl>
    <w:lvl w:ilvl="3">
      <w:start w:val="0"/>
      <w:numFmt w:val="bullet"/>
      <w:lvlText w:val="•"/>
      <w:lvlJc w:val="left"/>
      <w:pPr>
        <w:ind w:left="4661" w:hanging="630"/>
      </w:pPr>
      <w:rPr>
        <w:rFonts w:hint="default"/>
      </w:rPr>
    </w:lvl>
    <w:lvl w:ilvl="4">
      <w:start w:val="0"/>
      <w:numFmt w:val="bullet"/>
      <w:lvlText w:val="•"/>
      <w:lvlJc w:val="left"/>
      <w:pPr>
        <w:ind w:left="5995" w:hanging="630"/>
      </w:pPr>
      <w:rPr>
        <w:rFonts w:hint="default"/>
      </w:rPr>
    </w:lvl>
    <w:lvl w:ilvl="5">
      <w:start w:val="0"/>
      <w:numFmt w:val="bullet"/>
      <w:lvlText w:val="•"/>
      <w:lvlJc w:val="left"/>
      <w:pPr>
        <w:ind w:left="7329" w:hanging="630"/>
      </w:pPr>
      <w:rPr>
        <w:rFonts w:hint="default"/>
      </w:rPr>
    </w:lvl>
    <w:lvl w:ilvl="6">
      <w:start w:val="0"/>
      <w:numFmt w:val="bullet"/>
      <w:lvlText w:val="•"/>
      <w:lvlJc w:val="left"/>
      <w:pPr>
        <w:ind w:left="8663" w:hanging="630"/>
      </w:pPr>
      <w:rPr>
        <w:rFonts w:hint="default"/>
      </w:rPr>
    </w:lvl>
    <w:lvl w:ilvl="7">
      <w:start w:val="0"/>
      <w:numFmt w:val="bullet"/>
      <w:lvlText w:val="•"/>
      <w:lvlJc w:val="left"/>
      <w:pPr>
        <w:ind w:left="9997" w:hanging="630"/>
      </w:pPr>
      <w:rPr>
        <w:rFonts w:hint="default"/>
      </w:rPr>
    </w:lvl>
    <w:lvl w:ilvl="8">
      <w:start w:val="0"/>
      <w:numFmt w:val="bullet"/>
      <w:lvlText w:val="•"/>
      <w:lvlJc w:val="left"/>
      <w:pPr>
        <w:ind w:left="11331" w:hanging="630"/>
      </w:pPr>
      <w:rPr>
        <w:rFonts w:hint="default"/>
      </w:rPr>
    </w:lvl>
  </w:abstractNum>
  <w:abstractNum w:abstractNumId="16">
    <w:nsid w:val="676C0942"/>
    <w:multiLevelType w:val="hybridMultilevel"/>
    <w:tmpl w:val="00000000"/>
    <w:lvl w:ilvl="0">
      <w:start w:val="3"/>
      <w:numFmt w:val="decimal"/>
      <w:lvlText w:val="%1）"/>
      <w:lvlJc w:val="left"/>
      <w:pPr>
        <w:ind w:left="1201" w:hanging="541"/>
        <w:jc w:val="left"/>
      </w:pPr>
      <w:rPr>
        <w:rFonts w:ascii="宋体" w:eastAsia="宋体" w:hAnsi="宋体" w:cs="宋体" w:hint="default"/>
        <w:w w:val="100"/>
        <w:sz w:val="34"/>
        <w:szCs w:val="34"/>
      </w:rPr>
    </w:lvl>
    <w:lvl w:ilvl="1">
      <w:start w:val="0"/>
      <w:numFmt w:val="bullet"/>
      <w:lvlText w:val="•"/>
      <w:lvlJc w:val="left"/>
      <w:pPr>
        <w:ind w:left="2479" w:hanging="541"/>
      </w:pPr>
      <w:rPr>
        <w:rFonts w:hint="default"/>
      </w:rPr>
    </w:lvl>
    <w:lvl w:ilvl="2">
      <w:start w:val="0"/>
      <w:numFmt w:val="bullet"/>
      <w:lvlText w:val="•"/>
      <w:lvlJc w:val="left"/>
      <w:pPr>
        <w:ind w:left="3759" w:hanging="541"/>
      </w:pPr>
      <w:rPr>
        <w:rFonts w:hint="default"/>
      </w:rPr>
    </w:lvl>
    <w:lvl w:ilvl="3">
      <w:start w:val="0"/>
      <w:numFmt w:val="bullet"/>
      <w:lvlText w:val="•"/>
      <w:lvlJc w:val="left"/>
      <w:pPr>
        <w:ind w:left="5039" w:hanging="541"/>
      </w:pPr>
      <w:rPr>
        <w:rFonts w:hint="default"/>
      </w:rPr>
    </w:lvl>
    <w:lvl w:ilvl="4">
      <w:start w:val="0"/>
      <w:numFmt w:val="bullet"/>
      <w:lvlText w:val="•"/>
      <w:lvlJc w:val="left"/>
      <w:pPr>
        <w:ind w:left="6319" w:hanging="541"/>
      </w:pPr>
      <w:rPr>
        <w:rFonts w:hint="default"/>
      </w:rPr>
    </w:lvl>
    <w:lvl w:ilvl="5">
      <w:start w:val="0"/>
      <w:numFmt w:val="bullet"/>
      <w:lvlText w:val="•"/>
      <w:lvlJc w:val="left"/>
      <w:pPr>
        <w:ind w:left="7599" w:hanging="541"/>
      </w:pPr>
      <w:rPr>
        <w:rFonts w:hint="default"/>
      </w:rPr>
    </w:lvl>
    <w:lvl w:ilvl="6">
      <w:start w:val="0"/>
      <w:numFmt w:val="bullet"/>
      <w:lvlText w:val="•"/>
      <w:lvlJc w:val="left"/>
      <w:pPr>
        <w:ind w:left="8879" w:hanging="541"/>
      </w:pPr>
      <w:rPr>
        <w:rFonts w:hint="default"/>
      </w:rPr>
    </w:lvl>
    <w:lvl w:ilvl="7">
      <w:start w:val="0"/>
      <w:numFmt w:val="bullet"/>
      <w:lvlText w:val="•"/>
      <w:lvlJc w:val="left"/>
      <w:pPr>
        <w:ind w:left="10159" w:hanging="541"/>
      </w:pPr>
      <w:rPr>
        <w:rFonts w:hint="default"/>
      </w:rPr>
    </w:lvl>
    <w:lvl w:ilvl="8">
      <w:start w:val="0"/>
      <w:numFmt w:val="bullet"/>
      <w:lvlText w:val="•"/>
      <w:lvlJc w:val="left"/>
      <w:pPr>
        <w:ind w:left="11439" w:hanging="541"/>
      </w:pPr>
      <w:rPr>
        <w:rFonts w:hint="default"/>
      </w:rPr>
    </w:lvl>
  </w:abstractNum>
  <w:abstractNum w:abstractNumId="17">
    <w:nsid w:val="6C037005"/>
    <w:multiLevelType w:val="hybridMultilevel"/>
    <w:tmpl w:val="00000000"/>
    <w:lvl w:ilvl="0">
      <w:start w:val="1"/>
      <w:numFmt w:val="decimal"/>
      <w:lvlText w:val="%1"/>
      <w:lvlJc w:val="left"/>
      <w:pPr>
        <w:ind w:left="660" w:hanging="630"/>
        <w:jc w:val="left"/>
      </w:pPr>
      <w:rPr>
        <w:rFonts w:hint="default"/>
      </w:rPr>
    </w:lvl>
    <w:lvl w:ilvl="1">
      <w:start w:val="1"/>
      <w:numFmt w:val="decimal"/>
      <w:lvlText w:val="%1.%2"/>
      <w:lvlJc w:val="left"/>
      <w:pPr>
        <w:ind w:left="660" w:hanging="630"/>
        <w:jc w:val="left"/>
      </w:pPr>
      <w:rPr>
        <w:rFonts w:ascii="宋体" w:eastAsia="宋体" w:hAnsi="宋体" w:cs="宋体" w:hint="default"/>
        <w:w w:val="100"/>
        <w:sz w:val="36"/>
        <w:szCs w:val="36"/>
      </w:rPr>
    </w:lvl>
    <w:lvl w:ilvl="2">
      <w:start w:val="0"/>
      <w:numFmt w:val="bullet"/>
      <w:lvlText w:val="•"/>
      <w:lvlJc w:val="left"/>
      <w:pPr>
        <w:ind w:left="3327" w:hanging="630"/>
      </w:pPr>
      <w:rPr>
        <w:rFonts w:hint="default"/>
      </w:rPr>
    </w:lvl>
    <w:lvl w:ilvl="3">
      <w:start w:val="0"/>
      <w:numFmt w:val="bullet"/>
      <w:lvlText w:val="•"/>
      <w:lvlJc w:val="left"/>
      <w:pPr>
        <w:ind w:left="4661" w:hanging="630"/>
      </w:pPr>
      <w:rPr>
        <w:rFonts w:hint="default"/>
      </w:rPr>
    </w:lvl>
    <w:lvl w:ilvl="4">
      <w:start w:val="0"/>
      <w:numFmt w:val="bullet"/>
      <w:lvlText w:val="•"/>
      <w:lvlJc w:val="left"/>
      <w:pPr>
        <w:ind w:left="5995" w:hanging="630"/>
      </w:pPr>
      <w:rPr>
        <w:rFonts w:hint="default"/>
      </w:rPr>
    </w:lvl>
    <w:lvl w:ilvl="5">
      <w:start w:val="0"/>
      <w:numFmt w:val="bullet"/>
      <w:lvlText w:val="•"/>
      <w:lvlJc w:val="left"/>
      <w:pPr>
        <w:ind w:left="7329" w:hanging="630"/>
      </w:pPr>
      <w:rPr>
        <w:rFonts w:hint="default"/>
      </w:rPr>
    </w:lvl>
    <w:lvl w:ilvl="6">
      <w:start w:val="0"/>
      <w:numFmt w:val="bullet"/>
      <w:lvlText w:val="•"/>
      <w:lvlJc w:val="left"/>
      <w:pPr>
        <w:ind w:left="8663" w:hanging="630"/>
      </w:pPr>
      <w:rPr>
        <w:rFonts w:hint="default"/>
      </w:rPr>
    </w:lvl>
    <w:lvl w:ilvl="7">
      <w:start w:val="0"/>
      <w:numFmt w:val="bullet"/>
      <w:lvlText w:val="•"/>
      <w:lvlJc w:val="left"/>
      <w:pPr>
        <w:ind w:left="9997" w:hanging="630"/>
      </w:pPr>
      <w:rPr>
        <w:rFonts w:hint="default"/>
      </w:rPr>
    </w:lvl>
    <w:lvl w:ilvl="8">
      <w:start w:val="0"/>
      <w:numFmt w:val="bullet"/>
      <w:lvlText w:val="•"/>
      <w:lvlJc w:val="left"/>
      <w:pPr>
        <w:ind w:left="11331" w:hanging="630"/>
      </w:pPr>
      <w:rPr>
        <w:rFonts w:hint="default"/>
      </w:rPr>
    </w:lvl>
  </w:abstractNum>
  <w:abstractNum w:abstractNumId="18">
    <w:nsid w:val="73AB5B67"/>
    <w:multiLevelType w:val="hybridMultilevel"/>
    <w:tmpl w:val="00000000"/>
    <w:lvl w:ilvl="0">
      <w:start w:val="3"/>
      <w:numFmt w:val="decimal"/>
      <w:lvlText w:val="%1"/>
      <w:lvlJc w:val="left"/>
      <w:pPr>
        <w:ind w:left="1290" w:hanging="630"/>
        <w:jc w:val="left"/>
      </w:pPr>
      <w:rPr>
        <w:rFonts w:hint="default"/>
      </w:rPr>
    </w:lvl>
    <w:lvl w:ilvl="1">
      <w:start w:val="1"/>
      <w:numFmt w:val="decimal"/>
      <w:lvlText w:val="%1.%2"/>
      <w:lvlJc w:val="left"/>
      <w:pPr>
        <w:ind w:left="1290" w:hanging="630"/>
        <w:jc w:val="left"/>
      </w:pPr>
      <w:rPr>
        <w:rFonts w:ascii="宋体" w:eastAsia="宋体" w:hAnsi="宋体" w:cs="宋体" w:hint="default"/>
        <w:w w:val="100"/>
        <w:sz w:val="36"/>
        <w:szCs w:val="36"/>
      </w:rPr>
    </w:lvl>
    <w:lvl w:ilvl="2">
      <w:start w:val="0"/>
      <w:numFmt w:val="bullet"/>
      <w:lvlText w:val="•"/>
      <w:lvlJc w:val="left"/>
      <w:pPr>
        <w:ind w:left="3839" w:hanging="630"/>
      </w:pPr>
      <w:rPr>
        <w:rFonts w:hint="default"/>
      </w:rPr>
    </w:lvl>
    <w:lvl w:ilvl="3">
      <w:start w:val="0"/>
      <w:numFmt w:val="bullet"/>
      <w:lvlText w:val="•"/>
      <w:lvlJc w:val="left"/>
      <w:pPr>
        <w:ind w:left="5109" w:hanging="630"/>
      </w:pPr>
      <w:rPr>
        <w:rFonts w:hint="default"/>
      </w:rPr>
    </w:lvl>
    <w:lvl w:ilvl="4">
      <w:start w:val="0"/>
      <w:numFmt w:val="bullet"/>
      <w:lvlText w:val="•"/>
      <w:lvlJc w:val="left"/>
      <w:pPr>
        <w:ind w:left="6379" w:hanging="630"/>
      </w:pPr>
      <w:rPr>
        <w:rFonts w:hint="default"/>
      </w:rPr>
    </w:lvl>
    <w:lvl w:ilvl="5">
      <w:start w:val="0"/>
      <w:numFmt w:val="bullet"/>
      <w:lvlText w:val="•"/>
      <w:lvlJc w:val="left"/>
      <w:pPr>
        <w:ind w:left="7649" w:hanging="630"/>
      </w:pPr>
      <w:rPr>
        <w:rFonts w:hint="default"/>
      </w:rPr>
    </w:lvl>
    <w:lvl w:ilvl="6">
      <w:start w:val="0"/>
      <w:numFmt w:val="bullet"/>
      <w:lvlText w:val="•"/>
      <w:lvlJc w:val="left"/>
      <w:pPr>
        <w:ind w:left="8919" w:hanging="630"/>
      </w:pPr>
      <w:rPr>
        <w:rFonts w:hint="default"/>
      </w:rPr>
    </w:lvl>
    <w:lvl w:ilvl="7">
      <w:start w:val="0"/>
      <w:numFmt w:val="bullet"/>
      <w:lvlText w:val="•"/>
      <w:lvlJc w:val="left"/>
      <w:pPr>
        <w:ind w:left="10189" w:hanging="630"/>
      </w:pPr>
      <w:rPr>
        <w:rFonts w:hint="default"/>
      </w:rPr>
    </w:lvl>
    <w:lvl w:ilvl="8">
      <w:start w:val="0"/>
      <w:numFmt w:val="bullet"/>
      <w:lvlText w:val="•"/>
      <w:lvlJc w:val="left"/>
      <w:pPr>
        <w:ind w:left="11459" w:hanging="630"/>
      </w:pPr>
      <w:rPr>
        <w:rFonts w:hint="default"/>
      </w:rPr>
    </w:lvl>
  </w:abstractNum>
  <w:abstractNum w:abstractNumId="19">
    <w:nsid w:val="7EC13819"/>
    <w:multiLevelType w:val="hybridMultilevel"/>
    <w:tmpl w:val="00000000"/>
    <w:lvl w:ilvl="0">
      <w:start w:val="3"/>
      <w:numFmt w:val="decimal"/>
      <w:lvlText w:val="%1"/>
      <w:lvlJc w:val="left"/>
      <w:pPr>
        <w:ind w:left="1297" w:hanging="637"/>
        <w:jc w:val="left"/>
      </w:pPr>
      <w:rPr>
        <w:rFonts w:hint="default"/>
      </w:rPr>
    </w:lvl>
    <w:lvl w:ilvl="1">
      <w:start w:val="1"/>
      <w:numFmt w:val="decimal"/>
      <w:lvlText w:val="%1.%2"/>
      <w:lvlJc w:val="left"/>
      <w:pPr>
        <w:ind w:left="1297" w:hanging="637"/>
        <w:jc w:val="left"/>
      </w:pPr>
      <w:rPr>
        <w:rFonts w:ascii="宋体" w:eastAsia="宋体" w:hAnsi="宋体" w:cs="宋体" w:hint="default"/>
        <w:b/>
        <w:bCs/>
        <w:w w:val="99"/>
        <w:sz w:val="36"/>
        <w:szCs w:val="36"/>
      </w:rPr>
    </w:lvl>
    <w:lvl w:ilvl="2">
      <w:start w:val="1"/>
      <w:numFmt w:val="decimal"/>
      <w:lvlText w:val="%1.%2.%3"/>
      <w:lvlJc w:val="left"/>
      <w:pPr>
        <w:ind w:left="1704" w:hanging="1044"/>
        <w:jc w:val="left"/>
      </w:pPr>
      <w:rPr>
        <w:rFonts w:ascii="宋体" w:eastAsia="宋体" w:hAnsi="宋体" w:cs="宋体" w:hint="default"/>
        <w:w w:val="100"/>
        <w:sz w:val="36"/>
        <w:szCs w:val="36"/>
      </w:rPr>
    </w:lvl>
    <w:lvl w:ilvl="3">
      <w:start w:val="0"/>
      <w:numFmt w:val="bullet"/>
      <w:lvlText w:val="•"/>
      <w:lvlJc w:val="left"/>
      <w:pPr>
        <w:ind w:left="1700" w:hanging="1044"/>
      </w:pPr>
      <w:rPr>
        <w:rFonts w:hint="default"/>
      </w:rPr>
    </w:lvl>
    <w:lvl w:ilvl="4">
      <w:start w:val="0"/>
      <w:numFmt w:val="bullet"/>
      <w:lvlText w:val="•"/>
      <w:lvlJc w:val="left"/>
      <w:pPr>
        <w:ind w:left="3457" w:hanging="1044"/>
      </w:pPr>
      <w:rPr>
        <w:rFonts w:hint="default"/>
      </w:rPr>
    </w:lvl>
    <w:lvl w:ilvl="5">
      <w:start w:val="0"/>
      <w:numFmt w:val="bullet"/>
      <w:lvlText w:val="•"/>
      <w:lvlJc w:val="left"/>
      <w:pPr>
        <w:ind w:left="5214" w:hanging="1044"/>
      </w:pPr>
      <w:rPr>
        <w:rFonts w:hint="default"/>
      </w:rPr>
    </w:lvl>
    <w:lvl w:ilvl="6">
      <w:start w:val="0"/>
      <w:numFmt w:val="bullet"/>
      <w:lvlText w:val="•"/>
      <w:lvlJc w:val="left"/>
      <w:pPr>
        <w:ind w:left="6971" w:hanging="1044"/>
      </w:pPr>
      <w:rPr>
        <w:rFonts w:hint="default"/>
      </w:rPr>
    </w:lvl>
    <w:lvl w:ilvl="7">
      <w:start w:val="0"/>
      <w:numFmt w:val="bullet"/>
      <w:lvlText w:val="•"/>
      <w:lvlJc w:val="left"/>
      <w:pPr>
        <w:ind w:left="8728" w:hanging="1044"/>
      </w:pPr>
      <w:rPr>
        <w:rFonts w:hint="default"/>
      </w:rPr>
    </w:lvl>
    <w:lvl w:ilvl="8">
      <w:start w:val="0"/>
      <w:numFmt w:val="bullet"/>
      <w:lvlText w:val="•"/>
      <w:lvlJc w:val="left"/>
      <w:pPr>
        <w:ind w:left="10485" w:hanging="1044"/>
      </w:pPr>
      <w:rPr>
        <w:rFonts w:hint="default"/>
      </w:rPr>
    </w:lvl>
  </w:abstractNum>
  <w:num w:numId="1">
    <w:abstractNumId w:val="16"/>
  </w:num>
  <w:num w:numId="2">
    <w:abstractNumId w:val="15"/>
  </w:num>
  <w:num w:numId="3">
    <w:abstractNumId w:val="2"/>
  </w:num>
  <w:num w:numId="4">
    <w:abstractNumId w:val="5"/>
  </w:num>
  <w:num w:numId="5">
    <w:abstractNumId w:val="8"/>
  </w:num>
  <w:num w:numId="6">
    <w:abstractNumId w:val="6"/>
  </w:num>
  <w:num w:numId="7">
    <w:abstractNumId w:val="9"/>
  </w:num>
  <w:num w:numId="8">
    <w:abstractNumId w:val="7"/>
  </w:num>
  <w:num w:numId="9">
    <w:abstractNumId w:val="11"/>
  </w:num>
  <w:num w:numId="10">
    <w:abstractNumId w:val="10"/>
  </w:num>
  <w:num w:numId="11">
    <w:abstractNumId w:val="18"/>
  </w:num>
  <w:num w:numId="12">
    <w:abstractNumId w:val="14"/>
  </w:num>
  <w:num w:numId="13">
    <w:abstractNumId w:val="1"/>
  </w:num>
  <w:num w:numId="14">
    <w:abstractNumId w:val="4"/>
  </w:num>
  <w:num w:numId="15">
    <w:abstractNumId w:val="3"/>
  </w:num>
  <w:num w:numId="16">
    <w:abstractNumId w:val="12"/>
  </w:num>
  <w:num w:numId="17">
    <w:abstractNumId w:val="0"/>
  </w:num>
  <w:num w:numId="18">
    <w:abstractNumId w:val="19"/>
  </w:num>
  <w:num w:numId="19">
    <w:abstractNumId w:val="13"/>
  </w:num>
  <w:num w:numId="20">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spacing w:before="1"/>
      <w:ind w:left="660"/>
      <w:outlineLvl w:val="0"/>
    </w:pPr>
    <w:rPr>
      <w:rFonts w:ascii="宋体" w:eastAsia="宋体" w:hAnsi="宋体" w:cs="宋体"/>
      <w:b/>
      <w:bCs/>
      <w:sz w:val="54"/>
      <w:szCs w:val="54"/>
    </w:rPr>
  </w:style>
  <w:style w:type="paragraph" w:styleId="Heading2">
    <w:name w:val="heading 2"/>
    <w:basedOn w:val="Normal"/>
    <w:uiPriority w:val="1"/>
    <w:qFormat/>
    <w:pPr>
      <w:ind w:left="660"/>
      <w:outlineLvl w:val="1"/>
    </w:pPr>
    <w:rPr>
      <w:rFonts w:ascii="宋体" w:eastAsia="宋体" w:hAnsi="宋体" w:cs="宋体"/>
      <w:b/>
      <w:bCs/>
      <w:sz w:val="48"/>
      <w:szCs w:val="48"/>
    </w:rPr>
  </w:style>
  <w:style w:type="paragraph" w:styleId="Heading3">
    <w:name w:val="heading 3"/>
    <w:basedOn w:val="Normal"/>
    <w:uiPriority w:val="1"/>
    <w:qFormat/>
    <w:pPr>
      <w:ind w:left="1297" w:hanging="638"/>
      <w:outlineLvl w:val="2"/>
    </w:pPr>
    <w:rPr>
      <w:rFonts w:ascii="宋体" w:eastAsia="宋体" w:hAnsi="宋体" w:cs="宋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6"/>
      <w:szCs w:val="36"/>
    </w:rPr>
  </w:style>
  <w:style w:type="paragraph" w:styleId="Title">
    <w:name w:val="Title"/>
    <w:basedOn w:val="Normal"/>
    <w:uiPriority w:val="1"/>
    <w:qFormat/>
    <w:pPr>
      <w:spacing w:line="825" w:lineRule="exact"/>
      <w:ind w:left="4206" w:right="4453"/>
      <w:jc w:val="center"/>
    </w:pPr>
    <w:rPr>
      <w:rFonts w:ascii="宋体" w:eastAsia="宋体" w:hAnsi="宋体" w:cs="宋体"/>
      <w:b/>
      <w:bCs/>
      <w:sz w:val="66"/>
      <w:szCs w:val="66"/>
    </w:rPr>
  </w:style>
  <w:style w:type="paragraph" w:styleId="ListParagraph">
    <w:name w:val="List Paragraph"/>
    <w:basedOn w:val="Normal"/>
    <w:uiPriority w:val="1"/>
    <w:qFormat/>
    <w:pPr>
      <w:spacing w:before="241"/>
      <w:ind w:left="660"/>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image" Target="media/image1.png" /><Relationship Id="rId14" Type="http://schemas.openxmlformats.org/officeDocument/2006/relationships/footer" Target="footer10.xml" /><Relationship Id="rId15" Type="http://schemas.openxmlformats.org/officeDocument/2006/relationships/image" Target="media/image2.png" /><Relationship Id="rId16" Type="http://schemas.openxmlformats.org/officeDocument/2006/relationships/image" Target="media/image3.png" /><Relationship Id="rId17" Type="http://schemas.openxmlformats.org/officeDocument/2006/relationships/hyperlink" Target="https://d.book118.com/668004111101006046" TargetMode="External" /><Relationship Id="rId18" Type="http://schemas.openxmlformats.org/officeDocument/2006/relationships/footer" Target="footer11.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2024-03-02T06:42:59Z</dcterms:created>
  <dcterms:modified xsi:type="dcterms:W3CDTF">2024-03-02T06:42:59Z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2022-12-03T00:00:00Z</vt:filetime>
  </property>
  <property fmtid="{D5CDD505-2E9C-101B-9397-08002B2CF9AE}" pid="3" name="LastSaved">
    <vt:filetime>2024-03-02T00:00:00Z</vt:filetime>
  </property>
</Properties>
</file>