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一级建造师-水利水电工程管理与实务真题及答案一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一级建造师-水利水电工程管理与实务真题及答案一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某堤防建筑物级别为2级，其合理使用年限不超过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64.5pt;height:87.75pt" coordsize="21600,21600" filled="f">
            <v:imagedata r:id="rId4" r:href="rId5" o:title="IMG_256"/>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岸坡岩体发生向临空面方向的回弹变形及产生近平行于边坡的拉张裂隙，称为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A．蠕变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B．松弛张裂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C．崩塌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D．滑坡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松弛张裂：是指由于临谷部位的岩体被冲刷侵蚀或人工开挖，使边坡岩体失去约束，应力重 新调整分布，从而使岸坡岩体发生向临空面方向的回弹变形及产生近平行于边坡的拉张裂隙，一般 称为边坡卸荷裂隙。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采用开敞式高压配电装置的独立开关站，其场地四周设置的围墙高度不低于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采用开敞式高压配电装置的独立开关站，其场地四周应设置高度不低于2.2m的围墙。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拆移式模板的标准尺寸有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A．100cm×(325~525)cm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B．75cm×100cm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C．(75~100)cm×150cm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D．120cm×150cm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E．75cm×525cm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 拆移式模板是一种常用模板，可做成定型的标准模板。其标准尺寸，大型的为100cm x(325~525)cm，小型的为(75~100)cm×150cm。前者适用于3~5m高的浇筑块，需小型机具吊装；后者 用于薄层浇筑，可人力搬运。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堤防防汛抢险施工的抢护原则为前堵后导、强身固脚、缓流消浪和</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A．加强巡查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B．消除管涌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C．减载平压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D．及时抢护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堤防防汛抢险施工的抢护原则为：前堵后导、强身固脚、减载平压、缓流消浪。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根据《防汛条例》，防汛抗洪工作实行</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负责制。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A．各级党政首长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B．各级人民政府行政首长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C．各级防汛指挥部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D．各级水行政主管部门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《防洪法》第三十八条规定：防汛抗洪工作实行各级人民政府行政首长负责制，统一指挥、 分级分部门负责。"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根据《水电建设工程质量管理暂行办法》电水农(1997)220号)，单元工程的“三级检查制 度”包括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A．班组初检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B．作业队复检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C．项目部终检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D．监理单位复检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E．项目法人抽检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单元工程的检查验收，施工单位应按"三级检查制度" (班组初检、作业队复检、项目部终检)的 原则进行自检，在自检合格的基础上，由监理单位进行终检验收。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根据《水电水利工程施工监理规范》(DL/T5111-2012)， 工程项目划分不包括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B．分项工程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C．分部工程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D．单项工程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工程开工申报及施工质量检查，一般按单位工程、分部工程、分项工程、单元工程四级进行 划分。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根据《水利安全生产信息报告和处置规则》(水安监(2016)220号)，水利生产安全事故信 息包括生产安全事故和</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信息。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A．一般涉险事故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B．较大涉险事故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C．重大涉险事故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D．特别重大涉险事故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水利生产安全事故信息包括生产安全事故和较大涉险事故信息。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根据《水利部关于修订印发水利建设质量工作考核办法的通知》(水建管(2018) 102号)， 某省级水行政主管部门考核排名第8，得分92分，其考核结果为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B．B级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C．C级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D．D级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根据《水利部关于修订印发水利建设质量工作考核办法的通知》 (水建管[2018]102号) ，每年 对省级水行政主管部门进行水利建设质量工作考核。每年7月1日至次年6月30日为一个考核年度。考 核采用评分和排名相结合的综合评定法，满分为100分，其中总体考核得分占考核总分的60%，项目 考核得分占考核总分的40%。考核结果分4个等级，分别为A级(考核排名前10名，且得分90分及以上 的)、B级(A级以后，且得分80分及以上的)、C级(B级以后，且得分在60分及以上的)、D级(得分60分 以下或发生重、特大质量事故的) 。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根据《水利工程合同监督检查办法(试行)》，合同问题包括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B．常规合同问题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C．较重合同问题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D．严重合同问题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E．特别严重合同问题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合同问题分为一般合同问题、较重合同问题、严重合同问题、特别严重合同问题。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根据《水利工程设计变更管理暂行办法》，下列设计变更中，属于重大设计变更的是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A．主要料场场地的变化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B．主要弃渣场场地的变化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C．主要施工设备配置的变化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D．场内施工道路的变化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以下设计内容发生变化而引起的工程设计变更为重大设计变更： (1)工程规模、建筑物等级及设计标准 ①水库库容、特征水位的变化；引(供)水工程的供水范围、供水量、输水流量、关键节点控制水位的 变化；电站或泵站装机容量的变化；灌溉或除涝(治涝)范围与面积的变化；河道及堤防工程治理范 围、水位等的变化。 ②工程等别、主要建筑物级别、抗震设计烈度、洪水标准、除涝(治涝)标准等的变化。 (2)总体布局、工程布置及主要建筑物 ①总体布局、主要建设内容、主要建筑物场址、坝线、骨干渠(管)线、堤线的变化。 ②工程布置、主要建筑物形式的变化。 ③主要水工建筑物基础处理方案、消能防冲方案的变化。 ④主要水工建筑物边坡处理方案、地下洞室支护形式或布置方案的变化。 ⑤除险加固或改(扩)建工程主要技术方案的变化。 (3)机电及金属结构 ①大型泵站工程或以发电任务为主工程的电厂主要水力机械设备形式和数量的变化。 ②大型泵站工程或以发电任务为主工程的接入电力系统方式、电气主接线和输配电方式及设备形式 的变化。 ③主要金属结构设备及布置方案的变化。 (4)施工组织设计 ①主要料场场地的变化。 ②水利枢纽工程的施工导流方式、导流建筑物方案的变化。 ③主要建筑物施工方案和工程总进度的变化。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根据《水利基本建设项目竣工财务决算编制规程》(SL19-2014)， 待摊投资的待摊方法有 </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A．按实际发生数的比例分摊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B．按项目的合同额比例分摊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C．按概算数的比例分摊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D．按项目的效益比例分摊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E．按出资比例分摊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 待摊投资应由受益的各项交付使用资产共同负担。其中，能够确定由某项资产负担的待摊投 资，应直接计入该资产成本；不能确定负担对象的待摊投资，应分摊计入受益的各项资产成本。待 摊投资的分摊对象主要为房屋及构筑物，需要安装的专用设备，需要安装的通用设备以及其他分摊 对象。待摊方法有按实际发生数的比例分摊，或按概算数的比例分摊。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根据《水利建设工程施工分包管理规定》，主要建筑物的主体结构由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明确。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水利建设工程的主要建筑物的主体结构不得进行工程分包。主要建筑物是指失事以后将造成 下游灾害或严重影响工程功能和效益的建筑物，如堤坝、泄洪建筑物、输水建筑物、电站厂房和泵 站等。主要建筑物的主体结构，由项目法人要求设计单位在设计文件或招标文件中明确。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根据《水土保持法》《生产建设项目水土保持设施自主验收规程(试行)》，关于水土保 持的说法，正确的有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A．水土保持设施竣工验收由项目法人主持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B．水土保持设施验收报告由项目法人编制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C．水土保持分部工程质量等级分为合格和优良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D．禁止在15°以上陡坡地开垦种植农作物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E．水土保持方案为水土保持方案报告书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 301页，水土保持设施验收报告由第三方技术服务机构(以下简称第三方)编制，B错。394页， 禁止在二十五度以上陡坡地开垦种植农作物，D错。395页，水土保持方案分为"水土保持方案报告 书"和"水土保持方案报告表”，E错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根据《政府和社会资本合作建设重大水利工程操作指南(试行)》，项目公司向政府移交 项目的过渡期是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除另有约定外，合同期满前12个月为项目公司向政府移交项目的过渡期，项目实施机构或政 府指定的其他机构与社会资本方在过渡期内共同组建项目移交工作组，启动移交准备工作。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根据围岩变形和破坏的特性，从发挥锚杆不同作用的角度考虑，锚杆在洞室中的布置有 </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等形式。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A．摩擦型锚杆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B．预应力锚杆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C．随机锚杆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D．系统锚杆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E．粘结性锚杆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 根据围岩变形和破坏的特性，从发挥锚杆不同作用的角度考虑，锚杆在洞室的布置有局部(随 机)锚杆和系统锚杆。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流网的网格是由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图形构成。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A．曲线正方形（或矩形）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B．曲线正方形（或圆形）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C．曲线三角形（或圆形、矩形）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D．曲线三角形（或正方形、矩形）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流网法是一种图解法，适用于任意边界条件，是在渗流区域内由流线和等势线组成的具有曲 线正方形(或矩形)网格的图形。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碾压混凝土施工质量评定时，钻孔取样芯样获得率主要是评价碾压混凝土的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A．均质性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B．抗渗性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C．密实性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D．力学性能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钻孔取样评定的内容如</w:t>
      </w:r>
      <w:r>
        <w:rPr>
          <w:rFonts w:ascii="宋体" w:eastAsia="宋体" w:hAnsi="宋体" w:cs="宋体" w:hint="eastAsia"/>
          <w:outline w:val="0"/>
          <w:shadow w:val="0"/>
          <w:emboss w:val="0"/>
          <w:imprint w:val="0"/>
          <w:vanish w:val="0"/>
          <w:w w:val="100"/>
          <w:sz w:val="28"/>
          <w:szCs w:val="28"/>
          <w:u w:val="none"/>
        </w:rPr>
        <w:t>下：</w:t>
      </w:r>
      <w:r>
        <w:rPr>
          <w:rFonts w:ascii="宋体" w:eastAsia="宋体" w:hAnsi="宋体" w:cs="宋体" w:hint="eastAsia"/>
          <w:outline w:val="0"/>
          <w:shadow w:val="0"/>
          <w:emboss w:val="0"/>
          <w:imprint w:val="0"/>
          <w:vanish w:val="0"/>
          <w:w w:val="100"/>
          <w:sz w:val="28"/>
          <w:szCs w:val="28"/>
          <w:u w:val="none"/>
        </w:rPr>
        <w:t xml:space="preserve"> ①</w:t>
      </w:r>
      <w:r>
        <w:rPr>
          <w:rFonts w:ascii="宋体" w:eastAsia="宋体" w:hAnsi="宋体" w:cs="宋体" w:hint="eastAsia"/>
          <w:outline w:val="0"/>
          <w:shadow w:val="0"/>
          <w:emboss w:val="0"/>
          <w:imprint w:val="0"/>
          <w:vanish w:val="0"/>
          <w:w w:val="100"/>
          <w:sz w:val="28"/>
          <w:szCs w:val="28"/>
          <w:u w:val="none"/>
        </w:rPr>
        <w:t xml:space="preserve"> 芯样获得率：评价碾压混凝土的均质性。</w:t>
      </w:r>
      <w:r>
        <w:rPr>
          <w:rFonts w:ascii="宋体" w:eastAsia="宋体" w:hAnsi="宋体" w:cs="宋体" w:hint="eastAsia"/>
          <w:outline w:val="0"/>
          <w:shadow w:val="0"/>
          <w:emboss w:val="0"/>
          <w:imprint w:val="0"/>
          <w:vanish w:val="0"/>
          <w:w w:val="100"/>
          <w:sz w:val="28"/>
          <w:szCs w:val="28"/>
          <w:u w:val="none"/>
        </w:rPr>
        <w:t xml:space="preserve"> ②</w:t>
      </w:r>
      <w:r>
        <w:rPr>
          <w:rFonts w:ascii="宋体" w:eastAsia="宋体" w:hAnsi="宋体" w:cs="宋体" w:hint="eastAsia"/>
          <w:outline w:val="0"/>
          <w:shadow w:val="0"/>
          <w:emboss w:val="0"/>
          <w:imprint w:val="0"/>
          <w:vanish w:val="0"/>
          <w:w w:val="100"/>
          <w:sz w:val="28"/>
          <w:szCs w:val="28"/>
          <w:u w:val="none"/>
        </w:rPr>
        <w:t xml:space="preserve"> 压水试验：评定碾压混凝土抗渗性。</w:t>
      </w:r>
      <w:r>
        <w:rPr>
          <w:rFonts w:ascii="宋体" w:eastAsia="宋体" w:hAnsi="宋体" w:cs="宋体" w:hint="eastAsia"/>
          <w:outline w:val="0"/>
          <w:shadow w:val="0"/>
          <w:emboss w:val="0"/>
          <w:imprint w:val="0"/>
          <w:vanish w:val="0"/>
          <w:w w:val="100"/>
          <w:sz w:val="28"/>
          <w:szCs w:val="28"/>
          <w:u w:val="none"/>
        </w:rPr>
        <w:t xml:space="preserve"> ③</w:t>
      </w:r>
      <w:r>
        <w:rPr>
          <w:rFonts w:ascii="宋体" w:eastAsia="宋体" w:hAnsi="宋体" w:cs="宋体" w:hint="eastAsia"/>
          <w:outline w:val="0"/>
          <w:shadow w:val="0"/>
          <w:emboss w:val="0"/>
          <w:imprint w:val="0"/>
          <w:vanish w:val="0"/>
          <w:w w:val="100"/>
          <w:sz w:val="28"/>
          <w:szCs w:val="28"/>
          <w:u w:val="none"/>
        </w:rPr>
        <w:t xml:space="preserve"> 芯样的物理力学性能试验：评定碾压混凝土的均质性和力学性能。</w:t>
      </w:r>
      <w:r>
        <w:rPr>
          <w:rFonts w:ascii="宋体" w:eastAsia="宋体" w:hAnsi="宋体" w:cs="宋体" w:hint="eastAsia"/>
          <w:outline w:val="0"/>
          <w:shadow w:val="0"/>
          <w:emboss w:val="0"/>
          <w:imprint w:val="0"/>
          <w:vanish w:val="0"/>
          <w:w w:val="100"/>
          <w:sz w:val="28"/>
          <w:szCs w:val="28"/>
          <w:u w:val="none"/>
        </w:rPr>
        <w:t xml:space="preserve"> ④</w:t>
      </w:r>
      <w:r>
        <w:rPr>
          <w:rFonts w:ascii="宋体" w:eastAsia="宋体" w:hAnsi="宋体" w:cs="宋体" w:hint="eastAsia"/>
          <w:outline w:val="0"/>
          <w:shadow w:val="0"/>
          <w:emboss w:val="0"/>
          <w:imprint w:val="0"/>
          <w:vanish w:val="0"/>
          <w:w w:val="100"/>
          <w:sz w:val="28"/>
          <w:szCs w:val="28"/>
          <w:u w:val="none"/>
        </w:rPr>
        <w:t xml:space="preserve"> 芯样断口位置及形态描述：描述断口形态，分别统计芯样断口在不同类型碾压层层间结合处的数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量，并计算占总断口数的比例，评价层间结合是否符合设计要求。</w:t>
      </w:r>
      <w:r>
        <w:rPr>
          <w:rFonts w:ascii="宋体" w:eastAsia="宋体" w:hAnsi="宋体" w:cs="宋体" w:hint="eastAsia"/>
          <w:outline w:val="0"/>
          <w:shadow w:val="0"/>
          <w:emboss w:val="0"/>
          <w:imprint w:val="0"/>
          <w:vanish w:val="0"/>
          <w:w w:val="100"/>
          <w:sz w:val="28"/>
          <w:szCs w:val="28"/>
          <w:u w:val="none"/>
        </w:rPr>
        <w:t xml:space="preserve"> ⑤</w:t>
      </w:r>
      <w:r>
        <w:rPr>
          <w:rFonts w:ascii="宋体" w:eastAsia="宋体" w:hAnsi="宋体" w:cs="宋体" w:hint="eastAsia"/>
          <w:outline w:val="0"/>
          <w:shadow w:val="0"/>
          <w:emboss w:val="0"/>
          <w:imprint w:val="0"/>
          <w:vanish w:val="0"/>
          <w:w w:val="100"/>
          <w:sz w:val="28"/>
          <w:szCs w:val="28"/>
          <w:u w:val="none"/>
        </w:rPr>
        <w:t xml:space="preserve"> 芯样外观描述：评定碾压混凝土的均质性和密实性。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确定导流建筑物级别的主要依据有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A．保护对象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B．失事后果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C．使用年限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D．洪水标准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E．导流建筑物规模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导流建筑物级别根据其保护对象、失事后果、使用年限和导流建筑物规模等指标划分为Ⅲ~Ⅴ 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施工质量评定结论需报工程质量监督机构核定的是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B．重要隐蔽单元工程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C．关键部位单元工程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D．工程外观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单元(工序)工程质量在施工单位自评合格后，报监理单位复核，由监理工程师核定质量等级并 签证认可。 重要隐蔽单元工程及关键部位单元工程质量经施工单位自评合格、监理单位抽检后，由项目法人(或 委托监理)、监理、设计、施工、工程运行管理(施工阶段已经有时)等单位组成联合小组，共同检查 核定其质量等级并填写签证表，报工程质量监督机构核备。 工程外观质量评定。单位工程完工后，项目法人组织监理、设计、施工及工程运行管理等单位组成 工程外观质量评定组，进行工程外观质量检验评定并将评定结论报工程质量监督机构核定。 故选项D正确。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水工建筑物的耐久性是指保持其</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A．适用性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C．经济性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D．维修性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E．美观性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建筑物耐久性是指在设计确定的环境作用和规定的维修、使用条件下，建筑物在合理使用年 限内保持其适用性和安全性的能力。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水工建筑物岩石建基面保护层可采用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爆破法施工。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A．分块</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D．分区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本知识点新版教材已修改，为保证真题的完整性，本题仅供参阅！ 建基面保护层可采用水平预裂、柔性垫层一次爆破法或分层爆破方法。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水库大坝首次安全鉴定应在竣工验收后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年内进行。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水库大坝实行定期安全鉴定制度，首次安全鉴定应在竣工验收后5年内进行，以后应每隔6~10 年进行一次。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水库水位和隧洞闸门开度保持不变时，隧洞中的水流为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A．恒定流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B．均匀流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C．层流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D．缓流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恒定流。流场中任何空间上所有的运动要素(如时均流速、时均压力、密度等)都不随时间而改 变的水流称为恒定流。例如某一水库工程有一泄水隧洞，当水库水位、隧洞闸门保持不变时，隧洞 中的水流的所有运动要素都不会随时间改变，即为恒定流。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水利工程质量保修书的主要内容包括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A．竣工验收情况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B．质量保修的范围和内容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C．质量保修期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D．质量保修责任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E．质量保修费用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w:t>
      </w:r>
      <w:r>
        <w:rPr>
          <w:rFonts w:ascii="宋体" w:eastAsia="宋体" w:hAnsi="宋体" w:cs="宋体" w:hint="eastAsia"/>
          <w:outline w:val="0"/>
          <w:shadow w:val="0"/>
          <w:emboss w:val="0"/>
          <w:imprint w:val="0"/>
          <w:vanish w:val="0"/>
          <w:w w:val="100"/>
          <w:sz w:val="28"/>
          <w:szCs w:val="28"/>
          <w:u w:val="none"/>
        </w:rPr>
        <w:t xml:space="preserve"> 保修书的主要内容有：</w:t>
      </w:r>
      <w:r>
        <w:rPr>
          <w:rFonts w:ascii="宋体" w:eastAsia="宋体" w:hAnsi="宋体" w:cs="宋体" w:hint="eastAsia"/>
          <w:outline w:val="0"/>
          <w:shadow w:val="0"/>
          <w:emboss w:val="0"/>
          <w:imprint w:val="0"/>
          <w:vanish w:val="0"/>
          <w:w w:val="100"/>
          <w:sz w:val="28"/>
          <w:szCs w:val="28"/>
          <w:u w:val="none"/>
        </w:rPr>
        <w:t xml:space="preserve"> ①</w:t>
      </w:r>
      <w:r>
        <w:rPr>
          <w:rFonts w:ascii="宋体" w:eastAsia="宋体" w:hAnsi="宋体" w:cs="宋体" w:hint="eastAsia"/>
          <w:outline w:val="0"/>
          <w:shadow w:val="0"/>
          <w:emboss w:val="0"/>
          <w:imprint w:val="0"/>
          <w:vanish w:val="0"/>
          <w:w w:val="100"/>
          <w:sz w:val="28"/>
          <w:szCs w:val="28"/>
          <w:u w:val="none"/>
        </w:rPr>
        <w:t xml:space="preserve"> 合同工程完工验收情况。</w:t>
      </w:r>
      <w:r>
        <w:rPr>
          <w:rFonts w:ascii="宋体" w:eastAsia="宋体" w:hAnsi="宋体" w:cs="宋体" w:hint="eastAsia"/>
          <w:outline w:val="0"/>
          <w:shadow w:val="0"/>
          <w:emboss w:val="0"/>
          <w:imprint w:val="0"/>
          <w:vanish w:val="0"/>
          <w:w w:val="100"/>
          <w:sz w:val="28"/>
          <w:szCs w:val="28"/>
          <w:u w:val="none"/>
        </w:rPr>
        <w:t xml:space="preserve"> ②</w:t>
      </w:r>
      <w:r>
        <w:rPr>
          <w:rFonts w:ascii="宋体" w:eastAsia="宋体" w:hAnsi="宋体" w:cs="宋体" w:hint="eastAsia"/>
          <w:outline w:val="0"/>
          <w:shadow w:val="0"/>
          <w:emboss w:val="0"/>
          <w:imprint w:val="0"/>
          <w:vanish w:val="0"/>
          <w:w w:val="100"/>
          <w:sz w:val="28"/>
          <w:szCs w:val="28"/>
          <w:u w:val="none"/>
        </w:rPr>
        <w:t xml:space="preserve"> 质量保修的范围和内容。</w:t>
      </w:r>
      <w:r>
        <w:rPr>
          <w:rFonts w:ascii="宋体" w:eastAsia="宋体" w:hAnsi="宋体" w:cs="宋体" w:hint="eastAsia"/>
          <w:outline w:val="0"/>
          <w:shadow w:val="0"/>
          <w:emboss w:val="0"/>
          <w:imprint w:val="0"/>
          <w:vanish w:val="0"/>
          <w:w w:val="100"/>
          <w:sz w:val="28"/>
          <w:szCs w:val="28"/>
          <w:u w:val="none"/>
        </w:rPr>
        <w:t xml:space="preserve"> ③</w:t>
      </w:r>
      <w:r>
        <w:rPr>
          <w:rFonts w:ascii="宋体" w:eastAsia="宋体" w:hAnsi="宋体" w:cs="宋体" w:hint="eastAsia"/>
          <w:outline w:val="0"/>
          <w:shadow w:val="0"/>
          <w:emboss w:val="0"/>
          <w:imprint w:val="0"/>
          <w:vanish w:val="0"/>
          <w:w w:val="100"/>
          <w:sz w:val="28"/>
          <w:szCs w:val="28"/>
          <w:u w:val="none"/>
        </w:rPr>
        <w:t xml:space="preserve"> 质量保修期。</w:t>
      </w:r>
      <w:r>
        <w:rPr>
          <w:rFonts w:ascii="宋体" w:eastAsia="宋体" w:hAnsi="宋体" w:cs="宋体" w:hint="eastAsia"/>
          <w:outline w:val="0"/>
          <w:shadow w:val="0"/>
          <w:emboss w:val="0"/>
          <w:imprint w:val="0"/>
          <w:vanish w:val="0"/>
          <w:w w:val="100"/>
          <w:sz w:val="28"/>
          <w:szCs w:val="28"/>
          <w:u w:val="none"/>
        </w:rPr>
        <w:t xml:space="preserve"> ④</w:t>
      </w:r>
      <w:r>
        <w:rPr>
          <w:rFonts w:ascii="宋体" w:eastAsia="宋体" w:hAnsi="宋体" w:cs="宋体" w:hint="eastAsia"/>
          <w:outline w:val="0"/>
          <w:shadow w:val="0"/>
          <w:emboss w:val="0"/>
          <w:imprint w:val="0"/>
          <w:vanish w:val="0"/>
          <w:w w:val="100"/>
          <w:sz w:val="28"/>
          <w:szCs w:val="28"/>
          <w:u w:val="none"/>
        </w:rPr>
        <w:t xml:space="preserve"> 质量保修责任。</w:t>
      </w:r>
      <w:r>
        <w:rPr>
          <w:rFonts w:ascii="宋体" w:eastAsia="宋体" w:hAnsi="宋体" w:cs="宋体" w:hint="eastAsia"/>
          <w:outline w:val="0"/>
          <w:shadow w:val="0"/>
          <w:emboss w:val="0"/>
          <w:imprint w:val="0"/>
          <w:vanish w:val="0"/>
          <w:w w:val="100"/>
          <w:sz w:val="28"/>
          <w:szCs w:val="28"/>
          <w:u w:val="none"/>
        </w:rPr>
        <w:t xml:space="preserve"> 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质量保修费用。</w:t>
      </w:r>
      <w:r>
        <w:rPr>
          <w:rFonts w:ascii="宋体" w:eastAsia="宋体" w:hAnsi="宋体" w:cs="宋体" w:hint="eastAsia"/>
          <w:outline w:val="0"/>
          <w:shadow w:val="0"/>
          <w:emboss w:val="0"/>
          <w:imprint w:val="0"/>
          <w:vanish w:val="0"/>
          <w:w w:val="100"/>
          <w:sz w:val="28"/>
          <w:szCs w:val="28"/>
          <w:u w:val="none"/>
        </w:rPr>
        <w:t xml:space="preserve"> ⑥</w:t>
      </w:r>
      <w:r>
        <w:rPr>
          <w:rFonts w:ascii="宋体" w:eastAsia="宋体" w:hAnsi="宋体" w:cs="宋体" w:hint="eastAsia"/>
          <w:outline w:val="0"/>
          <w:shadow w:val="0"/>
          <w:emboss w:val="0"/>
          <w:imprint w:val="0"/>
          <w:vanish w:val="0"/>
          <w:w w:val="100"/>
          <w:sz w:val="28"/>
          <w:szCs w:val="28"/>
          <w:u w:val="none"/>
        </w:rPr>
        <w:t xml:space="preserve"> 其他。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水利水电施工企业安全生产标准化等级证书有效期为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安全生产标准化等级证书有效期为3年。有效期满需要延期的，须于期满前3个月，向水利部 提出延期申请。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土石坝碾压采用进退错距法，设计碾压遍数为5遍，碾滚净宽为4m，错距宽度为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错距宽度b(m)=B/n。B一碾滚净宽(m)；n一设计碾压遍数。故b=4/5=0.8m。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土石坝渗流分析主要是确定</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A．渗透压力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B．渗透系数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C．渗透坡降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D．渗透流量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E．浸润线位置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渗流分析主要内容有：确定渗透压力；确定渗透坡降(或流速)；确定渗流量。对土石坝，还应 确定浸润线的位置。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土石分级中，土分为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 水利水电工程施工中常用的土石分级，依开挖方法、开挖难易、坚固系数等，共划分为</w:t>
      </w:r>
      <w:r>
        <w:rPr>
          <w:rFonts w:ascii="宋体" w:eastAsia="宋体" w:hAnsi="宋体" w:cs="宋体" w:hint="eastAsia"/>
          <w:outline w:val="0"/>
          <w:shadow w:val="0"/>
          <w:emboss w:val="0"/>
          <w:imprint w:val="0"/>
          <w:vanish w:val="0"/>
          <w:w w:val="100"/>
          <w:sz w:val="28"/>
          <w:szCs w:val="28"/>
          <w:u w:val="none"/>
        </w:rPr>
        <w:t>16</w:t>
      </w:r>
      <w:r>
        <w:rPr>
          <w:rFonts w:ascii="宋体" w:eastAsia="宋体" w:hAnsi="宋体" w:cs="宋体" w:hint="eastAsia"/>
          <w:outline w:val="0"/>
          <w:shadow w:val="0"/>
          <w:emboss w:val="0"/>
          <w:imprint w:val="0"/>
          <w:vanish w:val="0"/>
          <w:w w:val="100"/>
          <w:sz w:val="28"/>
          <w:szCs w:val="28"/>
          <w:u w:val="none"/>
        </w:rPr>
        <w:t xml:space="preserve"> 级，其中土分4级，岩石分12级。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工程等别为Ⅱ等的水电站工程，其主要建筑物与次要建筑物的级别分别为(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A．1级、2级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B．2级、3级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C．3级、4级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D．4级、5级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【内容考查】本题考查的是水工建筑物级别划分。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【选项分析】Ⅱ等的水电站工程，其主要建筑物与次要建筑物的级别分别为2级、3级。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7" type="#_x0000_t75" alt="IMG_257" style="width:453.6pt;height:105pt" coordsize="21600,21600" o:preferrelative="t" filled="f" stroked="f">
            <v:imagedata r:id="rId6" r:href="rId7" o:title="IMG_257"/>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均质土围堰填筑材料渗透系数不宜大于( )cm/s.</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A．1x10^-2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B．1×10^-3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C．1X10^-4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D．1x10^-5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【内容考查】本题考查的是围堰布置与设计。 【选项分析】均质土围堰填筑材料渗透系数不宜大于1x10^-4cm/s</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下列普通钢筋的表示方式中，表示机械连接的钢筋接头的是(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w:t>
      </w:r>
      <w:r>
        <w:rPr>
          <w:rFonts w:ascii="宋体" w:eastAsia="宋体" w:hAnsi="宋体" w:cs="宋体" w:hint="eastAsia"/>
          <w:outline w:val="0"/>
          <w:shadow w:val="0"/>
          <w:emboss w:val="0"/>
          <w:imprint w:val="0"/>
          <w:vanish w:val="0"/>
          <w:w w:val="100"/>
          <w:sz w:val="28"/>
          <w:szCs w:val="28"/>
          <w:u w:val="none"/>
        </w:rPr>
        <w:pict>
          <v:shape id="_x0000_i1028" type="#_x0000_t75" style="width:84.75pt;height:24pt" coordsize="21600,21600" filled="f">
            <v:imagedata r:id="rId8" r:href="rId9" o:title="IMG_258"/>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w:t>
      </w:r>
      <w:r>
        <w:rPr>
          <w:rFonts w:ascii="宋体" w:eastAsia="宋体" w:hAnsi="宋体" w:cs="宋体" w:hint="eastAsia"/>
          <w:outline w:val="0"/>
          <w:shadow w:val="0"/>
          <w:emboss w:val="0"/>
          <w:imprint w:val="0"/>
          <w:vanish w:val="0"/>
          <w:w w:val="100"/>
          <w:sz w:val="28"/>
          <w:szCs w:val="28"/>
          <w:u w:val="none"/>
        </w:rPr>
        <w:pict>
          <v:shape id="_x0000_i1029" type="#_x0000_t75" style="width:88.5pt;height:19.5pt" coordsize="21600,21600" filled="f">
            <v:imagedata r:id="rId10" r:href="rId11" o:title="IMG_259"/>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w:t>
      </w:r>
      <w:r>
        <w:rPr>
          <w:rFonts w:ascii="宋体" w:eastAsia="宋体" w:hAnsi="宋体" w:cs="宋体" w:hint="eastAsia"/>
          <w:outline w:val="0"/>
          <w:shadow w:val="0"/>
          <w:emboss w:val="0"/>
          <w:imprint w:val="0"/>
          <w:vanish w:val="0"/>
          <w:w w:val="100"/>
          <w:sz w:val="28"/>
          <w:szCs w:val="28"/>
          <w:u w:val="none"/>
        </w:rPr>
        <w:pict>
          <v:shape id="_x0000_i1030" type="#_x0000_t75" style="width:96pt;height:24.75pt" coordsize="21600,21600" filled="f">
            <v:imagedata r:id="rId12" r:href="rId13" o:title="IMG_260"/>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w:t>
      </w:r>
      <w:r>
        <w:rPr>
          <w:rFonts w:ascii="宋体" w:eastAsia="宋体" w:hAnsi="宋体" w:cs="宋体" w:hint="eastAsia"/>
          <w:outline w:val="0"/>
          <w:shadow w:val="0"/>
          <w:emboss w:val="0"/>
          <w:imprint w:val="0"/>
          <w:vanish w:val="0"/>
          <w:w w:val="100"/>
          <w:sz w:val="28"/>
          <w:szCs w:val="28"/>
          <w:u w:val="none"/>
        </w:rPr>
        <w:pict>
          <v:shape id="_x0000_i1031" type="#_x0000_t75" style="width:87.75pt;height:21pt" coordsize="21600,21600" filled="f">
            <v:imagedata r:id="rId14" r:href="rId15" o:title="IMG_261"/>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【内容考查】本题考查的是建筑材料的应用条件。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[选项分析】选项A表示带半圆形弯钩的钢筋搭接，选项B表示带直钩的钢筋搭接，选项C表示无弯钩的钢筋搭接。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右图所示为土料压实作用外力示意图(P压力，t时间)，对应的碾压设备是(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2" type="#_x0000_t75" style="width:109.5pt;height:48pt" coordsize="21600,21600" filled="f">
            <v:imagedata r:id="rId16" r:href="rId17" o:title="IMG_262"/>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A．气胎碾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B．夯板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C．振动碾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D．强夯机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【内容考查】本题考查的是土石坝填筑的施工碾压试验。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【选项分析】静压碾压的作用力是静压力，其大小不随作用时间而变化，气胎碾属于静力碾压设备。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吹填工程施工时，适宜采用顺流施工法的船型是(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A．抓斗船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B．链斗船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C．铲斗船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D．绞吸船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【内容考查】本题考查的是水下工程施工。 【选项分析】吹填工程施工除抓斗船采用顺流施工法外，其他船型应采用逆流施工法。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防渗墙质量检查程序除墙体质量检查外，还有()质量检查。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C．分部工程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D．单位工程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【内容考查】本题考查的是防渗墙质量检查。 【选项分析】防渗墙质量检查程序应包括工序质量检查和墙体质量检查。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根据《大中型水利水电工程建设征地补偿和移民安置条例》(国务院令第471号)，关于水利水电工程征地补偿和移民安置的说法，正确的有()。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A．移民安置采取前期补偿、补助与后期扶持相结合的办法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B．移民安置工作实行项目法人负责制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C．属于国家重点扶持的项目，其用地可以以划拨方式取得</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D．土地补偿费和安置补助费与铁路项目同等标准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E．征地补偿费直接全额兑付给移民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【内容考查】本题考查的是大中型水利水电工程建设征地补偿标准的规定。 【选项分析】B选项移民安置工作由县级以上地方人民政府组织实施;E选项大中型水利水电工程建设项目用地按期支付征地补偿费。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根据《水电工程建筑工程概算定额》(2007年版)，基本直接费包括(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A．人工费、材料费、施工机械使用费、现场经费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B．人工费、材料费、施工机械使用费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C．人工费、材料费、施工机械使用费、利润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D．人工费、材料费、设备费、施工管理费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【内容考查】本题考查的是建筑材料的应用条件。 【选项分析】基本直接费包括人丁费、材料费和施工机械使用费。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根据《水电水利工程施工监理规范》(DL/T5111-2012)，第一次工地会议由()主持。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A．总监理工程师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B．总监理工程师和业主联合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C．总监理工程师、业主、设计方联合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D．总监理工程师、业主、设计方、施工方联合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【内容考查】本题考查的是水力发电工程施工监理的工作方法和制度。 [选项分析】第一次工地会议由总监理工程师和业主联合主持召开，邀请承建单位的授权代表和设计方代表参加，必要时也可邀请主要分包单位代表参加。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根据《水工建筑物滑动模板施工技术规范》(SL32-2014)，运输人员的提升设备所使用钢丝绳的安全系数不应小于()。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https://d.book118.com/668005011113006032</w:t>
        </w:r>
      </w:hyperlink>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2"/>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D1815CF"/>
    <w:rsid w:val="439F2D8D"/>
    <w:rsid w:val="6DD0282A"/>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http://exam.dxwmedu.com/files/attach/images/content/20220622/16558873152393.png" TargetMode="External" /><Relationship Id="rId12" Type="http://schemas.openxmlformats.org/officeDocument/2006/relationships/image" Target="media/image5.png" /><Relationship Id="rId13" Type="http://schemas.openxmlformats.org/officeDocument/2006/relationships/image" Target="http://exam.dxwmedu.com/files/attach/images/content/20220622/16558873195086.png" TargetMode="External" /><Relationship Id="rId14" Type="http://schemas.openxmlformats.org/officeDocument/2006/relationships/image" Target="media/image6.png" /><Relationship Id="rId15" Type="http://schemas.openxmlformats.org/officeDocument/2006/relationships/image" Target="http://exam.dxwmedu.com/files/attach/images/content/20220622/16558873233050.png" TargetMode="External" /><Relationship Id="rId16" Type="http://schemas.openxmlformats.org/officeDocument/2006/relationships/image" Target="media/image7.png" /><Relationship Id="rId17" Type="http://schemas.openxmlformats.org/officeDocument/2006/relationships/image" Target="http://exam.dxwmedu.com///files/attach/files/content/20220622/16558872889295.png" TargetMode="External" /><Relationship Id="rId18" Type="http://schemas.openxmlformats.org/officeDocument/2006/relationships/hyperlink" Target="https://d.book118.com/668005011113006032"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65288;&#27743;&#21335;&#21338;&#21733;&#65289;tp://exam.dxwmedu.com///f&#65288;&#27743;&#21335;&#21338;&#21733;&#65289;iles/attach/files/content/20211228/16406619184742.png" TargetMode="External" /><Relationship Id="rId6" Type="http://schemas.openxmlformats.org/officeDocument/2006/relationships/image" Target="media/image2.png" /><Relationship Id="rId7" Type="http://schemas.openxmlformats.org/officeDocument/2006/relationships/image" Target="http://exam.dxwmedu.com///files/attach/files/content/20220622/16558872242649.png" TargetMode="External" /><Relationship Id="rId8" Type="http://schemas.openxmlformats.org/officeDocument/2006/relationships/image" Target="media/image3.png" /><Relationship Id="rId9" Type="http://schemas.openxmlformats.org/officeDocument/2006/relationships/image" Target="http://exam.dxwmedu.com/files/attach/images/content/20220622/16558873119700.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2024-01-29T04:49:00Z</dcterms:created>
  <dcterms:modified xsi:type="dcterms:W3CDTF">2024-01-31T00:18:28Z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86D4BF982FA44CE0A472C2ACB07F5E14_13</vt:lpwstr>
  </property>
  <property fmtid="{D5CDD505-2E9C-101B-9397-08002B2CF9AE}" pid="3" name="KSOProductBuildVer">
    <vt:lpwstr>2052-12.1.0.16250</vt:lpwstr>
  </property>
</Properties>
</file>