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2018-2023年内蒙古能源职业学院高职单招（数学／语文／英语）历年常考试题库含答案解析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《诗经》中保存民歌最多的是（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A.国风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“文章合为时而著，歌诗合为事而作”的口号是谁提出的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陶渊明《饮酒》“采菊东篱下，悠然见南山”两句的抒情方式是（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A.借景抒情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B.借典故抒情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C.借前人成句抒情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D.直抒胸臆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“豪放派”的代表词人是（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B.李清照、柳永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C.辛弃疾、李清照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《种树郭橐驼传》主要的创作意图是（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曾悉心教导莫泊桑写作的作家是（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B.福楼拜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C.都德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D.法朗士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孔子的思想核心是（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B.仁和礼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C.严刑峻法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D.自然无为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《报刘一丈书》本文主旨是（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A.赞美刘一丈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B.讽刺官场腐败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C.讽刺“才德称位”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D.赞美“上下相孚”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下列关于闻一多的表述，错误的一项是（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A.闻一多是新月社成员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B.《死水》是闻一多的代表作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C.闻一多诗歌的艺术风格是飘逸清丽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D.《发现》一诗抒发了闻一多的爱国主义激情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《礼记》是一部（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C.墨家著作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D.儒家著作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“大都不过参国之一”中“参国之一”的意思是（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A.三个国家中的一个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B.国都的三分之一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C.参加国之一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D.三个国都中的一个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李白《行路难（其一）》中运用比喻手法来表现诗人仕途上遭遇挫折的诗句是（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B.欲渡黄河冰塞川，将登太行雪满山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D.长风破浪会有时，直挂云帆济沧海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被誉为“世界短篇小说之王”的法国小说家是（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C.巴尔扎克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https://d.book118.com/668023003132006040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68023003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