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年IDC项目规划设计蓝图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29" w:history="1">
        <w:r>
          <w:rPr>
            <w:rFonts w:ascii="仿宋" w:eastAsia="仿宋" w:hAnsi="仿宋" w:cs="仿宋" w:hint="eastAsia"/>
            <w:lang w:eastAsia="zh-CN"/>
          </w:rPr>
          <w:t>概论</w:t>
        </w:r>
        <w:r>
          <w:tab/>
        </w:r>
        <w:r>
          <w:fldChar w:fldCharType="begin"/>
        </w:r>
        <w:r>
          <w:instrText xml:space="preserve"> PAGEREF _Toc5729 \h </w:instrText>
        </w:r>
        <w:r>
          <w:fldChar w:fldCharType="separate"/>
        </w:r>
        <w:r>
          <w:t>3</w:t>
        </w:r>
        <w:r>
          <w:fldChar w:fldCharType="end"/>
        </w:r>
      </w:hyperlink>
    </w:p>
    <w:p>
      <w:pPr>
        <w:pStyle w:val="TOC1"/>
        <w:tabs>
          <w:tab w:val="right" w:leader="dot" w:pos="8306"/>
        </w:tabs>
      </w:pPr>
      <w:hyperlink w:anchor="_Toc9055" w:history="1">
        <w:r>
          <w:rPr>
            <w:rFonts w:ascii="仿宋" w:eastAsia="仿宋" w:hAnsi="仿宋" w:cs="仿宋" w:hint="eastAsia"/>
            <w:lang w:eastAsia="zh-CN"/>
          </w:rPr>
          <w:t>一、年IDC项目可持续发展</w:t>
        </w:r>
        <w:r>
          <w:tab/>
        </w:r>
        <w:r>
          <w:fldChar w:fldCharType="begin"/>
        </w:r>
        <w:r>
          <w:instrText xml:space="preserve"> PAGEREF _Toc9055 \h </w:instrText>
        </w:r>
        <w:r>
          <w:fldChar w:fldCharType="separate"/>
        </w:r>
        <w:r>
          <w:t>3</w:t>
        </w:r>
        <w:r>
          <w:fldChar w:fldCharType="end"/>
        </w:r>
      </w:hyperlink>
    </w:p>
    <w:p>
      <w:pPr>
        <w:pStyle w:val="TOC2"/>
        <w:tabs>
          <w:tab w:val="right" w:leader="dot" w:pos="8306"/>
        </w:tabs>
      </w:pPr>
      <w:hyperlink w:anchor="_Toc19685" w:history="1">
        <w:r>
          <w:rPr>
            <w:rFonts w:ascii="仿宋" w:eastAsia="仿宋" w:hAnsi="仿宋" w:cs="仿宋" w:hint="eastAsia"/>
            <w:lang w:eastAsia="zh-CN"/>
          </w:rPr>
          <w:t>(一)、可持续战略与实践</w:t>
        </w:r>
        <w:r>
          <w:tab/>
        </w:r>
        <w:r>
          <w:fldChar w:fldCharType="begin"/>
        </w:r>
        <w:r>
          <w:instrText xml:space="preserve"> PAGEREF _Toc19685 \h </w:instrText>
        </w:r>
        <w:r>
          <w:fldChar w:fldCharType="separate"/>
        </w:r>
        <w:r>
          <w:t>3</w:t>
        </w:r>
        <w:r>
          <w:fldChar w:fldCharType="end"/>
        </w:r>
      </w:hyperlink>
    </w:p>
    <w:p>
      <w:pPr>
        <w:pStyle w:val="TOC2"/>
        <w:tabs>
          <w:tab w:val="right" w:leader="dot" w:pos="8306"/>
        </w:tabs>
      </w:pPr>
      <w:hyperlink w:anchor="_Toc6913" w:history="1">
        <w:r>
          <w:rPr>
            <w:rFonts w:ascii="仿宋" w:eastAsia="仿宋" w:hAnsi="仿宋" w:cs="仿宋" w:hint="eastAsia"/>
            <w:lang w:eastAsia="zh-CN"/>
          </w:rPr>
          <w:t>(二)、环保与社会责任</w:t>
        </w:r>
        <w:r>
          <w:tab/>
        </w:r>
        <w:r>
          <w:fldChar w:fldCharType="begin"/>
        </w:r>
        <w:r>
          <w:instrText xml:space="preserve"> PAGEREF _Toc6913 \h </w:instrText>
        </w:r>
        <w:r>
          <w:fldChar w:fldCharType="separate"/>
        </w:r>
        <w:r>
          <w:t>4</w:t>
        </w:r>
        <w:r>
          <w:fldChar w:fldCharType="end"/>
        </w:r>
      </w:hyperlink>
    </w:p>
    <w:p>
      <w:pPr>
        <w:pStyle w:val="TOC1"/>
        <w:tabs>
          <w:tab w:val="right" w:leader="dot" w:pos="8306"/>
        </w:tabs>
      </w:pPr>
      <w:hyperlink w:anchor="_Toc23575" w:history="1">
        <w:r>
          <w:rPr>
            <w:rFonts w:ascii="仿宋" w:eastAsia="仿宋" w:hAnsi="仿宋" w:cs="仿宋" w:hint="eastAsia"/>
            <w:lang w:eastAsia="zh-CN"/>
          </w:rPr>
          <w:t>二、年IDC项目文档管理</w:t>
        </w:r>
        <w:r>
          <w:tab/>
        </w:r>
        <w:r>
          <w:fldChar w:fldCharType="begin"/>
        </w:r>
        <w:r>
          <w:instrText xml:space="preserve"> PAGEREF _Toc23575 \h </w:instrText>
        </w:r>
        <w:r>
          <w:fldChar w:fldCharType="separate"/>
        </w:r>
        <w:r>
          <w:t>5</w:t>
        </w:r>
        <w:r>
          <w:fldChar w:fldCharType="end"/>
        </w:r>
      </w:hyperlink>
    </w:p>
    <w:p>
      <w:pPr>
        <w:pStyle w:val="TOC2"/>
        <w:tabs>
          <w:tab w:val="right" w:leader="dot" w:pos="8306"/>
        </w:tabs>
      </w:pPr>
      <w:hyperlink w:anchor="_Toc13379" w:history="1">
        <w:r>
          <w:rPr>
            <w:rFonts w:ascii="仿宋" w:eastAsia="仿宋" w:hAnsi="仿宋" w:cs="仿宋" w:hint="eastAsia"/>
            <w:lang w:eastAsia="zh-CN"/>
          </w:rPr>
          <w:t>(一)、文档编制与审查</w:t>
        </w:r>
        <w:r>
          <w:tab/>
        </w:r>
        <w:r>
          <w:fldChar w:fldCharType="begin"/>
        </w:r>
        <w:r>
          <w:instrText xml:space="preserve"> PAGEREF _Toc13379 \h </w:instrText>
        </w:r>
        <w:r>
          <w:fldChar w:fldCharType="separate"/>
        </w:r>
        <w:r>
          <w:t>5</w:t>
        </w:r>
        <w:r>
          <w:fldChar w:fldCharType="end"/>
        </w:r>
      </w:hyperlink>
    </w:p>
    <w:p>
      <w:pPr>
        <w:pStyle w:val="TOC2"/>
        <w:tabs>
          <w:tab w:val="right" w:leader="dot" w:pos="8306"/>
        </w:tabs>
      </w:pPr>
      <w:hyperlink w:anchor="_Toc16488" w:history="1">
        <w:r>
          <w:rPr>
            <w:rFonts w:ascii="仿宋" w:eastAsia="仿宋" w:hAnsi="仿宋" w:cs="仿宋" w:hint="eastAsia"/>
            <w:lang w:eastAsia="zh-CN"/>
          </w:rPr>
          <w:t>(二)、文档发布与分发</w:t>
        </w:r>
        <w:r>
          <w:tab/>
        </w:r>
        <w:r>
          <w:fldChar w:fldCharType="begin"/>
        </w:r>
        <w:r>
          <w:instrText xml:space="preserve"> PAGEREF _Toc16488 \h </w:instrText>
        </w:r>
        <w:r>
          <w:fldChar w:fldCharType="separate"/>
        </w:r>
        <w:r>
          <w:t>6</w:t>
        </w:r>
        <w:r>
          <w:fldChar w:fldCharType="end"/>
        </w:r>
      </w:hyperlink>
    </w:p>
    <w:p>
      <w:pPr>
        <w:pStyle w:val="TOC2"/>
        <w:tabs>
          <w:tab w:val="right" w:leader="dot" w:pos="8306"/>
        </w:tabs>
      </w:pPr>
      <w:hyperlink w:anchor="_Toc26926" w:history="1">
        <w:r>
          <w:rPr>
            <w:rFonts w:ascii="仿宋" w:eastAsia="仿宋" w:hAnsi="仿宋" w:cs="仿宋" w:hint="eastAsia"/>
            <w:lang w:eastAsia="zh-CN"/>
          </w:rPr>
          <w:t>(三)、文档存档与归档</w:t>
        </w:r>
        <w:r>
          <w:tab/>
        </w:r>
        <w:r>
          <w:fldChar w:fldCharType="begin"/>
        </w:r>
        <w:r>
          <w:instrText xml:space="preserve"> PAGEREF _Toc26926 \h </w:instrText>
        </w:r>
        <w:r>
          <w:fldChar w:fldCharType="separate"/>
        </w:r>
        <w:r>
          <w:t>7</w:t>
        </w:r>
        <w:r>
          <w:fldChar w:fldCharType="end"/>
        </w:r>
      </w:hyperlink>
    </w:p>
    <w:p>
      <w:pPr>
        <w:pStyle w:val="TOC1"/>
        <w:tabs>
          <w:tab w:val="right" w:leader="dot" w:pos="8306"/>
        </w:tabs>
      </w:pPr>
      <w:hyperlink w:anchor="_Toc9643" w:history="1">
        <w:r>
          <w:rPr>
            <w:rFonts w:ascii="仿宋" w:eastAsia="仿宋" w:hAnsi="仿宋" w:cs="仿宋" w:hint="eastAsia"/>
            <w:lang w:eastAsia="zh-CN"/>
          </w:rPr>
          <w:t>三、年IDC项目建设背景及必要性分析</w:t>
        </w:r>
        <w:r>
          <w:tab/>
        </w:r>
        <w:r>
          <w:fldChar w:fldCharType="begin"/>
        </w:r>
        <w:r>
          <w:instrText xml:space="preserve"> PAGEREF _Toc9643 \h </w:instrText>
        </w:r>
        <w:r>
          <w:fldChar w:fldCharType="separate"/>
        </w:r>
        <w:r>
          <w:t>8</w:t>
        </w:r>
        <w:r>
          <w:fldChar w:fldCharType="end"/>
        </w:r>
      </w:hyperlink>
    </w:p>
    <w:p>
      <w:pPr>
        <w:pStyle w:val="TOC2"/>
        <w:tabs>
          <w:tab w:val="right" w:leader="dot" w:pos="8306"/>
        </w:tabs>
      </w:pPr>
      <w:hyperlink w:anchor="_Toc12400" w:history="1">
        <w:r>
          <w:rPr>
            <w:rFonts w:ascii="仿宋" w:eastAsia="仿宋" w:hAnsi="仿宋" w:cs="仿宋" w:hint="eastAsia"/>
            <w:lang w:eastAsia="zh-CN"/>
          </w:rPr>
          <w:t>(一)、年IDC项目背景分析</w:t>
        </w:r>
        <w:r>
          <w:tab/>
        </w:r>
        <w:r>
          <w:fldChar w:fldCharType="begin"/>
        </w:r>
        <w:r>
          <w:instrText xml:space="preserve"> PAGEREF _Toc12400 \h </w:instrText>
        </w:r>
        <w:r>
          <w:fldChar w:fldCharType="separate"/>
        </w:r>
        <w:r>
          <w:t>8</w:t>
        </w:r>
        <w:r>
          <w:fldChar w:fldCharType="end"/>
        </w:r>
      </w:hyperlink>
    </w:p>
    <w:p>
      <w:pPr>
        <w:pStyle w:val="TOC2"/>
        <w:tabs>
          <w:tab w:val="right" w:leader="dot" w:pos="8306"/>
        </w:tabs>
      </w:pPr>
      <w:hyperlink w:anchor="_Toc24927" w:history="1">
        <w:r>
          <w:rPr>
            <w:rFonts w:ascii="仿宋" w:eastAsia="仿宋" w:hAnsi="仿宋" w:cs="仿宋" w:hint="eastAsia"/>
            <w:lang w:eastAsia="zh-CN"/>
          </w:rPr>
          <w:t>(二)、年IDC项目建设必要性分析</w:t>
        </w:r>
        <w:r>
          <w:tab/>
        </w:r>
        <w:r>
          <w:fldChar w:fldCharType="begin"/>
        </w:r>
        <w:r>
          <w:instrText xml:space="preserve"> PAGEREF _Toc24927 \h </w:instrText>
        </w:r>
        <w:r>
          <w:fldChar w:fldCharType="separate"/>
        </w:r>
        <w:r>
          <w:t>10</w:t>
        </w:r>
        <w:r>
          <w:fldChar w:fldCharType="end"/>
        </w:r>
      </w:hyperlink>
    </w:p>
    <w:p>
      <w:pPr>
        <w:pStyle w:val="TOC1"/>
        <w:tabs>
          <w:tab w:val="right" w:leader="dot" w:pos="8306"/>
        </w:tabs>
      </w:pPr>
      <w:hyperlink w:anchor="_Toc25868" w:history="1">
        <w:r>
          <w:rPr>
            <w:rFonts w:ascii="仿宋" w:eastAsia="仿宋" w:hAnsi="仿宋" w:cs="仿宋" w:hint="eastAsia"/>
            <w:lang w:eastAsia="zh-CN"/>
          </w:rPr>
          <w:t>四、年IDC项目危机管理</w:t>
        </w:r>
        <w:r>
          <w:tab/>
        </w:r>
        <w:r>
          <w:fldChar w:fldCharType="begin"/>
        </w:r>
        <w:r>
          <w:instrText xml:space="preserve"> PAGEREF _Toc25868 \h </w:instrText>
        </w:r>
        <w:r>
          <w:fldChar w:fldCharType="separate"/>
        </w:r>
        <w:r>
          <w:t>11</w:t>
        </w:r>
        <w:r>
          <w:fldChar w:fldCharType="end"/>
        </w:r>
      </w:hyperlink>
    </w:p>
    <w:p>
      <w:pPr>
        <w:pStyle w:val="TOC2"/>
        <w:tabs>
          <w:tab w:val="right" w:leader="dot" w:pos="8306"/>
        </w:tabs>
      </w:pPr>
      <w:hyperlink w:anchor="_Toc14343" w:history="1">
        <w:r>
          <w:rPr>
            <w:rFonts w:ascii="仿宋" w:eastAsia="仿宋" w:hAnsi="仿宋" w:cs="仿宋" w:hint="eastAsia"/>
            <w:lang w:eastAsia="zh-CN"/>
          </w:rPr>
          <w:t>(一)、危机预警与识别</w:t>
        </w:r>
        <w:r>
          <w:tab/>
        </w:r>
        <w:r>
          <w:fldChar w:fldCharType="begin"/>
        </w:r>
        <w:r>
          <w:instrText xml:space="preserve"> PAGEREF _Toc14343 \h </w:instrText>
        </w:r>
        <w:r>
          <w:fldChar w:fldCharType="separate"/>
        </w:r>
        <w:r>
          <w:t>11</w:t>
        </w:r>
        <w:r>
          <w:fldChar w:fldCharType="end"/>
        </w:r>
      </w:hyperlink>
    </w:p>
    <w:p>
      <w:pPr>
        <w:pStyle w:val="TOC2"/>
        <w:tabs>
          <w:tab w:val="right" w:leader="dot" w:pos="8306"/>
        </w:tabs>
      </w:pPr>
      <w:hyperlink w:anchor="_Toc189" w:history="1">
        <w:r>
          <w:rPr>
            <w:rFonts w:ascii="仿宋" w:eastAsia="仿宋" w:hAnsi="仿宋" w:cs="仿宋" w:hint="eastAsia"/>
            <w:lang w:eastAsia="zh-CN"/>
          </w:rPr>
          <w:t>(二)、危机应对与恢复</w:t>
        </w:r>
        <w:r>
          <w:tab/>
        </w:r>
        <w:r>
          <w:fldChar w:fldCharType="begin"/>
        </w:r>
        <w:r>
          <w:instrText xml:space="preserve"> PAGEREF _Toc189 \h </w:instrText>
        </w:r>
        <w:r>
          <w:fldChar w:fldCharType="separate"/>
        </w:r>
        <w:r>
          <w:t>12</w:t>
        </w:r>
        <w:r>
          <w:fldChar w:fldCharType="end"/>
        </w:r>
      </w:hyperlink>
    </w:p>
    <w:p>
      <w:pPr>
        <w:pStyle w:val="TOC1"/>
        <w:tabs>
          <w:tab w:val="right" w:leader="dot" w:pos="8306"/>
        </w:tabs>
      </w:pPr>
      <w:hyperlink w:anchor="_Toc3736" w:history="1">
        <w:r>
          <w:rPr>
            <w:rFonts w:ascii="仿宋" w:eastAsia="仿宋" w:hAnsi="仿宋" w:cs="仿宋" w:hint="eastAsia"/>
            <w:lang w:eastAsia="zh-CN"/>
          </w:rPr>
          <w:t>五、年IDC项目概论</w:t>
        </w:r>
        <w:r>
          <w:tab/>
        </w:r>
        <w:r>
          <w:fldChar w:fldCharType="begin"/>
        </w:r>
        <w:r>
          <w:instrText xml:space="preserve"> PAGEREF _Toc3736 \h </w:instrText>
        </w:r>
        <w:r>
          <w:fldChar w:fldCharType="separate"/>
        </w:r>
        <w:r>
          <w:t>13</w:t>
        </w:r>
        <w:r>
          <w:fldChar w:fldCharType="end"/>
        </w:r>
      </w:hyperlink>
    </w:p>
    <w:p>
      <w:pPr>
        <w:pStyle w:val="TOC2"/>
        <w:tabs>
          <w:tab w:val="right" w:leader="dot" w:pos="8306"/>
        </w:tabs>
      </w:pPr>
      <w:hyperlink w:anchor="_Toc26178" w:history="1">
        <w:r>
          <w:rPr>
            <w:rFonts w:ascii="仿宋" w:eastAsia="仿宋" w:hAnsi="仿宋" w:cs="仿宋" w:hint="eastAsia"/>
            <w:lang w:eastAsia="zh-CN"/>
          </w:rPr>
          <w:t>(一)、年IDC项目概况</w:t>
        </w:r>
        <w:r>
          <w:tab/>
        </w:r>
        <w:r>
          <w:fldChar w:fldCharType="begin"/>
        </w:r>
        <w:r>
          <w:instrText xml:space="preserve"> PAGEREF _Toc26178 \h </w:instrText>
        </w:r>
        <w:r>
          <w:fldChar w:fldCharType="separate"/>
        </w:r>
        <w:r>
          <w:t>13</w:t>
        </w:r>
        <w:r>
          <w:fldChar w:fldCharType="end"/>
        </w:r>
      </w:hyperlink>
    </w:p>
    <w:p>
      <w:pPr>
        <w:pStyle w:val="TOC2"/>
        <w:tabs>
          <w:tab w:val="right" w:leader="dot" w:pos="8306"/>
        </w:tabs>
      </w:pPr>
      <w:hyperlink w:anchor="_Toc28678" w:history="1">
        <w:r>
          <w:rPr>
            <w:rFonts w:ascii="仿宋" w:eastAsia="仿宋" w:hAnsi="仿宋" w:cs="仿宋" w:hint="eastAsia"/>
            <w:lang w:eastAsia="zh-CN"/>
          </w:rPr>
          <w:t>(二)、年IDC项目目标</w:t>
        </w:r>
        <w:r>
          <w:tab/>
        </w:r>
        <w:r>
          <w:fldChar w:fldCharType="begin"/>
        </w:r>
        <w:r>
          <w:instrText xml:space="preserve"> PAGEREF _Toc28678 \h </w:instrText>
        </w:r>
        <w:r>
          <w:fldChar w:fldCharType="separate"/>
        </w:r>
        <w:r>
          <w:t>15</w:t>
        </w:r>
        <w:r>
          <w:fldChar w:fldCharType="end"/>
        </w:r>
      </w:hyperlink>
    </w:p>
    <w:p>
      <w:pPr>
        <w:pStyle w:val="TOC2"/>
        <w:tabs>
          <w:tab w:val="right" w:leader="dot" w:pos="8306"/>
        </w:tabs>
      </w:pPr>
      <w:hyperlink w:anchor="_Toc8998" w:history="1">
        <w:r>
          <w:rPr>
            <w:rFonts w:ascii="仿宋" w:eastAsia="仿宋" w:hAnsi="仿宋" w:cs="仿宋" w:hint="eastAsia"/>
            <w:lang w:eastAsia="zh-CN"/>
          </w:rPr>
          <w:t>(三)、年IDC项目提出的理由</w:t>
        </w:r>
        <w:r>
          <w:tab/>
        </w:r>
        <w:r>
          <w:fldChar w:fldCharType="begin"/>
        </w:r>
        <w:r>
          <w:instrText xml:space="preserve"> PAGEREF _Toc8998 \h </w:instrText>
        </w:r>
        <w:r>
          <w:fldChar w:fldCharType="separate"/>
        </w:r>
        <w:r>
          <w:t>16</w:t>
        </w:r>
        <w:r>
          <w:fldChar w:fldCharType="end"/>
        </w:r>
      </w:hyperlink>
    </w:p>
    <w:p>
      <w:pPr>
        <w:pStyle w:val="TOC2"/>
        <w:tabs>
          <w:tab w:val="right" w:leader="dot" w:pos="8306"/>
        </w:tabs>
      </w:pPr>
      <w:hyperlink w:anchor="_Toc20590" w:history="1">
        <w:r>
          <w:rPr>
            <w:rFonts w:ascii="仿宋" w:eastAsia="仿宋" w:hAnsi="仿宋" w:cs="仿宋" w:hint="eastAsia"/>
            <w:lang w:eastAsia="zh-CN"/>
          </w:rPr>
          <w:t>(四)、年IDC项目意义</w:t>
        </w:r>
        <w:r>
          <w:tab/>
        </w:r>
        <w:r>
          <w:fldChar w:fldCharType="begin"/>
        </w:r>
        <w:r>
          <w:instrText xml:space="preserve"> PAGEREF _Toc20590 \h </w:instrText>
        </w:r>
        <w:r>
          <w:fldChar w:fldCharType="separate"/>
        </w:r>
        <w:r>
          <w:t>18</w:t>
        </w:r>
        <w:r>
          <w:fldChar w:fldCharType="end"/>
        </w:r>
      </w:hyperlink>
    </w:p>
    <w:p>
      <w:pPr>
        <w:pStyle w:val="TOC2"/>
        <w:tabs>
          <w:tab w:val="right" w:leader="dot" w:pos="8306"/>
        </w:tabs>
      </w:pPr>
      <w:hyperlink w:anchor="_Toc3277" w:history="1">
        <w:r>
          <w:rPr>
            <w:rFonts w:ascii="仿宋" w:eastAsia="仿宋" w:hAnsi="仿宋" w:cs="仿宋" w:hint="eastAsia"/>
            <w:lang w:eastAsia="zh-CN"/>
          </w:rPr>
          <w:t>(五)、年IDC项目背景</w:t>
        </w:r>
        <w:r>
          <w:tab/>
        </w:r>
        <w:r>
          <w:fldChar w:fldCharType="begin"/>
        </w:r>
        <w:r>
          <w:instrText xml:space="preserve"> PAGEREF _Toc3277 \h </w:instrText>
        </w:r>
        <w:r>
          <w:fldChar w:fldCharType="separate"/>
        </w:r>
        <w:r>
          <w:t>19</w:t>
        </w:r>
        <w:r>
          <w:fldChar w:fldCharType="end"/>
        </w:r>
      </w:hyperlink>
    </w:p>
    <w:p>
      <w:pPr>
        <w:pStyle w:val="TOC1"/>
        <w:tabs>
          <w:tab w:val="right" w:leader="dot" w:pos="8306"/>
        </w:tabs>
      </w:pPr>
      <w:hyperlink w:anchor="_Toc635" w:history="1">
        <w:r>
          <w:rPr>
            <w:rFonts w:ascii="仿宋" w:eastAsia="仿宋" w:hAnsi="仿宋" w:cs="仿宋" w:hint="eastAsia"/>
            <w:lang w:eastAsia="zh-CN"/>
          </w:rPr>
          <w:t>六、年IDC项目绩效评估</w:t>
        </w:r>
        <w:r>
          <w:tab/>
        </w:r>
        <w:r>
          <w:fldChar w:fldCharType="begin"/>
        </w:r>
        <w:r>
          <w:instrText xml:space="preserve"> PAGEREF _Toc635 \h </w:instrText>
        </w:r>
        <w:r>
          <w:fldChar w:fldCharType="separate"/>
        </w:r>
        <w:r>
          <w:t>20</w:t>
        </w:r>
        <w:r>
          <w:fldChar w:fldCharType="end"/>
        </w:r>
      </w:hyperlink>
    </w:p>
    <w:p>
      <w:pPr>
        <w:pStyle w:val="TOC2"/>
        <w:tabs>
          <w:tab w:val="right" w:leader="dot" w:pos="8306"/>
        </w:tabs>
      </w:pPr>
      <w:hyperlink w:anchor="_Toc31426" w:history="1">
        <w:r>
          <w:rPr>
            <w:rFonts w:ascii="仿宋" w:eastAsia="仿宋" w:hAnsi="仿宋" w:cs="仿宋" w:hint="eastAsia"/>
            <w:lang w:eastAsia="zh-CN"/>
          </w:rPr>
          <w:t>(一)、绩效评估指标</w:t>
        </w:r>
        <w:r>
          <w:tab/>
        </w:r>
        <w:r>
          <w:fldChar w:fldCharType="begin"/>
        </w:r>
        <w:r>
          <w:instrText xml:space="preserve"> PAGEREF _Toc31426 \h </w:instrText>
        </w:r>
        <w:r>
          <w:fldChar w:fldCharType="separate"/>
        </w:r>
        <w:r>
          <w:t>20</w:t>
        </w:r>
        <w:r>
          <w:fldChar w:fldCharType="end"/>
        </w:r>
      </w:hyperlink>
    </w:p>
    <w:p>
      <w:pPr>
        <w:pStyle w:val="TOC2"/>
        <w:tabs>
          <w:tab w:val="right" w:leader="dot" w:pos="8306"/>
        </w:tabs>
      </w:pPr>
      <w:hyperlink w:anchor="_Toc14573" w:history="1">
        <w:r>
          <w:rPr>
            <w:rFonts w:ascii="仿宋" w:eastAsia="仿宋" w:hAnsi="仿宋" w:cs="仿宋" w:hint="eastAsia"/>
            <w:lang w:eastAsia="zh-CN"/>
          </w:rPr>
          <w:t>(二)、绩效评估方法</w:t>
        </w:r>
        <w:r>
          <w:tab/>
        </w:r>
        <w:r>
          <w:fldChar w:fldCharType="begin"/>
        </w:r>
        <w:r>
          <w:instrText xml:space="preserve"> PAGEREF _Toc14573 \h </w:instrText>
        </w:r>
        <w:r>
          <w:fldChar w:fldCharType="separate"/>
        </w:r>
        <w:r>
          <w:t>21</w:t>
        </w:r>
        <w:r>
          <w:fldChar w:fldCharType="end"/>
        </w:r>
      </w:hyperlink>
    </w:p>
    <w:p>
      <w:pPr>
        <w:pStyle w:val="TOC2"/>
        <w:tabs>
          <w:tab w:val="right" w:leader="dot" w:pos="8306"/>
        </w:tabs>
      </w:pPr>
      <w:hyperlink w:anchor="_Toc12442" w:history="1">
        <w:r>
          <w:rPr>
            <w:rFonts w:ascii="仿宋" w:eastAsia="仿宋" w:hAnsi="仿宋" w:cs="仿宋" w:hint="eastAsia"/>
            <w:lang w:eastAsia="zh-CN"/>
          </w:rPr>
          <w:t>(三)、绩效评估周期</w:t>
        </w:r>
        <w:r>
          <w:tab/>
        </w:r>
        <w:r>
          <w:fldChar w:fldCharType="begin"/>
        </w:r>
        <w:r>
          <w:instrText xml:space="preserve"> PAGEREF _Toc12442 \h </w:instrText>
        </w:r>
        <w:r>
          <w:fldChar w:fldCharType="separate"/>
        </w:r>
        <w:r>
          <w:t>22</w:t>
        </w:r>
        <w:r>
          <w:fldChar w:fldCharType="end"/>
        </w:r>
      </w:hyperlink>
    </w:p>
    <w:p>
      <w:pPr>
        <w:pStyle w:val="TOC1"/>
        <w:tabs>
          <w:tab w:val="right" w:leader="dot" w:pos="8306"/>
        </w:tabs>
      </w:pPr>
      <w:hyperlink w:anchor="_Toc32116" w:history="1">
        <w:r>
          <w:rPr>
            <w:rFonts w:ascii="仿宋" w:eastAsia="仿宋" w:hAnsi="仿宋" w:cs="仿宋" w:hint="eastAsia"/>
            <w:lang w:eastAsia="zh-CN"/>
          </w:rPr>
          <w:t>七、年IDC项目人力资源培养与发展</w:t>
        </w:r>
        <w:r>
          <w:tab/>
        </w:r>
        <w:r>
          <w:fldChar w:fldCharType="begin"/>
        </w:r>
        <w:r>
          <w:instrText xml:space="preserve"> PAGEREF _Toc32116 \h </w:instrText>
        </w:r>
        <w:r>
          <w:fldChar w:fldCharType="separate"/>
        </w:r>
        <w:r>
          <w:t>23</w:t>
        </w:r>
        <w:r>
          <w:fldChar w:fldCharType="end"/>
        </w:r>
      </w:hyperlink>
    </w:p>
    <w:p>
      <w:pPr>
        <w:pStyle w:val="TOC2"/>
        <w:tabs>
          <w:tab w:val="right" w:leader="dot" w:pos="8306"/>
        </w:tabs>
      </w:pPr>
      <w:hyperlink w:anchor="_Toc23541" w:history="1">
        <w:r>
          <w:rPr>
            <w:rFonts w:ascii="仿宋" w:eastAsia="仿宋" w:hAnsi="仿宋" w:cs="仿宋" w:hint="eastAsia"/>
            <w:lang w:eastAsia="zh-CN"/>
          </w:rPr>
          <w:t>(一)、人才需求与规划</w:t>
        </w:r>
        <w:r>
          <w:tab/>
        </w:r>
        <w:r>
          <w:fldChar w:fldCharType="begin"/>
        </w:r>
        <w:r>
          <w:instrText xml:space="preserve"> PAGEREF _Toc23541 \h </w:instrText>
        </w:r>
        <w:r>
          <w:fldChar w:fldCharType="separate"/>
        </w:r>
        <w:r>
          <w:t>23</w:t>
        </w:r>
        <w:r>
          <w:fldChar w:fldCharType="end"/>
        </w:r>
      </w:hyperlink>
    </w:p>
    <w:p>
      <w:pPr>
        <w:pStyle w:val="TOC2"/>
        <w:tabs>
          <w:tab w:val="right" w:leader="dot" w:pos="8306"/>
        </w:tabs>
      </w:pPr>
      <w:hyperlink w:anchor="_Toc3895" w:history="1">
        <w:r>
          <w:rPr>
            <w:rFonts w:ascii="仿宋" w:eastAsia="仿宋" w:hAnsi="仿宋" w:cs="仿宋" w:hint="eastAsia"/>
            <w:lang w:eastAsia="zh-CN"/>
          </w:rPr>
          <w:t>(二)、培训与发展计划</w:t>
        </w:r>
        <w:r>
          <w:tab/>
        </w:r>
        <w:r>
          <w:fldChar w:fldCharType="begin"/>
        </w:r>
        <w:r>
          <w:instrText xml:space="preserve"> PAGEREF _Toc3895 \h </w:instrText>
        </w:r>
        <w:r>
          <w:fldChar w:fldCharType="separate"/>
        </w:r>
        <w:r>
          <w:t>23</w:t>
        </w:r>
        <w:r>
          <w:fldChar w:fldCharType="end"/>
        </w:r>
      </w:hyperlink>
    </w:p>
    <w:p>
      <w:pPr>
        <w:pStyle w:val="TOC1"/>
        <w:tabs>
          <w:tab w:val="right" w:leader="dot" w:pos="8306"/>
        </w:tabs>
      </w:pPr>
      <w:hyperlink w:anchor="_Toc28500" w:history="1">
        <w:r>
          <w:rPr>
            <w:rFonts w:ascii="仿宋" w:eastAsia="仿宋" w:hAnsi="仿宋" w:cs="仿宋" w:hint="eastAsia"/>
            <w:lang w:eastAsia="zh-CN"/>
          </w:rPr>
          <w:t>八、年IDC项目技术管理</w:t>
        </w:r>
        <w:r>
          <w:tab/>
        </w:r>
        <w:r>
          <w:fldChar w:fldCharType="begin"/>
        </w:r>
        <w:r>
          <w:instrText xml:space="preserve"> PAGEREF _Toc28500 \h </w:instrText>
        </w:r>
        <w:r>
          <w:fldChar w:fldCharType="separate"/>
        </w:r>
        <w:r>
          <w:t>24</w:t>
        </w:r>
        <w:r>
          <w:fldChar w:fldCharType="end"/>
        </w:r>
      </w:hyperlink>
    </w:p>
    <w:p>
      <w:pPr>
        <w:pStyle w:val="TOC2"/>
        <w:tabs>
          <w:tab w:val="right" w:leader="dot" w:pos="8306"/>
        </w:tabs>
      </w:pPr>
      <w:hyperlink w:anchor="_Toc28352" w:history="1">
        <w:r>
          <w:rPr>
            <w:rFonts w:ascii="仿宋" w:eastAsia="仿宋" w:hAnsi="仿宋" w:cs="仿宋" w:hint="eastAsia"/>
            <w:lang w:eastAsia="zh-CN"/>
          </w:rPr>
          <w:t>(一)、技术方案选用方向</w:t>
        </w:r>
        <w:r>
          <w:tab/>
        </w:r>
        <w:r>
          <w:fldChar w:fldCharType="begin"/>
        </w:r>
        <w:r>
          <w:instrText xml:space="preserve"> PAGEREF _Toc28352 \h </w:instrText>
        </w:r>
        <w:r>
          <w:fldChar w:fldCharType="separate"/>
        </w:r>
        <w:r>
          <w:t>24</w:t>
        </w:r>
        <w:r>
          <w:fldChar w:fldCharType="end"/>
        </w:r>
      </w:hyperlink>
    </w:p>
    <w:p>
      <w:pPr>
        <w:pStyle w:val="TOC2"/>
        <w:tabs>
          <w:tab w:val="right" w:leader="dot" w:pos="8306"/>
        </w:tabs>
      </w:pPr>
      <w:hyperlink w:anchor="_Toc10470" w:history="1">
        <w:r>
          <w:rPr>
            <w:rFonts w:ascii="仿宋" w:eastAsia="仿宋" w:hAnsi="仿宋" w:cs="仿宋" w:hint="eastAsia"/>
            <w:lang w:eastAsia="zh-CN"/>
          </w:rPr>
          <w:t>(二)、工艺技术方案选用原则</w:t>
        </w:r>
        <w:r>
          <w:tab/>
        </w:r>
        <w:r>
          <w:fldChar w:fldCharType="begin"/>
        </w:r>
        <w:r>
          <w:instrText xml:space="preserve"> PAGEREF _Toc10470 \h </w:instrText>
        </w:r>
        <w:r>
          <w:fldChar w:fldCharType="separate"/>
        </w:r>
        <w:r>
          <w:t>26</w:t>
        </w:r>
        <w:r>
          <w:fldChar w:fldCharType="end"/>
        </w:r>
      </w:hyperlink>
    </w:p>
    <w:p>
      <w:pPr>
        <w:pStyle w:val="TOC2"/>
        <w:tabs>
          <w:tab w:val="right" w:leader="dot" w:pos="8306"/>
        </w:tabs>
      </w:pPr>
      <w:hyperlink w:anchor="_Toc18982" w:history="1">
        <w:r>
          <w:rPr>
            <w:rFonts w:ascii="仿宋" w:eastAsia="仿宋" w:hAnsi="仿宋" w:cs="仿宋" w:hint="eastAsia"/>
            <w:lang w:eastAsia="zh-CN"/>
          </w:rPr>
          <w:t>(三)、工艺技术方案要求</w:t>
        </w:r>
        <w:r>
          <w:tab/>
        </w:r>
        <w:r>
          <w:fldChar w:fldCharType="begin"/>
        </w:r>
        <w:r>
          <w:instrText xml:space="preserve"> PAGEREF _Toc18982 \h </w:instrText>
        </w:r>
        <w:r>
          <w:fldChar w:fldCharType="separate"/>
        </w:r>
        <w:r>
          <w:t>28</w:t>
        </w:r>
        <w:r>
          <w:fldChar w:fldCharType="end"/>
        </w:r>
      </w:hyperlink>
    </w:p>
    <w:p>
      <w:pPr>
        <w:pStyle w:val="TOC1"/>
        <w:tabs>
          <w:tab w:val="right" w:leader="dot" w:pos="8306"/>
        </w:tabs>
      </w:pPr>
      <w:hyperlink w:anchor="_Toc19579" w:history="1">
        <w:r>
          <w:rPr>
            <w:rFonts w:ascii="仿宋" w:eastAsia="仿宋" w:hAnsi="仿宋" w:cs="仿宋" w:hint="eastAsia"/>
            <w:lang w:eastAsia="zh-CN"/>
          </w:rPr>
          <w:t>九、年IDC项目投资规划</w:t>
        </w:r>
        <w:r>
          <w:tab/>
        </w:r>
        <w:r>
          <w:fldChar w:fldCharType="begin"/>
        </w:r>
        <w:r>
          <w:instrText xml:space="preserve"> PAGEREF _Toc19579 \h </w:instrText>
        </w:r>
        <w:r>
          <w:fldChar w:fldCharType="separate"/>
        </w:r>
        <w:r>
          <w:t>30</w:t>
        </w:r>
        <w:r>
          <w:fldChar w:fldCharType="end"/>
        </w:r>
      </w:hyperlink>
    </w:p>
    <w:p>
      <w:pPr>
        <w:pStyle w:val="TOC2"/>
        <w:tabs>
          <w:tab w:val="right" w:leader="dot" w:pos="8306"/>
        </w:tabs>
      </w:pPr>
      <w:hyperlink w:anchor="_Toc21422" w:history="1">
        <w:r>
          <w:rPr>
            <w:rFonts w:ascii="仿宋" w:eastAsia="仿宋" w:hAnsi="仿宋" w:cs="仿宋" w:hint="eastAsia"/>
            <w:lang w:eastAsia="zh-CN"/>
          </w:rPr>
          <w:t>(一)、年IDC项目总投资估算</w:t>
        </w:r>
        <w:r>
          <w:tab/>
        </w:r>
        <w:r>
          <w:fldChar w:fldCharType="begin"/>
        </w:r>
        <w:r>
          <w:instrText xml:space="preserve"> PAGEREF _Toc21422 \h </w:instrText>
        </w:r>
        <w:r>
          <w:fldChar w:fldCharType="separate"/>
        </w:r>
        <w:r>
          <w:t>30</w:t>
        </w:r>
        <w:r>
          <w:fldChar w:fldCharType="end"/>
        </w:r>
      </w:hyperlink>
    </w:p>
    <w:p>
      <w:pPr>
        <w:pStyle w:val="TOC2"/>
        <w:tabs>
          <w:tab w:val="right" w:leader="dot" w:pos="8306"/>
        </w:tabs>
      </w:pPr>
      <w:hyperlink w:anchor="_Toc4659" w:history="1">
        <w:r>
          <w:rPr>
            <w:rFonts w:ascii="仿宋" w:eastAsia="仿宋" w:hAnsi="仿宋" w:cs="仿宋" w:hint="eastAsia"/>
            <w:lang w:eastAsia="zh-CN"/>
          </w:rPr>
          <w:t>(二)、资金筹措</w:t>
        </w:r>
        <w:r>
          <w:tab/>
        </w:r>
        <w:r>
          <w:fldChar w:fldCharType="begin"/>
        </w:r>
        <w:r>
          <w:instrText xml:space="preserve"> PAGEREF _Toc4659 \h </w:instrText>
        </w:r>
        <w:r>
          <w:fldChar w:fldCharType="separate"/>
        </w:r>
        <w:r>
          <w:t>31</w:t>
        </w:r>
        <w:r>
          <w:fldChar w:fldCharType="end"/>
        </w:r>
      </w:hyperlink>
    </w:p>
    <w:p>
      <w:pPr>
        <w:pStyle w:val="TOC1"/>
        <w:tabs>
          <w:tab w:val="right" w:leader="dot" w:pos="8306"/>
        </w:tabs>
      </w:pPr>
      <w:hyperlink w:anchor="_Toc7731" w:history="1">
        <w:r>
          <w:rPr>
            <w:rFonts w:ascii="仿宋" w:eastAsia="仿宋" w:hAnsi="仿宋" w:cs="仿宋" w:hint="eastAsia"/>
            <w:lang w:eastAsia="zh-CN"/>
          </w:rPr>
          <w:t>十、年IDC项目风险管理</w:t>
        </w:r>
        <w:r>
          <w:tab/>
        </w:r>
        <w:r>
          <w:fldChar w:fldCharType="begin"/>
        </w:r>
        <w:r>
          <w:instrText xml:space="preserve"> PAGEREF _Toc7731 \h </w:instrText>
        </w:r>
        <w:r>
          <w:fldChar w:fldCharType="separate"/>
        </w:r>
        <w:r>
          <w:t>32</w:t>
        </w:r>
        <w:r>
          <w:fldChar w:fldCharType="end"/>
        </w:r>
      </w:hyperlink>
    </w:p>
    <w:p>
      <w:pPr>
        <w:pStyle w:val="TOC2"/>
        <w:tabs>
          <w:tab w:val="right" w:leader="dot" w:pos="8306"/>
        </w:tabs>
      </w:pPr>
      <w:hyperlink w:anchor="_Toc6070" w:history="1">
        <w:r>
          <w:rPr>
            <w:rFonts w:ascii="仿宋" w:eastAsia="仿宋" w:hAnsi="仿宋" w:cs="仿宋" w:hint="eastAsia"/>
            <w:lang w:eastAsia="zh-CN"/>
          </w:rPr>
          <w:t>(一)、风险识别与评估</w:t>
        </w:r>
        <w:r>
          <w:tab/>
        </w:r>
        <w:r>
          <w:fldChar w:fldCharType="begin"/>
        </w:r>
        <w:r>
          <w:instrText xml:space="preserve"> PAGEREF _Toc6070 \h </w:instrText>
        </w:r>
        <w:r>
          <w:fldChar w:fldCharType="separate"/>
        </w:r>
        <w:r>
          <w:t>32</w:t>
        </w:r>
        <w:r>
          <w:fldChar w:fldCharType="end"/>
        </w:r>
      </w:hyperlink>
    </w:p>
    <w:p>
      <w:pPr>
        <w:pStyle w:val="TOC2"/>
        <w:tabs>
          <w:tab w:val="right" w:leader="dot" w:pos="8306"/>
        </w:tabs>
      </w:pPr>
      <w:hyperlink w:anchor="_Toc13848" w:history="1">
        <w:r>
          <w:rPr>
            <w:rFonts w:ascii="仿宋" w:eastAsia="仿宋" w:hAnsi="仿宋" w:cs="仿宋" w:hint="eastAsia"/>
            <w:lang w:eastAsia="zh-CN"/>
          </w:rPr>
          <w:t>(二)、风险应对策略</w:t>
        </w:r>
        <w:r>
          <w:tab/>
        </w:r>
        <w:r>
          <w:fldChar w:fldCharType="begin"/>
        </w:r>
        <w:r>
          <w:instrText xml:space="preserve"> PAGEREF _Toc13848 \h </w:instrText>
        </w:r>
        <w:r>
          <w:fldChar w:fldCharType="separate"/>
        </w:r>
        <w:r>
          <w:t>33</w:t>
        </w:r>
        <w:r>
          <w:fldChar w:fldCharType="end"/>
        </w:r>
      </w:hyperlink>
    </w:p>
    <w:p>
      <w:pPr>
        <w:pStyle w:val="TOC2"/>
        <w:tabs>
          <w:tab w:val="right" w:leader="dot" w:pos="8306"/>
        </w:tabs>
      </w:pPr>
      <w:hyperlink w:anchor="_Toc20452" w:history="1">
        <w:r>
          <w:rPr>
            <w:rFonts w:ascii="仿宋" w:eastAsia="仿宋" w:hAnsi="仿宋" w:cs="仿宋" w:hint="eastAsia"/>
            <w:lang w:eastAsia="zh-CN"/>
          </w:rPr>
          <w:t>(三)、风险监控与控制</w:t>
        </w:r>
        <w:r>
          <w:tab/>
        </w:r>
        <w:r>
          <w:fldChar w:fldCharType="begin"/>
        </w:r>
        <w:r>
          <w:instrText xml:space="preserve"> PAGEREF _Toc20452 \h </w:instrText>
        </w:r>
        <w:r>
          <w:fldChar w:fldCharType="separate"/>
        </w:r>
        <w:r>
          <w:t>35</w:t>
        </w:r>
        <w:r>
          <w:fldChar w:fldCharType="end"/>
        </w:r>
      </w:hyperlink>
    </w:p>
    <w:p>
      <w:pPr>
        <w:pStyle w:val="TOC1"/>
        <w:tabs>
          <w:tab w:val="right" w:leader="dot" w:pos="8306"/>
        </w:tabs>
      </w:pPr>
      <w:hyperlink w:anchor="_Toc8855" w:history="1">
        <w:r>
          <w:rPr>
            <w:rFonts w:ascii="仿宋" w:eastAsia="仿宋" w:hAnsi="仿宋" w:cs="仿宋" w:hint="eastAsia"/>
            <w:lang w:eastAsia="zh-CN"/>
          </w:rPr>
          <w:t>十一、年IDC项目社会影响</w:t>
        </w:r>
        <w:r>
          <w:tab/>
        </w:r>
        <w:r>
          <w:fldChar w:fldCharType="begin"/>
        </w:r>
        <w:r>
          <w:instrText xml:space="preserve"> PAGEREF _Toc8855 \h </w:instrText>
        </w:r>
        <w:r>
          <w:fldChar w:fldCharType="separate"/>
        </w:r>
        <w:r>
          <w:t>36</w:t>
        </w:r>
        <w:r>
          <w:fldChar w:fldCharType="end"/>
        </w:r>
      </w:hyperlink>
    </w:p>
    <w:p>
      <w:pPr>
        <w:pStyle w:val="TOC2"/>
        <w:tabs>
          <w:tab w:val="right" w:leader="dot" w:pos="8306"/>
        </w:tabs>
      </w:pPr>
      <w:hyperlink w:anchor="_Toc3434" w:history="1">
        <w:r>
          <w:rPr>
            <w:rFonts w:ascii="仿宋" w:eastAsia="仿宋" w:hAnsi="仿宋" w:cs="仿宋" w:hint="eastAsia"/>
            <w:lang w:eastAsia="zh-CN"/>
          </w:rPr>
          <w:t>(一)、社会责任与义务</w:t>
        </w:r>
        <w:r>
          <w:tab/>
        </w:r>
        <w:r>
          <w:fldChar w:fldCharType="begin"/>
        </w:r>
        <w:r>
          <w:instrText xml:space="preserve"> PAGEREF _Toc3434 \h </w:instrText>
        </w:r>
        <w:r>
          <w:fldChar w:fldCharType="separate"/>
        </w:r>
        <w:r>
          <w:t>36</w:t>
        </w:r>
        <w:r>
          <w:fldChar w:fldCharType="end"/>
        </w:r>
      </w:hyperlink>
    </w:p>
    <w:p>
      <w:pPr>
        <w:pStyle w:val="TOC2"/>
        <w:tabs>
          <w:tab w:val="right" w:leader="dot" w:pos="8306"/>
        </w:tabs>
      </w:pPr>
      <w:hyperlink w:anchor="_Toc6816" w:history="1">
        <w:r>
          <w:rPr>
            <w:rFonts w:ascii="仿宋" w:eastAsia="仿宋" w:hAnsi="仿宋" w:cs="仿宋" w:hint="eastAsia"/>
            <w:lang w:eastAsia="zh-CN"/>
          </w:rPr>
          <w:t>(二)、社会参与与沟通</w:t>
        </w:r>
        <w:r>
          <w:tab/>
        </w:r>
        <w:r>
          <w:fldChar w:fldCharType="begin"/>
        </w:r>
        <w:r>
          <w:instrText xml:space="preserve"> PAGEREF _Toc6816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0" w:history="1">
        <w:r>
          <w:rPr>
            <w:rFonts w:ascii="仿宋" w:eastAsia="仿宋" w:hAnsi="仿宋" w:cs="仿宋" w:hint="eastAsia"/>
            <w:lang w:eastAsia="zh-CN"/>
          </w:rPr>
          <w:t>十二、年IDC项目人力资源管理</w:t>
        </w:r>
        <w:r>
          <w:tab/>
        </w:r>
        <w:r>
          <w:fldChar w:fldCharType="begin"/>
        </w:r>
        <w:r>
          <w:instrText xml:space="preserve"> PAGEREF _Toc26270 \h </w:instrText>
        </w:r>
        <w:r>
          <w:fldChar w:fldCharType="separate"/>
        </w:r>
        <w:r>
          <w:t>37</w:t>
        </w:r>
        <w:r>
          <w:fldChar w:fldCharType="end"/>
        </w:r>
      </w:hyperlink>
    </w:p>
    <w:p>
      <w:pPr>
        <w:pStyle w:val="TOC2"/>
        <w:tabs>
          <w:tab w:val="right" w:leader="dot" w:pos="8306"/>
        </w:tabs>
      </w:pPr>
      <w:hyperlink w:anchor="_Toc20912" w:history="1">
        <w:r>
          <w:rPr>
            <w:rFonts w:ascii="仿宋" w:eastAsia="仿宋" w:hAnsi="仿宋" w:cs="仿宋" w:hint="eastAsia"/>
            <w:lang w:eastAsia="zh-CN"/>
          </w:rPr>
          <w:t>(一)、建立健全的预算管理制度</w:t>
        </w:r>
        <w:r>
          <w:tab/>
        </w:r>
        <w:r>
          <w:fldChar w:fldCharType="begin"/>
        </w:r>
        <w:r>
          <w:instrText xml:space="preserve"> PAGEREF _Toc20912 \h </w:instrText>
        </w:r>
        <w:r>
          <w:fldChar w:fldCharType="separate"/>
        </w:r>
        <w:r>
          <w:t>37</w:t>
        </w:r>
        <w:r>
          <w:fldChar w:fldCharType="end"/>
        </w:r>
      </w:hyperlink>
    </w:p>
    <w:p>
      <w:pPr>
        <w:pStyle w:val="TOC2"/>
        <w:tabs>
          <w:tab w:val="right" w:leader="dot" w:pos="8306"/>
        </w:tabs>
      </w:pPr>
      <w:hyperlink w:anchor="_Toc25995" w:history="1">
        <w:r>
          <w:rPr>
            <w:rFonts w:ascii="仿宋" w:eastAsia="仿宋" w:hAnsi="仿宋" w:cs="仿宋" w:hint="eastAsia"/>
            <w:lang w:eastAsia="zh-CN"/>
          </w:rPr>
          <w:t>(二)、加强资金流动监控</w:t>
        </w:r>
        <w:r>
          <w:tab/>
        </w:r>
        <w:r>
          <w:fldChar w:fldCharType="begin"/>
        </w:r>
        <w:r>
          <w:instrText xml:space="preserve"> PAGEREF _Toc25995 \h </w:instrText>
        </w:r>
        <w:r>
          <w:fldChar w:fldCharType="separate"/>
        </w:r>
        <w:r>
          <w:t>39</w:t>
        </w:r>
        <w:r>
          <w:fldChar w:fldCharType="end"/>
        </w:r>
      </w:hyperlink>
    </w:p>
    <w:p>
      <w:pPr>
        <w:pStyle w:val="TOC2"/>
        <w:tabs>
          <w:tab w:val="right" w:leader="dot" w:pos="8306"/>
        </w:tabs>
      </w:pPr>
      <w:hyperlink w:anchor="_Toc9274" w:history="1">
        <w:r>
          <w:rPr>
            <w:rFonts w:ascii="仿宋" w:eastAsia="仿宋" w:hAnsi="仿宋" w:cs="仿宋" w:hint="eastAsia"/>
            <w:lang w:eastAsia="zh-CN"/>
          </w:rPr>
          <w:t>(三)、制定完善的风险控制机制</w:t>
        </w:r>
        <w:r>
          <w:tab/>
        </w:r>
        <w:r>
          <w:fldChar w:fldCharType="begin"/>
        </w:r>
        <w:r>
          <w:instrText xml:space="preserve"> PAGEREF _Toc9274 \h </w:instrText>
        </w:r>
        <w:r>
          <w:fldChar w:fldCharType="separate"/>
        </w:r>
        <w:r>
          <w:t>40</w:t>
        </w:r>
        <w:r>
          <w:fldChar w:fldCharType="end"/>
        </w:r>
      </w:hyperlink>
    </w:p>
    <w:p>
      <w:pPr>
        <w:pStyle w:val="TOC2"/>
        <w:tabs>
          <w:tab w:val="right" w:leader="dot" w:pos="8306"/>
        </w:tabs>
      </w:pPr>
      <w:hyperlink w:anchor="_Toc19737" w:history="1">
        <w:r>
          <w:rPr>
            <w:rFonts w:ascii="仿宋" w:eastAsia="仿宋" w:hAnsi="仿宋" w:cs="仿宋" w:hint="eastAsia"/>
            <w:lang w:eastAsia="zh-CN"/>
          </w:rPr>
          <w:t>(四)、优化成本管理</w:t>
        </w:r>
        <w:r>
          <w:tab/>
        </w:r>
        <w:r>
          <w:fldChar w:fldCharType="begin"/>
        </w:r>
        <w:r>
          <w:instrText xml:space="preserve"> PAGEREF _Toc19737 \h </w:instrText>
        </w:r>
        <w:r>
          <w:fldChar w:fldCharType="separate"/>
        </w:r>
        <w:r>
          <w:t>41</w:t>
        </w:r>
        <w:r>
          <w:fldChar w:fldCharType="end"/>
        </w:r>
      </w:hyperlink>
    </w:p>
    <w:p>
      <w:pPr>
        <w:pStyle w:val="TOC1"/>
        <w:tabs>
          <w:tab w:val="right" w:leader="dot" w:pos="8306"/>
        </w:tabs>
      </w:pPr>
      <w:hyperlink w:anchor="_Toc26789" w:history="1">
        <w:r>
          <w:rPr>
            <w:rFonts w:ascii="仿宋" w:eastAsia="仿宋" w:hAnsi="仿宋" w:cs="仿宋" w:hint="eastAsia"/>
            <w:lang w:eastAsia="zh-CN"/>
          </w:rPr>
          <w:t>十三、年IDC项目实施保障措施</w:t>
        </w:r>
        <w:r>
          <w:tab/>
        </w:r>
        <w:r>
          <w:fldChar w:fldCharType="begin"/>
        </w:r>
        <w:r>
          <w:instrText xml:space="preserve"> PAGEREF _Toc26789 \h </w:instrText>
        </w:r>
        <w:r>
          <w:fldChar w:fldCharType="separate"/>
        </w:r>
        <w:r>
          <w:t>43</w:t>
        </w:r>
        <w:r>
          <w:fldChar w:fldCharType="end"/>
        </w:r>
      </w:hyperlink>
    </w:p>
    <w:p>
      <w:pPr>
        <w:pStyle w:val="TOC2"/>
        <w:tabs>
          <w:tab w:val="right" w:leader="dot" w:pos="8306"/>
        </w:tabs>
      </w:pPr>
      <w:hyperlink w:anchor="_Toc17586" w:history="1">
        <w:r>
          <w:rPr>
            <w:rFonts w:ascii="仿宋" w:eastAsia="仿宋" w:hAnsi="仿宋" w:cs="仿宋" w:hint="eastAsia"/>
            <w:lang w:eastAsia="zh-CN"/>
          </w:rPr>
          <w:t>(一)、年IDC项目实施保障机制</w:t>
        </w:r>
        <w:r>
          <w:tab/>
        </w:r>
        <w:r>
          <w:fldChar w:fldCharType="begin"/>
        </w:r>
        <w:r>
          <w:instrText xml:space="preserve"> PAGEREF _Toc17586 \h </w:instrText>
        </w:r>
        <w:r>
          <w:fldChar w:fldCharType="separate"/>
        </w:r>
        <w:r>
          <w:t>43</w:t>
        </w:r>
        <w:r>
          <w:fldChar w:fldCharType="end"/>
        </w:r>
      </w:hyperlink>
    </w:p>
    <w:p>
      <w:pPr>
        <w:pStyle w:val="TOC2"/>
        <w:tabs>
          <w:tab w:val="right" w:leader="dot" w:pos="8306"/>
        </w:tabs>
      </w:pPr>
      <w:hyperlink w:anchor="_Toc4331" w:history="1">
        <w:r>
          <w:rPr>
            <w:rFonts w:ascii="仿宋" w:eastAsia="仿宋" w:hAnsi="仿宋" w:cs="仿宋" w:hint="eastAsia"/>
            <w:lang w:eastAsia="zh-CN"/>
          </w:rPr>
          <w:t>(二)、年IDC项目法律合规要求</w:t>
        </w:r>
        <w:r>
          <w:tab/>
        </w:r>
        <w:r>
          <w:fldChar w:fldCharType="begin"/>
        </w:r>
        <w:r>
          <w:instrText xml:space="preserve"> PAGEREF _Toc4331 \h </w:instrText>
        </w:r>
        <w:r>
          <w:fldChar w:fldCharType="separate"/>
        </w:r>
        <w:r>
          <w:t>46</w:t>
        </w:r>
        <w:r>
          <w:fldChar w:fldCharType="end"/>
        </w:r>
      </w:hyperlink>
    </w:p>
    <w:p>
      <w:pPr>
        <w:pStyle w:val="TOC2"/>
        <w:tabs>
          <w:tab w:val="right" w:leader="dot" w:pos="8306"/>
        </w:tabs>
      </w:pPr>
      <w:hyperlink w:anchor="_Toc1492" w:history="1">
        <w:r>
          <w:rPr>
            <w:rFonts w:ascii="仿宋" w:eastAsia="仿宋" w:hAnsi="仿宋" w:cs="仿宋" w:hint="eastAsia"/>
            <w:lang w:eastAsia="zh-CN"/>
          </w:rPr>
          <w:t>(三)、年IDC项目合同管理与法律事务</w:t>
        </w:r>
        <w:r>
          <w:tab/>
        </w:r>
        <w:r>
          <w:fldChar w:fldCharType="begin"/>
        </w:r>
        <w:r>
          <w:instrText xml:space="preserve"> PAGEREF _Toc1492 \h </w:instrText>
        </w:r>
        <w:r>
          <w:fldChar w:fldCharType="separate"/>
        </w:r>
        <w:r>
          <w:t>50</w:t>
        </w:r>
        <w:r>
          <w:fldChar w:fldCharType="end"/>
        </w:r>
      </w:hyperlink>
    </w:p>
    <w:p>
      <w:pPr>
        <w:pStyle w:val="TOC2"/>
        <w:tabs>
          <w:tab w:val="right" w:leader="dot" w:pos="8306"/>
        </w:tabs>
      </w:pPr>
      <w:hyperlink w:anchor="_Toc27213" w:history="1">
        <w:r>
          <w:rPr>
            <w:rFonts w:ascii="仿宋" w:eastAsia="仿宋" w:hAnsi="仿宋" w:cs="仿宋" w:hint="eastAsia"/>
            <w:lang w:eastAsia="zh-CN"/>
          </w:rPr>
          <w:t>(四)、年IDC项目知识产权保护策略</w:t>
        </w:r>
        <w:r>
          <w:tab/>
        </w:r>
        <w:r>
          <w:fldChar w:fldCharType="begin"/>
        </w:r>
        <w:r>
          <w:instrText xml:space="preserve"> PAGEREF _Toc27213 \h </w:instrText>
        </w:r>
        <w:r>
          <w:fldChar w:fldCharType="separate"/>
        </w:r>
        <w:r>
          <w:t>56</w:t>
        </w:r>
        <w:r>
          <w:fldChar w:fldCharType="end"/>
        </w:r>
      </w:hyperlink>
    </w:p>
    <w:p>
      <w:pPr>
        <w:pStyle w:val="TOC1"/>
        <w:tabs>
          <w:tab w:val="right" w:leader="dot" w:pos="8306"/>
        </w:tabs>
      </w:pPr>
      <w:hyperlink w:anchor="_Toc17264" w:history="1">
        <w:r>
          <w:rPr>
            <w:rFonts w:ascii="仿宋" w:eastAsia="仿宋" w:hAnsi="仿宋" w:cs="仿宋" w:hint="eastAsia"/>
            <w:lang w:eastAsia="zh-CN"/>
          </w:rPr>
          <w:t>十四、年IDC项目治理与监督</w:t>
        </w:r>
        <w:r>
          <w:tab/>
        </w:r>
        <w:r>
          <w:fldChar w:fldCharType="begin"/>
        </w:r>
        <w:r>
          <w:instrText xml:space="preserve"> PAGEREF _Toc17264 \h </w:instrText>
        </w:r>
        <w:r>
          <w:fldChar w:fldCharType="separate"/>
        </w:r>
        <w:r>
          <w:t>59</w:t>
        </w:r>
        <w:r>
          <w:fldChar w:fldCharType="end"/>
        </w:r>
      </w:hyperlink>
    </w:p>
    <w:p>
      <w:pPr>
        <w:pStyle w:val="TOC2"/>
        <w:tabs>
          <w:tab w:val="right" w:leader="dot" w:pos="8306"/>
        </w:tabs>
      </w:pPr>
      <w:hyperlink w:anchor="_Toc29648" w:history="1">
        <w:r>
          <w:rPr>
            <w:rFonts w:ascii="仿宋" w:eastAsia="仿宋" w:hAnsi="仿宋" w:cs="仿宋" w:hint="eastAsia"/>
            <w:lang w:eastAsia="zh-CN"/>
          </w:rPr>
          <w:t>(一)、年IDC项目治理结构</w:t>
        </w:r>
        <w:r>
          <w:tab/>
        </w:r>
        <w:r>
          <w:fldChar w:fldCharType="begin"/>
        </w:r>
        <w:r>
          <w:instrText xml:space="preserve"> PAGEREF _Toc29648 \h </w:instrText>
        </w:r>
        <w:r>
          <w:fldChar w:fldCharType="separate"/>
        </w:r>
        <w:r>
          <w:t>59</w:t>
        </w:r>
        <w:r>
          <w:fldChar w:fldCharType="end"/>
        </w:r>
      </w:hyperlink>
    </w:p>
    <w:p>
      <w:pPr>
        <w:pStyle w:val="TOC2"/>
        <w:tabs>
          <w:tab w:val="right" w:leader="dot" w:pos="8306"/>
        </w:tabs>
      </w:pPr>
      <w:hyperlink w:anchor="_Toc264" w:history="1">
        <w:r>
          <w:rPr>
            <w:rFonts w:ascii="仿宋" w:eastAsia="仿宋" w:hAnsi="仿宋" w:cs="仿宋" w:hint="eastAsia"/>
            <w:lang w:eastAsia="zh-CN"/>
          </w:rPr>
          <w:t>(二)、监督与审计</w:t>
        </w:r>
        <w:r>
          <w:tab/>
        </w:r>
        <w:r>
          <w:fldChar w:fldCharType="begin"/>
        </w:r>
        <w:r>
          <w:instrText xml:space="preserve"> PAGEREF _Toc264 \h </w:instrText>
        </w:r>
        <w:r>
          <w:fldChar w:fldCharType="separate"/>
        </w:r>
        <w:r>
          <w:t>60</w:t>
        </w:r>
        <w:r>
          <w:fldChar w:fldCharType="end"/>
        </w:r>
      </w:hyperlink>
    </w:p>
    <w:p>
      <w:pPr>
        <w:pStyle w:val="TOC1"/>
        <w:tabs>
          <w:tab w:val="right" w:leader="dot" w:pos="8306"/>
        </w:tabs>
      </w:pPr>
      <w:hyperlink w:anchor="_Toc18765" w:history="1">
        <w:r>
          <w:rPr>
            <w:rFonts w:ascii="仿宋" w:eastAsia="仿宋" w:hAnsi="仿宋" w:cs="仿宋" w:hint="eastAsia"/>
            <w:lang w:eastAsia="zh-CN"/>
          </w:rPr>
          <w:t>十五、年IDC项目变更管理</w:t>
        </w:r>
        <w:r>
          <w:tab/>
        </w:r>
        <w:r>
          <w:fldChar w:fldCharType="begin"/>
        </w:r>
        <w:r>
          <w:instrText xml:space="preserve"> PAGEREF _Toc18765 \h </w:instrText>
        </w:r>
        <w:r>
          <w:fldChar w:fldCharType="separate"/>
        </w:r>
        <w:r>
          <w:t>61</w:t>
        </w:r>
        <w:r>
          <w:fldChar w:fldCharType="end"/>
        </w:r>
      </w:hyperlink>
    </w:p>
    <w:p>
      <w:pPr>
        <w:pStyle w:val="TOC2"/>
        <w:tabs>
          <w:tab w:val="right" w:leader="dot" w:pos="8306"/>
        </w:tabs>
      </w:pPr>
      <w:hyperlink w:anchor="_Toc32739" w:history="1">
        <w:r>
          <w:rPr>
            <w:rFonts w:ascii="仿宋" w:eastAsia="仿宋" w:hAnsi="仿宋" w:cs="仿宋" w:hint="eastAsia"/>
            <w:lang w:eastAsia="zh-CN"/>
          </w:rPr>
          <w:t>(一)、变更申请与评估</w:t>
        </w:r>
        <w:r>
          <w:tab/>
        </w:r>
        <w:r>
          <w:fldChar w:fldCharType="begin"/>
        </w:r>
        <w:r>
          <w:instrText xml:space="preserve"> PAGEREF _Toc32739 \h </w:instrText>
        </w:r>
        <w:r>
          <w:fldChar w:fldCharType="separate"/>
        </w:r>
        <w:r>
          <w:t>61</w:t>
        </w:r>
        <w:r>
          <w:fldChar w:fldCharType="end"/>
        </w:r>
      </w:hyperlink>
    </w:p>
    <w:p>
      <w:pPr>
        <w:pStyle w:val="TOC2"/>
        <w:tabs>
          <w:tab w:val="right" w:leader="dot" w:pos="8306"/>
        </w:tabs>
      </w:pPr>
      <w:hyperlink w:anchor="_Toc20577" w:history="1">
        <w:r>
          <w:rPr>
            <w:rFonts w:ascii="仿宋" w:eastAsia="仿宋" w:hAnsi="仿宋" w:cs="仿宋" w:hint="eastAsia"/>
            <w:lang w:eastAsia="zh-CN"/>
          </w:rPr>
          <w:t>(二)、变更实施与控制</w:t>
        </w:r>
        <w:r>
          <w:tab/>
        </w:r>
        <w:r>
          <w:fldChar w:fldCharType="begin"/>
        </w:r>
        <w:r>
          <w:instrText xml:space="preserve"> PAGEREF _Toc20577 \h </w:instrText>
        </w:r>
        <w:r>
          <w:fldChar w:fldCharType="separate"/>
        </w:r>
        <w:r>
          <w:t>62</w:t>
        </w:r>
        <w:r>
          <w:fldChar w:fldCharType="end"/>
        </w:r>
      </w:hyperlink>
    </w:p>
    <w:p>
      <w:pPr>
        <w:pStyle w:val="TOC1"/>
        <w:tabs>
          <w:tab w:val="right" w:leader="dot" w:pos="8306"/>
        </w:tabs>
      </w:pPr>
      <w:hyperlink w:anchor="_Toc23258" w:history="1">
        <w:r>
          <w:rPr>
            <w:rFonts w:ascii="仿宋" w:eastAsia="仿宋" w:hAnsi="仿宋" w:cs="仿宋" w:hint="eastAsia"/>
            <w:lang w:eastAsia="zh-CN"/>
          </w:rPr>
          <w:t>十六、利益相关者分析与沟通计划</w:t>
        </w:r>
        <w:r>
          <w:tab/>
        </w:r>
        <w:r>
          <w:fldChar w:fldCharType="begin"/>
        </w:r>
        <w:r>
          <w:instrText xml:space="preserve"> PAGEREF _Toc23258 \h </w:instrText>
        </w:r>
        <w:r>
          <w:fldChar w:fldCharType="separate"/>
        </w:r>
        <w:r>
          <w:t>62</w:t>
        </w:r>
        <w:r>
          <w:fldChar w:fldCharType="end"/>
        </w:r>
      </w:hyperlink>
    </w:p>
    <w:p>
      <w:pPr>
        <w:pStyle w:val="TOC2"/>
        <w:tabs>
          <w:tab w:val="right" w:leader="dot" w:pos="8306"/>
        </w:tabs>
      </w:pPr>
      <w:hyperlink w:anchor="_Toc32129" w:history="1">
        <w:r>
          <w:rPr>
            <w:rFonts w:ascii="仿宋" w:eastAsia="仿宋" w:hAnsi="仿宋" w:cs="仿宋" w:hint="eastAsia"/>
            <w:lang w:eastAsia="zh-CN"/>
          </w:rPr>
          <w:t>(一)、利益相关者分析</w:t>
        </w:r>
        <w:r>
          <w:tab/>
        </w:r>
        <w:r>
          <w:fldChar w:fldCharType="begin"/>
        </w:r>
        <w:r>
          <w:instrText xml:space="preserve"> PAGEREF _Toc32129 \h </w:instrText>
        </w:r>
        <w:r>
          <w:fldChar w:fldCharType="separate"/>
        </w:r>
        <w:r>
          <w:t>62</w:t>
        </w:r>
        <w:r>
          <w:fldChar w:fldCharType="end"/>
        </w:r>
      </w:hyperlink>
    </w:p>
    <w:p>
      <w:pPr>
        <w:pStyle w:val="TOC2"/>
        <w:tabs>
          <w:tab w:val="right" w:leader="dot" w:pos="8306"/>
        </w:tabs>
      </w:pPr>
      <w:hyperlink w:anchor="_Toc28038" w:history="1">
        <w:r>
          <w:rPr>
            <w:rFonts w:ascii="仿宋" w:eastAsia="仿宋" w:hAnsi="仿宋" w:cs="仿宋" w:hint="eastAsia"/>
            <w:lang w:eastAsia="zh-CN"/>
          </w:rPr>
          <w:t>(二)、沟通计划</w:t>
        </w:r>
        <w:r>
          <w:tab/>
        </w:r>
        <w:r>
          <w:fldChar w:fldCharType="begin"/>
        </w:r>
        <w:r>
          <w:instrText xml:space="preserve"> PAGEREF _Toc28038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55"/>
      <w:r>
        <w:rPr>
          <w:rFonts w:ascii="仿宋" w:eastAsia="仿宋" w:hAnsi="仿宋" w:cs="仿宋" w:hint="eastAsia"/>
          <w:sz w:val="28"/>
          <w:lang w:eastAsia="zh-CN"/>
        </w:rPr>
        <w:t>一、年IDC项目可持续发展</w:t>
      </w:r>
      <w:bookmarkEnd w:id="2"/>
    </w:p>
    <w:p>
      <w:pPr>
        <w:pStyle w:val="Heading2"/>
        <w:rPr>
          <w:rFonts w:ascii="仿宋" w:eastAsia="仿宋" w:hAnsi="仿宋" w:cs="仿宋" w:hint="eastAsia"/>
          <w:lang w:eastAsia="zh-CN"/>
        </w:rPr>
      </w:pPr>
      <w:bookmarkStart w:id="3" w:name="_Toc196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年IDC项目团队着眼于未来，明确了可持续发展的战略方向。制定的具体可持续发展目标包括降低资源使用、采用环保技术、最大化社会效益等。这一步骤不仅有助于年IDC项目在环保和社会责任方面达到最高标准，也为未来提供了明确的指引，确保年ID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可持续实践的融入年IDC项目管理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IDC项目管理周期。从年IDC项目规划开始，年IDC项目团队就考虑了环境和社会的因素。在执行阶段，年IDC项目团队积极推动绿色技术的应用，优化资源利用。此外，关注员工的社会责任，通过培训和沟通活动提高员工对可持续发展的认知，使他们能够在日常工作中践行可持续实践。这些举措不仅为年ID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扎根于年IDC项目的可持续发展理念，我们深信环保与社会责任是年IDC项目成功的关键支柱。在年IDC项目的每一步，我们都致力于通过创新和实践，履行对环境和社会的坚定责任。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团队通过引入先进的环保技术、建立高效的废物处理系统以及推动能源节约措施，积极履行环保责任。定期的环保监测和评估确保年ID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不仅致力于自身可持续发展，还注重对社会的回馈。通过支持社区年IDC项目、参与慈善事业、提供培训机会等方式，年IDC项目积极履行社会责任。与当地社区建立积极互动，关注员工的工作与生活平衡，以及员工的身心健康，是年IDC项目在社会责任层面的关键举措。这样的实践不仅增强了年IDC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575"/>
      <w:r>
        <w:rPr>
          <w:rFonts w:ascii="仿宋" w:eastAsia="仿宋" w:hAnsi="仿宋" w:cs="仿宋" w:hint="eastAsia"/>
          <w:sz w:val="28"/>
          <w:lang w:eastAsia="zh-CN"/>
        </w:rPr>
        <w:t>二、年IDC项目文档管理</w:t>
      </w:r>
      <w:bookmarkEnd w:id="5"/>
    </w:p>
    <w:p>
      <w:pPr>
        <w:pStyle w:val="Heading2"/>
        <w:rPr>
          <w:rFonts w:ascii="仿宋" w:eastAsia="仿宋" w:hAnsi="仿宋" w:cs="仿宋" w:hint="eastAsia"/>
          <w:lang w:eastAsia="zh-CN"/>
        </w:rPr>
      </w:pPr>
      <w:bookmarkStart w:id="6" w:name="_Toc133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年IDC项目高度重视文档的质量和准确性，以支持年IDC项目的各项活动和决策。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文档的编制始于年IDC项目计划的初期，我们制定了详细的文档编制计划，明确了每个文档的内容、格式和编写责任人。在年IDC项目启动阶段，我们首先编制了年IDC项目章程，明确定义了年IDC项目的目标、范围、风险等关键要素。随后，年IDC项目团队根据计划陆续编制了需求文档、设计文档、测试文档等各类文档，确保年ID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年IDC项目管理中的重要环节，旨在确保年IDC项目文档符合质量标准和年IDC项目需求。在年ID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除了内部审查，我们还进行了外部审查，邀请年IDC项目相关利益方和专业领域的专家对文档进行独立审查。这有助于获取更全面、客观的反馈，确保年IDC项目文档不仅符合内部标准，也满足外部需求。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年IDC项目在文档编制与审查方面建立了严格的管理机制，通过规范的流程和多维度的审查，确保年IDC项目文档的质量、准确性和可靠性，为年IDC项目的顺利推进提供了有力支持。</w:t>
      </w:r>
    </w:p>
    <w:p>
      <w:pPr>
        <w:pStyle w:val="Heading2"/>
        <w:ind w:firstLine="560" w:firstLineChars="200"/>
        <w:rPr>
          <w:rFonts w:ascii="仿宋" w:eastAsia="仿宋" w:hAnsi="仿宋" w:cs="仿宋" w:hint="eastAsia"/>
          <w:sz w:val="28"/>
          <w:lang w:eastAsia="zh-CN"/>
        </w:rPr>
      </w:pPr>
      <w:bookmarkStart w:id="7" w:name="_Toc164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我们通过多渠道发布文档，包括电子邮件、年IDC项目管理平台、内部网站等，以满足不同团队成员的偏好和需求。多渠道发布确保了信息的全面覆盖。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我们采用了精细的权限控制，确保只有授权人员可以访问敏感信息。这种安全措施保护了年IDC项目文档的机密性，防止了未经授权的信息泄露。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9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文档存档与归档是年IDC项目生命周期中一个至关重要的环节，直接关系到年IDC项目信息的长期保存和历史记录的完整性。在年IDC项目中，我们实施了一系列有效的文档存档与归档管理策略：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643"/>
      <w:r>
        <w:rPr>
          <w:rFonts w:ascii="仿宋" w:eastAsia="仿宋" w:hAnsi="仿宋" w:cs="仿宋" w:hint="eastAsia"/>
          <w:sz w:val="28"/>
          <w:lang w:eastAsia="zh-CN"/>
        </w:rPr>
        <w:t>三、年IDC项目建设背景及必要性分析</w:t>
      </w:r>
      <w:bookmarkEnd w:id="9"/>
    </w:p>
    <w:p>
      <w:pPr>
        <w:pStyle w:val="Heading2"/>
        <w:rPr>
          <w:rFonts w:ascii="仿宋" w:eastAsia="仿宋" w:hAnsi="仿宋" w:cs="仿宋" w:hint="eastAsia"/>
          <w:lang w:eastAsia="zh-CN"/>
        </w:rPr>
      </w:pPr>
      <w:bookmarkStart w:id="10" w:name="_Toc12400"/>
      <w:r>
        <w:rPr>
          <w:rFonts w:ascii="仿宋" w:eastAsia="仿宋" w:hAnsi="仿宋" w:cs="仿宋" w:hint="eastAsia"/>
          <w:lang w:eastAsia="zh-CN"/>
        </w:rPr>
        <w:t>(一)、年IDC项目背景分析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ID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我们的背景分析将深入挖掘当前行业的发展趋势，通过对竞争态势的全面审视，找到年IDC项目在这个潮流中的定位。同时，我们将关注行业内涌现的新兴机遇，以便年IDC项目更好地融入行业发展的潮流中。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IDC项目提供了强大的发展动力。我们将聚焦于行业内最新的技术发展趋势，包括但不限于人工智能、大数据分析、物联网等领域。通过深度的技术研究，我们将确保年ID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IDC项目发展的源泉。我们将投入更多的精力对市场需求进行深入剖析，超越表面的需求，深入挖掘潜在的市场痛点和机遇。通过对市场需求的细致了解，年IDC项目将更有针对性地设计解决方案，满足市场的多样化需求，从而更好地促进年ID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IDC项目战略至关重要。我们将对竞争态势进行更为深入的分析，包括但不限于市场份额、产品特点、客户满意度等多个维度。通过深度的竞争分析，年IDC项目将能够更准确地把握市场脉搏，制定具有竞争力的年ID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年IDC项目的发展具有直接的影响。我们将进行更为全面的法规和政策分析，了解行业发展中的潜在法律风险和合规挑战。通过充分了解和遵守相关法规，年IDC项目将确保在法律框架内合法合规运营，为年IDC项目的稳健发展提供有力支持。</w:t>
      </w:r>
    </w:p>
    <w:p>
      <w:pPr>
        <w:pStyle w:val="Heading2"/>
        <w:ind w:firstLine="560" w:firstLineChars="200"/>
        <w:rPr>
          <w:rFonts w:ascii="仿宋" w:eastAsia="仿宋" w:hAnsi="仿宋" w:cs="仿宋" w:hint="eastAsia"/>
          <w:sz w:val="28"/>
          <w:lang w:eastAsia="zh-CN"/>
        </w:rPr>
      </w:pPr>
      <w:bookmarkStart w:id="11" w:name="_Toc24927"/>
      <w:r>
        <w:rPr>
          <w:rFonts w:ascii="仿宋" w:eastAsia="仿宋" w:hAnsi="仿宋" w:cs="仿宋" w:hint="eastAsia"/>
          <w:sz w:val="28"/>
          <w:lang w:eastAsia="zh-CN"/>
        </w:rPr>
        <w:t>(二)、年IDC项目建设必要性分析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建设的迫切性源于对行业发展趋势的深刻洞察。我们正处于一个行业变革的时代，科技创新、数字化转型成为企业发展的关键动力。年ID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建设不仅仅是为了跟上潮流，更是为了通过技术创新推动企业的持续发展。通过引入先进的技术和解决方案，年ID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IDC项目的建设成为必然选择，通过提高产品质量、拓展服务领域，从而在竞争中获得更多的机会。年ID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年IDC项目建设的必要性体现在对客户需求更精准的满足。通过年ID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建设的背后是对企业持续创新的追求。只有通过不断创新，企业才能在竞争中立于不败之地。年ID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868"/>
      <w:r>
        <w:rPr>
          <w:rFonts w:ascii="仿宋" w:eastAsia="仿宋" w:hAnsi="仿宋" w:cs="仿宋" w:hint="eastAsia"/>
          <w:sz w:val="28"/>
          <w:lang w:eastAsia="zh-CN"/>
        </w:rPr>
        <w:t>四、年IDC项目危机管理</w:t>
      </w:r>
      <w:bookmarkEnd w:id="12"/>
    </w:p>
    <w:p>
      <w:pPr>
        <w:pStyle w:val="Heading2"/>
        <w:rPr>
          <w:rFonts w:ascii="仿宋" w:eastAsia="仿宋" w:hAnsi="仿宋" w:cs="仿宋" w:hint="eastAsia"/>
          <w:lang w:eastAsia="zh-CN"/>
        </w:rPr>
      </w:pPr>
      <w:bookmarkStart w:id="13" w:name="_Toc1434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危机管理中，危机预警与识别是确保年IDC项目稳健运行的核心步骤。通过建立全面的监测机制，年IDC项目团队旨在及时发现和理解潜在的风险和危机因素，以便采取及时的预防和应对措施，确保年ID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首先，通过深入的风险评估，年IDC项目团队全面分析了整个年IDC项目和各个阶段可能存在的威胁。这包括准确评估每个潜在风险的发生概率和可能影响的程度，为后续危机预警提供了有力支持。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IDC项目团队着重于明确定义年ID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IDC项目进展的持续监控，团队能够及时发现潜在问题并作出迅速反应。年ID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在这一阶段，团队的专业素养和反应速度将发挥至关重要的作用，以确保潜在危机能够在初期得到有效的处理，最大程度地减轻负面影响。通过危机预警与识别，年IDC项目得以更有序、可控地推进。</w:t>
      </w:r>
    </w:p>
    <w:p>
      <w:pPr>
        <w:pStyle w:val="Heading2"/>
        <w:ind w:firstLine="560" w:firstLineChars="200"/>
        <w:rPr>
          <w:rFonts w:ascii="仿宋" w:eastAsia="仿宋" w:hAnsi="仿宋" w:cs="仿宋" w:hint="eastAsia"/>
          <w:sz w:val="28"/>
          <w:lang w:eastAsia="zh-CN"/>
        </w:rPr>
      </w:pPr>
      <w:bookmarkStart w:id="14" w:name="_Toc18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在危机发生时，年IDC项目团队立即行动，成立了应急小组。该小组的任务是迅速制定并实施紧急应对措施，以最小化潜在损失。以下是采取的主要措施：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暂停年IDC项目进度：为遏制危机蔓延，年IDC项目暂时停止进行，以便全面评估当前状况。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资源重新分配：重新评估年IDC项目资源的分配，确保最大限度地减小损失。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实时沟通：与关键利益相关者建立实时沟通机制，向他们传递年IDC项目危机的实际状况，保障年IDC项目核心利益。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在紧急应对的同时，年IDC项目团队强调了团队协作和有效沟通的重要性。以下是团队协作的关键举措：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信息共享机制：建立了信息共享平台，确保团队成员能够及时获取年IDC项目危机的实时信息。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领导者沟通：年IDC项目领导者通过定期会议和即时沟通工具，指导团队应对危机，保持团队稳定运行。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随着危机得到初步控制，年IDC项目团队转向制定恢复计划，以确保年IDC项目能够从中迅速恢复。主要恢复计划包括：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修复受损的进度计划：重新评估年IDC项目进度，制定修复计划，确保年IDC项目尽快回归正常进程。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重新调整资源分配：优化资源分配，确保年IDC项目在有限资源下高效运转。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风险管理机制加强：对年IDC项目风险进行全面评估，制定更强化的风险管理策略，以预防未来可能的危机。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736"/>
      <w:r>
        <w:rPr>
          <w:rFonts w:ascii="仿宋" w:eastAsia="仿宋" w:hAnsi="仿宋" w:cs="仿宋" w:hint="eastAsia"/>
          <w:sz w:val="28"/>
          <w:lang w:eastAsia="zh-CN"/>
        </w:rPr>
        <w:t>五、年IDC项目概论</w:t>
      </w:r>
      <w:bookmarkEnd w:id="15"/>
    </w:p>
    <w:p>
      <w:pPr>
        <w:pStyle w:val="Heading2"/>
        <w:rPr>
          <w:rFonts w:ascii="仿宋" w:eastAsia="仿宋" w:hAnsi="仿宋" w:cs="仿宋" w:hint="eastAsia"/>
          <w:lang w:eastAsia="zh-CN"/>
        </w:rPr>
      </w:pPr>
      <w:bookmarkStart w:id="16" w:name="_Toc26178"/>
      <w:r>
        <w:rPr>
          <w:rFonts w:ascii="仿宋" w:eastAsia="仿宋" w:hAnsi="仿宋" w:cs="仿宋" w:hint="eastAsia"/>
          <w:lang w:eastAsia="zh-CN"/>
        </w:rPr>
        <w:t>(一)、年IDC项目概况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起源追溯至对市场的深入洞察。市场的不断演变与变革为年IDC项目提供了难得的机遇。当前市场存在的需求缺口和变革的大环境共同构成了年IDC项目的背景。这个年IDC项目旨在充分利用市场机遇，填补行业中尚未满足的需求，为客户提供全新的解决方案。市场的变革和需求的增长使得这个年ID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年IDC项目名称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年IDC项目正式命名为年IDC。这个名称不仅仅是一个标识，更代表了年IDC项目的核心理念和愿景。它蕴含着年IDC项目所要解决问题的关键字，具有强烈的表达和辨识度，为年IDC项目树立了鲜明的品牌形象。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年IDC项目目标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核心目标是提供一种全新、高效的解决方案，满足客户日益增长的需求。年IDC项目追求的不仅仅是满足市场需求，更是在市场中获得卓越的竞争优势。通过不断提升产品或服务的质量和创新水平，年ID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年IDC项目范围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全面涵盖了产品研发、制造、市场推广和售后服务，确保从产品设计到最终用户体验的全方位关注。这一全面的年IDC项目范围是为了确保年ID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年IDC项目时间表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年IDC项目计划在未来18个月内完成，包括研发、测试、市场试点和正式推出等不同阶段。这个时间表的合理设计是为了确保年IDC项目各个阶段的顺利推进，以便按时交付高质量的成果。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年IDC项目预算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年IDC项目总预算估算为XX百万美元，主要分配在研发、市场推广、人员培训和运营等方面。这一充足的预算为年IDC项目提供了充足的资源，确保年IDC项目在各个方面都能取得优异的表现。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年IDC项目风险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年IDC项目可能面临的风险包括市场接受度低、技术难题、竞争激烈等。年IDC项目团队已经制定了相应的风险应对计划，通过前瞻性的风险管理，确保年IDC项目在面对不确定性时能够迅速做出应对。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年IDC项目团队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年IDC项目汇聚了一支经验丰富、多领域专业素养的核心团队，确保年IDC项目在各个方面都能拥有高水平的执行力。团队的协同作战是年IDC项目成功的关键因素之一。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年IDC项目背景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年IDC项目的背景根植于市场对更高效、创新产品的渴望，同时也受到科技发展对行业格局的深刻改变的影响。这为年IDC项目提供了广阔的发展空间和市场需求。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年IDC项目现状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截至目前，年IDC项目已完成市场调研和技术验证，取得了初步的成功。这为年IDC项目在未来的发展奠定了坚实的基础，为更远大的目标打下了坚实的基石。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8678"/>
      <w:r>
        <w:rPr>
          <w:rFonts w:ascii="仿宋" w:eastAsia="仿宋" w:hAnsi="仿宋" w:cs="仿宋" w:hint="eastAsia"/>
          <w:sz w:val="28"/>
          <w:lang w:eastAsia="zh-CN"/>
        </w:rPr>
        <w:t>(二)、年IDC项目目标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keyword》年IDC项目首要业务目标是在市场中占据有利地位，实现产品/服务的成功推广和销售。通过不断提升产品质量、创新性，年IDC项目追求成为行业中的领导者，赢得更多客户的青睐。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在科技迅速发展的时代，年IDC项目着眼于技术创新。通过持续的研发和技术升级，年IDC项目旨在推出更具创新性的产品或服务，以满足市场对新鲜、先进解决方案的需求。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为了建立可持续的客户关系，年IDC项目设定了客户满意度目标。通过提供卓越的产品质量和优质的客户服务，年IDC项目追求赢得客户的信任和忠诚度，确保他们的满意度达到行业领先水平。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年IDC项目注重社会责任和可持续发展。通过实施环保、社会责任年IDC项目，年IDC项目致力于在经济发展的同时保护环境，促进社会公平，实现可持续经营。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年IDC项目的团队是实现目标的核心驱动力。因此，年IDC项目设定了团队发展目标，包括提升团队成员的专业技能、培养领导力，以及搭建协同高效的团队工作氛围。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998"/>
      <w:r>
        <w:rPr>
          <w:rFonts w:ascii="仿宋" w:eastAsia="仿宋" w:hAnsi="仿宋" w:cs="仿宋" w:hint="eastAsia"/>
          <w:sz w:val="28"/>
          <w:lang w:eastAsia="zh-CN"/>
        </w:rPr>
        <w:t>(三)、年IDC项目提出的理由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年IDC项目提出的理由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提出源于对市场机遇的深刻洞察。当前市场中存在的需求缺口和行业发展趋势表明，有巨大的商业机会等待被开发。通过准确捕捉市场机遇，年IDC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https://d.book118.com/668024104007006046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32156"/>
    <w:rsid w:val="6ED32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410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2024-03-02T04:51:00Z</dcterms:created>
  <dcterms:modified xsi:type="dcterms:W3CDTF">2024-03-02T04:51:54Z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0AC1003606E9450B98DBA9FCE2EEFD35_11</vt:lpwstr>
  </property>
  <property fmtid="{D5CDD505-2E9C-101B-9397-08002B2CF9AE}" pid="3" name="KSOProductBuildVer">
    <vt:lpwstr>2052-12.1.0.16388</vt:lpwstr>
  </property>
</Properties>
</file>