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丁二酸项目建设总纲及方案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0778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_Toc10778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299" w:history="1">
        <w:r>
          <w:rPr>
            <w:rFonts w:ascii="仿宋" w:eastAsia="仿宋" w:hAnsi="仿宋" w:cs="仿宋" w:hint="eastAsia"/>
            <w:lang w:eastAsia="zh-CN"/>
          </w:rPr>
          <w:t>一、项目监理与质量保证</w:t>
        </w:r>
        <w:r>
          <w:tab/>
        </w:r>
        <w:r>
          <w:fldChar w:fldCharType="begin"/>
        </w:r>
        <w:r>
          <w:instrText xml:space="preserve"> PAGEREF _Toc5299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_Toc122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0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_Toc610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12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_Toc5412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876" w:history="1">
        <w:r>
          <w:rPr>
            <w:rFonts w:ascii="仿宋" w:eastAsia="仿宋" w:hAnsi="仿宋" w:cs="仿宋" w:hint="eastAsia"/>
            <w:lang w:eastAsia="zh-CN"/>
          </w:rPr>
          <w:t>二、丁二酸项目概论</w:t>
        </w:r>
        <w:r>
          <w:tab/>
        </w:r>
        <w:r>
          <w:fldChar w:fldCharType="begin"/>
        </w:r>
        <w:r>
          <w:instrText xml:space="preserve"> PAGEREF _Toc6876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80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_Toc31080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88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_Toc20888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787" w:history="1">
        <w:r>
          <w:rPr>
            <w:rFonts w:ascii="仿宋" w:eastAsia="仿宋" w:hAnsi="仿宋" w:cs="仿宋" w:hint="eastAsia"/>
            <w:lang w:eastAsia="zh-CN"/>
          </w:rPr>
          <w:t>三、经济影响分析</w:t>
        </w:r>
        <w:r>
          <w:tab/>
        </w:r>
        <w:r>
          <w:fldChar w:fldCharType="begin"/>
        </w:r>
        <w:r>
          <w:instrText xml:space="preserve"> PAGEREF _Toc25787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67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_Toc12967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96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_Toc25496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32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_Toc11932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91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_Toc27191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476" w:history="1">
        <w:r>
          <w:rPr>
            <w:rFonts w:ascii="仿宋" w:eastAsia="仿宋" w:hAnsi="仿宋" w:cs="仿宋" w:hint="eastAsia"/>
            <w:lang w:eastAsia="zh-CN"/>
          </w:rPr>
          <w:t>四、财务管理与成本控制</w:t>
        </w:r>
        <w:r>
          <w:tab/>
        </w:r>
        <w:r>
          <w:fldChar w:fldCharType="begin"/>
        </w:r>
        <w:r>
          <w:instrText xml:space="preserve"> PAGEREF _Toc32476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52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_Toc21052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56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_Toc11556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028" w:history="1">
        <w:r>
          <w:rPr>
            <w:rFonts w:ascii="仿宋" w:eastAsia="仿宋" w:hAnsi="仿宋" w:cs="仿宋" w:hint="eastAsia"/>
            <w:lang w:eastAsia="zh-CN"/>
          </w:rPr>
          <w:t>五、发展规划、产业政策和行业准入分析</w:t>
        </w:r>
        <w:r>
          <w:tab/>
        </w:r>
        <w:r>
          <w:fldChar w:fldCharType="begin"/>
        </w:r>
        <w:r>
          <w:instrText xml:space="preserve"> PAGEREF _Toc17028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13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_Toc24713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37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_Toc15037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13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_Toc25413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65" w:history="1">
        <w:r>
          <w:rPr>
            <w:rFonts w:ascii="仿宋" w:eastAsia="仿宋" w:hAnsi="仿宋" w:cs="仿宋" w:hint="eastAsia"/>
            <w:lang w:eastAsia="zh-CN"/>
          </w:rPr>
          <w:t>六、资源开发及综合利用分析</w:t>
        </w:r>
        <w:r>
          <w:tab/>
        </w:r>
        <w:r>
          <w:fldChar w:fldCharType="begin"/>
        </w:r>
        <w:r>
          <w:instrText xml:space="preserve"> PAGEREF _Toc2165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90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_Toc12290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60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_Toc22960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6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_Toc2706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46" w:history="1">
        <w:r>
          <w:rPr>
            <w:rFonts w:ascii="仿宋" w:eastAsia="仿宋" w:hAnsi="仿宋" w:cs="仿宋" w:hint="eastAsia"/>
            <w:lang w:eastAsia="zh-CN"/>
          </w:rPr>
          <w:t>七、安全与应急管理</w:t>
        </w:r>
        <w:r>
          <w:tab/>
        </w:r>
        <w:r>
          <w:fldChar w:fldCharType="begin"/>
        </w:r>
        <w:r>
          <w:instrText xml:space="preserve"> PAGEREF _Toc346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1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_Toc1831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06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_Toc25606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496" w:history="1">
        <w:r>
          <w:rPr>
            <w:rFonts w:ascii="仿宋" w:eastAsia="仿宋" w:hAnsi="仿宋" w:cs="仿宋" w:hint="eastAsia"/>
            <w:lang w:eastAsia="zh-CN"/>
          </w:rPr>
          <w:t>八、客户关系管理与市场拓展</w:t>
        </w:r>
        <w:r>
          <w:tab/>
        </w:r>
        <w:r>
          <w:fldChar w:fldCharType="begin"/>
        </w:r>
        <w:r>
          <w:instrText xml:space="preserve"> PAGEREF _Toc15496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76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_Toc30676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_Toc229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658" w:history="1">
        <w:r>
          <w:rPr>
            <w:rFonts w:ascii="仿宋" w:eastAsia="仿宋" w:hAnsi="仿宋" w:cs="仿宋" w:hint="eastAsia"/>
            <w:lang w:eastAsia="zh-CN"/>
          </w:rPr>
          <w:t>九、经济效益与社会效益优化</w:t>
        </w:r>
        <w:r>
          <w:tab/>
        </w:r>
        <w:r>
          <w:fldChar w:fldCharType="begin"/>
        </w:r>
        <w:r>
          <w:instrText xml:space="preserve"> PAGEREF _Toc22658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10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_Toc20010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68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_Toc14568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08" w:history="1">
        <w:r>
          <w:rPr>
            <w:rFonts w:ascii="仿宋" w:eastAsia="仿宋" w:hAnsi="仿宋" w:cs="仿宋" w:hint="eastAsia"/>
            <w:lang w:eastAsia="zh-CN"/>
          </w:rPr>
          <w:t>十、土地利用与规划方案</w:t>
        </w:r>
        <w:r>
          <w:tab/>
        </w:r>
        <w:r>
          <w:fldChar w:fldCharType="begin"/>
        </w:r>
        <w:r>
          <w:instrText xml:space="preserve"> PAGEREF _Toc4608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3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_Toc1393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16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_Toc3816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451" w:history="1">
        <w:r>
          <w:rPr>
            <w:rFonts w:ascii="仿宋" w:eastAsia="仿宋" w:hAnsi="仿宋" w:cs="仿宋" w:hint="eastAsia"/>
            <w:lang w:eastAsia="zh-CN"/>
          </w:rPr>
          <w:t>十一、项目进度计划</w:t>
        </w:r>
        <w:r>
          <w:tab/>
        </w:r>
        <w:r>
          <w:fldChar w:fldCharType="begin"/>
        </w:r>
        <w:r>
          <w:instrText xml:space="preserve"> PAGEREF _Toc26451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35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_Toc24335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81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_Toc5781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57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_Toc28357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29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_Toc6429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3256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_Toc13256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26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_Toc16226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09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_Toc20409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53" w:history="1">
        <w:r>
          <w:rPr>
            <w:rFonts w:ascii="仿宋" w:eastAsia="仿宋" w:hAnsi="仿宋" w:cs="仿宋" w:hint="eastAsia"/>
            <w:lang w:eastAsia="zh-CN"/>
          </w:rPr>
          <w:t>十二、项目质量与标准</w:t>
        </w:r>
        <w:r>
          <w:tab/>
        </w:r>
        <w:r>
          <w:fldChar w:fldCharType="begin"/>
        </w:r>
        <w:r>
          <w:instrText xml:space="preserve"> PAGEREF _Toc29553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37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_Toc32637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69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_Toc21869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0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_Toc1620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08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_Toc14508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463" w:history="1">
        <w:r>
          <w:rPr>
            <w:rFonts w:ascii="仿宋" w:eastAsia="仿宋" w:hAnsi="仿宋" w:cs="仿宋" w:hint="eastAsia"/>
            <w:lang w:eastAsia="zh-CN"/>
          </w:rPr>
          <w:t>十三、合作与交流机制建立</w:t>
        </w:r>
        <w:r>
          <w:tab/>
        </w:r>
        <w:r>
          <w:fldChar w:fldCharType="begin"/>
        </w:r>
        <w:r>
          <w:instrText xml:space="preserve"> PAGEREF _Toc31463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49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_Toc28449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77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_Toc19877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924" w:history="1">
        <w:r>
          <w:rPr>
            <w:rFonts w:ascii="仿宋" w:eastAsia="仿宋" w:hAnsi="仿宋" w:cs="仿宋" w:hint="eastAsia"/>
            <w:lang w:eastAsia="zh-CN"/>
          </w:rPr>
          <w:t>十四、法律法规与政策遵循</w:t>
        </w:r>
        <w:r>
          <w:tab/>
        </w:r>
        <w:r>
          <w:fldChar w:fldCharType="begin"/>
        </w:r>
        <w:r>
          <w:instrText xml:space="preserve"> PAGEREF _Toc31924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31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_Toc23331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19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_Toc23219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890" w:history="1">
        <w:r>
          <w:rPr>
            <w:rFonts w:ascii="仿宋" w:eastAsia="仿宋" w:hAnsi="仿宋" w:cs="仿宋" w:hint="eastAsia"/>
            <w:lang w:eastAsia="zh-CN"/>
          </w:rPr>
          <w:t>十五、产业协同与集群发展</w:t>
        </w:r>
        <w:r>
          <w:tab/>
        </w:r>
        <w:r>
          <w:fldChar w:fldCharType="begin"/>
        </w:r>
        <w:r>
          <w:instrText xml:space="preserve"> PAGEREF _Toc12890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79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_Toc29579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18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_Toc13818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45" w:history="1">
        <w:r>
          <w:rPr>
            <w:rFonts w:ascii="仿宋" w:eastAsia="仿宋" w:hAnsi="仿宋" w:cs="仿宋" w:hint="eastAsia"/>
            <w:lang w:eastAsia="zh-CN"/>
          </w:rPr>
          <w:t>十六、设施与设备管理</w:t>
        </w:r>
        <w:r>
          <w:tab/>
        </w:r>
        <w:r>
          <w:fldChar w:fldCharType="begin"/>
        </w:r>
        <w:r>
          <w:instrText xml:space="preserve"> PAGEREF _Toc345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32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_Toc14632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20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_Toc3620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89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_Toc31589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43" w:history="1">
        <w:r>
          <w:rPr>
            <w:rFonts w:ascii="仿宋" w:eastAsia="仿宋" w:hAnsi="仿宋" w:cs="仿宋" w:hint="eastAsia"/>
            <w:lang w:eastAsia="zh-CN"/>
          </w:rPr>
          <w:t>十七、质量管理与控制</w:t>
        </w:r>
        <w:r>
          <w:tab/>
        </w:r>
        <w:r>
          <w:fldChar w:fldCharType="begin"/>
        </w:r>
        <w:r>
          <w:instrText xml:space="preserve"> PAGEREF _Toc2743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18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_Toc17518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01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_Toc22901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20" w:history="1">
        <w:r>
          <w:rPr>
            <w:rFonts w:ascii="仿宋" w:eastAsia="仿宋" w:hAnsi="仿宋" w:cs="仿宋" w:hint="eastAsia"/>
            <w:lang w:eastAsia="zh-CN"/>
          </w:rPr>
          <w:t>十八、成果转化与推广应用</w:t>
        </w:r>
        <w:r>
          <w:tab/>
        </w:r>
        <w:r>
          <w:fldChar w:fldCharType="begin"/>
        </w:r>
        <w:r>
          <w:instrText xml:space="preserve"> PAGEREF _Toc10320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58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_Toc21658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21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_Toc32021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453" w:history="1">
        <w:r>
          <w:rPr>
            <w:rFonts w:ascii="仿宋" w:eastAsia="仿宋" w:hAnsi="仿宋" w:cs="仿宋" w:hint="eastAsia"/>
            <w:lang w:eastAsia="zh-CN"/>
          </w:rPr>
          <w:t>十九、人力资源管理与开发</w:t>
        </w:r>
        <w:r>
          <w:tab/>
        </w:r>
        <w:r>
          <w:fldChar w:fldCharType="begin"/>
        </w:r>
        <w:r>
          <w:instrText xml:space="preserve"> PAGEREF _Toc21453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91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_Toc5791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41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_Toc4841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082" w:history="1">
        <w:r>
          <w:rPr>
            <w:rFonts w:ascii="仿宋" w:eastAsia="仿宋" w:hAnsi="仿宋" w:cs="仿宋" w:hint="eastAsia"/>
            <w:lang w:eastAsia="zh-CN"/>
          </w:rPr>
          <w:t>二十、知识产权管理与保护</w:t>
        </w:r>
        <w:r>
          <w:tab/>
        </w:r>
        <w:r>
          <w:fldChar w:fldCharType="begin"/>
        </w:r>
        <w:r>
          <w:instrText xml:space="preserve"> PAGEREF _Toc17082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68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_Toc11368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95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_Toc3695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0778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在项目建设过程中，本项目建设方案将确保项目的可行性和有效实施。本方案详细介绍了项目的背景、目标和关键任务，以及所需资源和时间安排。需要强调的是，本方案仅供学习交流之用，不可做为商业用途。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5299"/>
      <w:r>
        <w:rPr>
          <w:rFonts w:ascii="仿宋" w:eastAsia="仿宋" w:hAnsi="仿宋" w:cs="仿宋" w:hint="eastAsia"/>
          <w:sz w:val="28"/>
          <w:lang w:eastAsia="zh-CN"/>
        </w:rPr>
        <w:t>一、项目监理与质量保证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22"/>
      <w:r>
        <w:rPr>
          <w:rFonts w:ascii="仿宋" w:eastAsia="仿宋" w:hAnsi="仿宋" w:cs="仿宋" w:hint="eastAsia"/>
          <w:lang w:eastAsia="zh-CN"/>
        </w:rPr>
        <w:t>(一)、监理体系构建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监理团队组建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监理的关键在于建立强大的监理团队。首先，我们需要明确监理团队的组织结构，包括监理经理、监理工程师、质量专员等职责明确的成员。各成员的专业背景和经验将被充分考虑，以确保监理团队具备足够的专业知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监理计划制定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监理计划将明确监理的整体框架和目标。这包括项目各个阶段的监理重点、监理频次、监理报告的提交周期等。监理计划的建立是为了确保监理工作有系统地推进，对项目的各个方面都能够得到全面覆盖。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1.3 监理工具引入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我们将引入先进的监理工具，包括但不限于监测设备、数据分析软件等。这些工具将用于实时监测工程进度、质量指标以及安全等方面，以便及时发现潜在问题并采取有效措施。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610"/>
      <w:r>
        <w:rPr>
          <w:rFonts w:ascii="仿宋" w:eastAsia="仿宋" w:hAnsi="仿宋" w:cs="仿宋" w:hint="eastAsia"/>
          <w:sz w:val="28"/>
          <w:lang w:eastAsia="zh-CN"/>
        </w:rPr>
        <w:t>(二)、质量保证体系实施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质量政策制定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在项目启动阶段，我们将明确定义质量政策，确保项目始终以高质量的标准进行。这将包括对质量的整体目标、标准和期望的明确规定，以及质量管理的基本原则。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质量培训与认证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所有项目参与人员都将接受相应的质量培训，以确保他们理解并能够实施项目的质量标准。此外，我们将追求质量认证，以验证项目的质量管理体系符合国际或行业标准。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2.3 质量审核与改进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定期进行质量审核，以确保项目的质量体系有效运行。通过定期的内部和外部审核，我们将及时发现潜在问题，并采取纠正和预防措施，以不断提高项目的质量水平。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5412"/>
      <w:r>
        <w:rPr>
          <w:rFonts w:ascii="仿宋" w:eastAsia="仿宋" w:hAnsi="仿宋" w:cs="仿宋" w:hint="eastAsia"/>
          <w:sz w:val="28"/>
          <w:lang w:eastAsia="zh-CN"/>
        </w:rPr>
        <w:t>(三)、监理与质量控制流程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3.1 监理过程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监理过程将按照监理计划的要求进行。这包括对施工现场的实地检查、对施工材料的质量把关、对施工过程的监测等。监理报告将定期提交，内容将涵盖项目整体进度、质量状况、安全情况等方面的详细信息。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3.2 质量控制流程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质量控制流程将包括整个工程周期的质量控制点的设立，每个控制点将有具体的验收标准和程序。从材料进场到工程收尾，每个阶段都将有相应的质量控制手段，以确保项目始终符合质量要求。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6876"/>
      <w:r>
        <w:rPr>
          <w:rFonts w:ascii="仿宋" w:eastAsia="仿宋" w:hAnsi="仿宋" w:cs="仿宋" w:hint="eastAsia"/>
          <w:sz w:val="28"/>
          <w:lang w:eastAsia="zh-CN"/>
        </w:rPr>
        <w:t>二、丁二酸项目概论</w:t>
      </w:r>
      <w:bookmarkEnd w:id="6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7" w:name="_Toc31080"/>
      <w:r>
        <w:rPr>
          <w:rFonts w:ascii="仿宋" w:eastAsia="仿宋" w:hAnsi="仿宋" w:cs="仿宋" w:hint="eastAsia"/>
          <w:lang w:eastAsia="zh-CN"/>
        </w:rPr>
        <w:t>(一)、项目申报单位概况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项目单位名称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丁二酸项目的申报单位是“XXX实业发展公司”，这是一家在其所处行业内备受尊敬的企业。公司自成立以来，通过其在丁二酸项目中表现出的创新精神和卓越执行力，在市场上赢得了显著的地位。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法定代表人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该公司的法定代表人秦XX，在丁二酸项目及其他多个行业领域中都有着显著的贡献。秦XX以其出色的领导才能和敏锐的商业洞察力，带领公司在丁二酸项目等多个领域实现了持续的成长和成功。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项目单位简介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实业发展公司，成立于[具体年份]，是丁二酸项目的重要合作伙伴。公司专注于[行业名称]领域，以创新作为驱动力，不断推动技术进步和市场扩张。在丁二酸项目中，公司通过其深厚的行业知识和经验，展示了其作为行业领导者的实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(四) 项目单位经营情况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经营方面，XXX实业发展公司在丁二酸项目中展现了强劲的增长和稳定的财务表现。公司通过有效的策略，在丁二酸项目中扩大了其市场份额并增强了盈利能力。同时，公司积极承担社会责任，参与各类社会公益项目，增强了其在丁二酸项目中的品牌形象和社会影响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0888"/>
      <w:r>
        <w:rPr>
          <w:rFonts w:ascii="仿宋" w:eastAsia="仿宋" w:hAnsi="仿宋" w:cs="仿宋" w:hint="eastAsia"/>
          <w:sz w:val="28"/>
          <w:lang w:eastAsia="zh-CN"/>
        </w:rPr>
        <w:t>(二)、项目概况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项目名称及承办单位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项目名称：XXX项目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承办单位：xxx 实业发展公司，一家在[特定行业或领域]领域拥有丰富经验的企业，以其创新能力和市场影响力而闻名。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项目建设地点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项目计划在某工业园区进行建设，该园区位于[具体地区或城市]，拥有优越的交通连接、完善的基础设施，以及良好的工业发展环境，是进行此类项目开发的理想选择。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项目提出的理由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[行业背景，如“全球环保意识的提高”、“技术进步”等]，市场对[具体产品或服务]的需求持续增长。XXX项目旨在利用最新的技术创新，提供高效、环保的[产品或服务]，以满足这一增长的市场需求，并在竞争激烈的市场中占据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建设规模与产品方案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总占地面积[具体数值]的工业园区内建立[具体设施，如“生产线”、“研发中心”]。产品方案包括生产[具体产品类型，如“高效能LED灯具”]，预期产品将在[目标市场，如“商业、家庭、工业照明市场”]中推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(五) 项目投资估算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总投资估算为[具体金额]，涵盖了从土地获取、建筑施工到设备采购、初期运营的全部费用。该投资预计将分阶段投放，以确保项目的顺利进展和资金的有效使用。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(六) 工艺技术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[具体工艺技术描述，如“先进的半导体制造工艺”]，这种技术在提高生产效率、降低能耗方面具有显著优势。同时，项目还将应用[另一项技术，如“自动化装配线”]，以保证产品质量和生产的一致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(七) 项目建设期限和进度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项目的建设预计将在[开始年份]至[结束年份]之间完成，分为三个主要阶段：准备阶段（[具体时间范围]），建设阶段（[具体时间范围]）和试运行阶段（[具体时间范围]）。每个阶段都设有明确的目标和时间表。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(八) 主要建设内容和规模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主要建设内容包括一座[具体规模]的生产车间，一座[规模]的仓储设施，以及配套的办公区域。生产车间将配备[具体设备或技术]，以满足大规模生产需求，而仓储设施则设计为支持高效的物料管理和产品分发。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(九) 设备方案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设备方案中包括了高精度的[具体机械名称，如“自动装配机”]、[另一种设备，如“测试和质量控制设备”]等关键设备。所有设备的选择将根据其性能、效率和成本效益进行，以确保项目在技术上的先进性和经济上的可行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综上所述，XXX项目展示了其在[特定行业或领域]领域的前瞻性和创新性。项目的成功不仅将增强xxx 实业发展公司在市场上的竞争地位，还预期对整个行业产生积极影响，推动[行业名称]领域的技术进步和可持续发展。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丁二酸项目的实施也将带来一系列的社会和环境效益。项目的环保性产品设计和节能生产工艺，预计将减少资源消耗和环境影响，符合全球日益增长的环保需求。同时，项目的实施还预计将在当地创造就业机会，促进经济增长，为地方社区带来长期的社会和经济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在项目的未来发展中，xxx 实业发展公司计划继续投资于技术创新和市场拓展，确保丁二酸项目能够持续领先于行业发展趋势。公司将进一步深化与政府、行业协会及其他关键合作伙伴的关系，以提高项目的实施效率和影响力。同时，公司将持续关注项目在可持续性和社会责任方面的表现，确保其长期符合企业的核心价值和社会责任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总而言之，XXX项目不仅是xxx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实业发展公司在[行业名称]领域的一个重要战略项目，也是公司对创新、可持续发展和社会责任的承诺的体现。项目的成功将为公司、行业乃至整个社会带来深远的正面影响。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25787"/>
      <w:r>
        <w:rPr>
          <w:rFonts w:ascii="仿宋" w:eastAsia="仿宋" w:hAnsi="仿宋" w:cs="仿宋" w:hint="eastAsia"/>
          <w:sz w:val="28"/>
          <w:lang w:eastAsia="zh-CN"/>
        </w:rPr>
        <w:t>三、经济影响分析</w:t>
      </w:r>
      <w:bookmarkEnd w:id="9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0" w:name="_Toc12967"/>
      <w:r>
        <w:rPr>
          <w:rFonts w:ascii="仿宋" w:eastAsia="仿宋" w:hAnsi="仿宋" w:cs="仿宋" w:hint="eastAsia"/>
          <w:lang w:eastAsia="zh-CN"/>
        </w:rPr>
        <w:t>(一)、经济费用效益或费用效果分析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项目总成本评估：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初始投资成本：假设土地购置成本为XX万元，建筑和基础设施建设成本为XX万元，设备采购和安装费用为XX万元。因此，项目的总初始投资成本估计为XX万元。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运营成本：每年的运营成本包括人力资源成本XX万元，原材料采购XX万元，能源消耗XX万元，维护和修理XX万元。因此，项目的年运营成本估计为XX万元。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环境和社会成本：环境保护措施预计年费用为XX万元，社区补偿和支持预算为XX万元，因此总计为XX万元。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预期收益分析：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直接收益：假设丁二酸项目的产品或服务年销售收入为XX万元。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间接收益：包括提高品牌价值和市场份额，假设间接经济效益为XX万元。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 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社会和环境效益：虽难以量化，但假设其长期价值估计为XX万元。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成本效果比较：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假设项目的总成本（初始投资成本加上预计五年的运营成本和环境社会成本）为XX万元。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预期收益（直接收益加上五年的间接收益和社会环境效益）为XX万元。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因此，项目的成本效果比为XX万元（总成本）对比XX万元（总收益）。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投资回收期分析：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假设项目的总初始投资为XX万元，年运营成本为XX万元，而年直接收益为XX万元。假定直接收益和运营成本保持恒定，则项目的投资回收期为：（总初始投资） / （年直接收益 年运营成本）= XX年。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净现值（NPV）和内部收益率（IRR）分析：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净现值（NPV）是评估项目总收益与总成本现值的差额。假设项目预计持续XX年，每年的净收益为（年直接收益 年运营成本），折现率假定为XX%，则NPV计算为：NPV = ∑ [（年净收益） / （1 + 折现率）^年份] 初始投资成本。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内部收益率（IRR）是使得NPV为零的折现率，这是项目盈利能力的一个重要指标。通过财务软件或手工计算可得出IRR值。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风险和灵敏度分析：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 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风险分析包括考虑市场波动、成本超支和收入不达预期等因素对项目经济效益的影响。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灵敏度分析则涉及改变关键假设（如销售收入、原材料成本、能源价格）来观察NPV和IRR的变化，从而评估这些变量对项目经济效益的影响程度。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7. 长期效益与可持续性考虑：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除了直接的经济效益，项目的长期效益，如提升品牌形象、增强市场竞争力和推动行业创新，虽难以量化，但对企业的长期发展极为重要。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可持续性考虑包括项目对环境和社会的积极影响，如减少环境污染、创造就业机会和促进地区经济发展，这些效益虽不直接体现在财务报表上，却对企业的社会责任和长期可持续性至关重要。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25496"/>
      <w:r>
        <w:rPr>
          <w:rFonts w:ascii="仿宋" w:eastAsia="仿宋" w:hAnsi="仿宋" w:cs="仿宋" w:hint="eastAsia"/>
          <w:sz w:val="28"/>
          <w:lang w:eastAsia="zh-CN"/>
        </w:rPr>
        <w:t>(二)、行业影响分析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竞争格局变化：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丁二酸项目通过引入先进的人工智能技术优化生产流程，例如自动化的物流系统和智能数据分析，可能大幅提高产品的质量和生产效率。这可能迫使竞争对手也必须投资于类似技术，以保持市场竞争力。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此外，项目的创新应用可能吸引新的市场参与者，特别是科技领域的创新型初创企业，加入竞争，从而加剧了行业内的竞争压力。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技术发展推动：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https://d.book118.com/668035012104006034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丁二酸项目建设总纲及方案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丁二酸项目建设总纲及方案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丁二酸项目建设总纲及方案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丁二酸项目建设总纲及方案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丁二酸项目建设总纲及方案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丁二酸项目建设总纲及方案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丁二酸项目建设总纲及方案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丁二酸项目建设总纲及方案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丁二酸项目建设总纲及方案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丁二酸项目建设总纲及方案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丁二酸项目建设总纲及方案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丁二酸项目建设总纲及方案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99F00C1"/>
    <w:rsid w:val="599F00C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66803501210400603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2024-02-01T20:05:00Z</dcterms:created>
  <dcterms:modified xsi:type="dcterms:W3CDTF">2024-02-01T20:06:07Z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5162AB821D1846A6A5CD4EE29C194FF7_11</vt:lpwstr>
  </property>
  <property fmtid="{D5CDD505-2E9C-101B-9397-08002B2CF9AE}" pid="3" name="KSOProductBuildVer">
    <vt:lpwstr>2052-12.1.0.16250</vt:lpwstr>
  </property>
</Properties>
</file>