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rPr>
          <w:rFonts w:ascii="Times New Roman"/>
          <w:sz w:val="20"/>
        </w:rPr>
      </w:pPr>
      <w:r>
        <w:drawing>
          <wp:anchor distT="0" distB="0" distL="0" distR="0" simplePos="0" relativeHeight="251658240" behindDoc="1" locked="0" layoutInCell="1" allowOverlap="1">
            <wp:simplePos x="0" y="0"/>
            <wp:positionH relativeFrom="page">
              <wp:posOffset>8316</wp:posOffset>
            </wp:positionH>
            <wp:positionV relativeFrom="page">
              <wp:posOffset>634</wp:posOffset>
            </wp:positionV>
            <wp:extent cx="7551358" cy="1069149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7551358" cy="10691495"/>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31" w:line="225" w:lineRule="auto"/>
        <w:ind w:left="1253" w:right="979" w:hanging="292"/>
        <w:jc w:val="left"/>
        <w:rPr>
          <w:rFonts w:ascii="微软雅黑" w:eastAsia="微软雅黑" w:hint="eastAsia"/>
          <w:b/>
          <w:sz w:val="72"/>
        </w:rPr>
      </w:pPr>
      <w:r>
        <w:rPr>
          <w:rFonts w:ascii="微软雅黑" w:eastAsia="微软雅黑" w:hint="eastAsia"/>
          <w:b/>
          <w:sz w:val="72"/>
        </w:rPr>
        <w:t>（建筑工程管理</w:t>
      </w:r>
      <w:r>
        <w:rPr>
          <w:rFonts w:ascii="微软雅黑" w:eastAsia="微软雅黑" w:hint="eastAsia"/>
          <w:b/>
          <w:spacing w:val="-137"/>
          <w:sz w:val="72"/>
        </w:rPr>
        <w:t>）</w:t>
      </w:r>
      <w:r>
        <w:rPr>
          <w:rFonts w:ascii="微软雅黑" w:eastAsia="微软雅黑" w:hint="eastAsia"/>
          <w:b/>
          <w:spacing w:val="-5"/>
          <w:sz w:val="72"/>
        </w:rPr>
        <w:t>仙游县城</w:t>
      </w:r>
      <w:r>
        <w:rPr>
          <w:rFonts w:ascii="微软雅黑" w:eastAsia="微软雅黑" w:hint="eastAsia"/>
          <w:b/>
          <w:sz w:val="72"/>
        </w:rPr>
        <w:t>区绿化养护管理工程养护</w:t>
      </w:r>
    </w:p>
    <w:p>
      <w:pPr>
        <w:spacing w:after="0" w:line="225" w:lineRule="auto"/>
        <w:jc w:val="left"/>
        <w:rPr>
          <w:rFonts w:ascii="微软雅黑" w:eastAsia="微软雅黑" w:hint="eastAsia"/>
          <w:sz w:val="72"/>
        </w:rPr>
        <w:sectPr>
          <w:type w:val="continuous"/>
          <w:pgSz w:w="11910" w:h="16840"/>
          <w:pgMar w:top="1580" w:right="720" w:bottom="280" w:left="740" w:header="708" w:footer="708"/>
          <w:cols w:space="708"/>
        </w:sectPr>
      </w:pPr>
    </w:p>
    <w:p>
      <w:pPr>
        <w:pStyle w:val="BodyText"/>
        <w:spacing w:before="5"/>
        <w:rPr>
          <w:rFonts w:ascii="微软雅黑"/>
          <w:b/>
          <w:sz w:val="12"/>
        </w:rPr>
      </w:pPr>
    </w:p>
    <w:p>
      <w:pPr>
        <w:spacing w:before="0" w:line="759" w:lineRule="exact"/>
        <w:ind w:left="625" w:right="644" w:firstLine="0"/>
        <w:jc w:val="center"/>
        <w:rPr>
          <w:rFonts w:ascii="微软雅黑" w:eastAsia="微软雅黑" w:hint="eastAsia"/>
          <w:b/>
          <w:sz w:val="44"/>
        </w:rPr>
      </w:pPr>
      <w:r>
        <w:rPr>
          <w:rFonts w:ascii="微软雅黑" w:eastAsia="微软雅黑" w:hint="eastAsia"/>
          <w:b/>
          <w:sz w:val="44"/>
        </w:rPr>
        <w:t>仙游县城区绿化养护管理工程养护</w:t>
      </w:r>
    </w:p>
    <w:p>
      <w:pPr>
        <w:pStyle w:val="Title"/>
      </w:pPr>
      <w:r>
        <w:t>招标文件</w:t>
      </w:r>
    </w:p>
    <w:p>
      <w:pPr>
        <w:tabs>
          <w:tab w:val="left" w:pos="2460"/>
          <w:tab w:val="left" w:pos="2910"/>
          <w:tab w:val="left" w:pos="7260"/>
          <w:tab w:val="left" w:pos="8385"/>
          <w:tab w:val="left" w:pos="8550"/>
        </w:tabs>
        <w:spacing w:before="292" w:line="321" w:lineRule="auto"/>
        <w:ind w:left="961" w:right="1894" w:firstLine="0"/>
        <w:jc w:val="left"/>
        <w:rPr>
          <w:sz w:val="30"/>
        </w:rPr>
      </w:pPr>
      <w:r>
        <w:pict>
          <v:line id="_x0000_s1025" style="mso-position-horizontal-relative:page;position:absolute;z-index:-251657216" from="145.05pt,94.05pt" to="460.05pt,94.05pt" stroked="t" strokecolor="black" strokeweight="0.75pt">
            <v:stroke dashstyle="solid"/>
          </v:line>
        </w:pict>
      </w:r>
      <w:r>
        <w:rPr>
          <w:sz w:val="30"/>
        </w:rPr>
        <w:t>招标编号：</w:t>
      </w:r>
      <w:r>
        <w:rPr>
          <w:sz w:val="30"/>
          <w:u w:val="single"/>
        </w:rPr>
        <w:tab/>
        <w:t>FNC-ZB-09002</w:t>
      </w:r>
      <w:r>
        <w:rPr>
          <w:spacing w:val="-75"/>
          <w:sz w:val="30"/>
          <w:u w:val="single"/>
        </w:rPr>
        <w:t xml:space="preserve"> </w:t>
      </w:r>
      <w:r>
        <w:rPr>
          <w:sz w:val="30"/>
          <w:u w:val="single"/>
        </w:rPr>
        <w:t>号</w:t>
        <w:tab/>
        <w:tab/>
        <w:t xml:space="preserve"> </w:t>
      </w:r>
      <w:r>
        <w:rPr>
          <w:sz w:val="30"/>
        </w:rPr>
        <w:t>项目名称：</w:t>
      </w:r>
      <w:r>
        <w:rPr>
          <w:rFonts w:ascii="微软雅黑" w:eastAsia="微软雅黑" w:hint="eastAsia"/>
          <w:b/>
          <w:sz w:val="30"/>
          <w:u w:val="thick"/>
        </w:rPr>
        <w:t>仙游县城区绿化养护管理工程</w:t>
        <w:tab/>
        <w:tab/>
        <w:tab/>
        <w:t xml:space="preserve"> </w:t>
      </w:r>
      <w:r>
        <w:rPr>
          <w:sz w:val="30"/>
        </w:rPr>
        <w:t>招标人：</w:t>
        <w:tab/>
        <w:t>仙游县市政管理中心</w:t>
        <w:tab/>
        <w:t>（盖章）</w:t>
      </w:r>
    </w:p>
    <w:p>
      <w:pPr>
        <w:pStyle w:val="Heading5"/>
        <w:tabs>
          <w:tab w:val="left" w:pos="8010"/>
        </w:tabs>
        <w:spacing w:before="101"/>
        <w:ind w:left="961" w:right="0"/>
        <w:jc w:val="left"/>
      </w:pPr>
      <w:r>
        <w:pict>
          <v:line id="_x0000_s1026" style="mso-position-horizontal-relative:page;position:absolute;z-index:-251656192" from="175.05pt,22.1pt" to="497.55pt,22.1pt" stroked="t" strokecolor="black" strokeweight="0.75pt">
            <v:stroke dashstyle="solid"/>
          </v:line>
        </w:pict>
      </w:r>
      <w:r>
        <w:t>法定代表人：</w:t>
        <w:tab/>
        <w:t>（盖章）</w:t>
      </w:r>
    </w:p>
    <w:p>
      <w:pPr>
        <w:tabs>
          <w:tab w:val="left" w:pos="7860"/>
          <w:tab w:val="left" w:pos="8010"/>
        </w:tabs>
        <w:spacing w:before="240" w:line="388" w:lineRule="auto"/>
        <w:ind w:left="961" w:right="1234" w:firstLine="0"/>
        <w:jc w:val="left"/>
        <w:rPr>
          <w:sz w:val="30"/>
        </w:rPr>
      </w:pPr>
      <w:r>
        <w:pict>
          <v:line id="_x0000_s1027" style="mso-position-horizontal-relative:page;position:absolute;z-index:-251655168" from="190.05pt,29.05pt" to="490.05pt,29.05pt" stroked="t" strokecolor="black" strokeweight="0.75pt">
            <v:stroke dashstyle="solid"/>
          </v:line>
        </w:pict>
      </w:r>
      <w:r>
        <w:pict>
          <v:line id="_x0000_s1028" style="mso-position-horizontal-relative:page;position:absolute;z-index:-251654144" from="175.05pt,60.25pt" to="497.55pt,60.25pt" stroked="t" strokecolor="black" strokeweight="0.75pt">
            <v:stroke dashstyle="solid"/>
          </v:line>
        </w:pict>
      </w:r>
      <w:r>
        <w:rPr>
          <w:sz w:val="30"/>
        </w:rPr>
        <w:t>招标代理单位： 福州诺成工程项目管理</w:t>
      </w:r>
      <w:r>
        <w:rPr>
          <w:spacing w:val="-75"/>
          <w:sz w:val="30"/>
        </w:rPr>
        <w:t xml:space="preserve"> </w:t>
      </w:r>
      <w:r>
        <w:rPr>
          <w:sz w:val="30"/>
        </w:rPr>
        <w:t>XX</w:t>
      </w:r>
      <w:r>
        <w:rPr>
          <w:spacing w:val="-75"/>
          <w:sz w:val="30"/>
        </w:rPr>
        <w:t xml:space="preserve"> </w:t>
      </w:r>
      <w:r>
        <w:rPr>
          <w:sz w:val="30"/>
        </w:rPr>
        <w:t>公司</w:t>
        <w:tab/>
        <w:t>（盖章） 法定代表人：</w:t>
        <w:tab/>
        <w:tab/>
        <w:t>（盖章</w:t>
      </w:r>
      <w:r>
        <w:rPr>
          <w:spacing w:val="-18"/>
          <w:sz w:val="30"/>
        </w:rPr>
        <w:t>）</w:t>
      </w:r>
    </w:p>
    <w:p>
      <w:pPr>
        <w:pStyle w:val="Heading3"/>
        <w:spacing w:before="0" w:line="412" w:lineRule="exact"/>
        <w:ind w:left="3725"/>
      </w:pPr>
      <w:r>
        <w:t>日期：2009</w:t>
      </w:r>
      <w:r>
        <w:rPr>
          <w:spacing w:val="-57"/>
        </w:rPr>
        <w:t xml:space="preserve"> 年 </w:t>
      </w:r>
      <w:r>
        <w:t>02</w:t>
      </w:r>
      <w:r>
        <w:rPr>
          <w:spacing w:val="-43"/>
        </w:rPr>
        <w:t xml:space="preserve"> 月</w:t>
      </w:r>
    </w:p>
    <w:p>
      <w:pPr>
        <w:spacing w:before="268"/>
        <w:ind w:left="625" w:right="644" w:firstLine="0"/>
        <w:jc w:val="center"/>
        <w:rPr>
          <w:sz w:val="70"/>
        </w:rPr>
      </w:pPr>
      <w:r>
        <w:rPr>
          <w:sz w:val="70"/>
        </w:rPr>
        <w:t>目录</w:t>
      </w:r>
    </w:p>
    <w:p>
      <w:pPr>
        <w:spacing w:before="271"/>
        <w:ind w:left="1600" w:right="0" w:firstLine="0"/>
        <w:jc w:val="left"/>
        <w:rPr>
          <w:sz w:val="34"/>
        </w:rPr>
      </w:pPr>
      <w:r>
        <w:rPr>
          <w:sz w:val="34"/>
        </w:rPr>
        <w:t>第壹部分投标人须知</w:t>
      </w:r>
    </w:p>
    <w:p>
      <w:pPr>
        <w:spacing w:before="80" w:line="625" w:lineRule="exact"/>
        <w:ind w:left="1600" w:right="0" w:firstLine="0"/>
        <w:jc w:val="left"/>
        <w:rPr>
          <w:rFonts w:ascii="微软雅黑" w:eastAsia="微软雅黑" w:hint="eastAsia"/>
          <w:b/>
          <w:sz w:val="34"/>
        </w:rPr>
      </w:pPr>
      <w:r>
        <w:rPr>
          <w:rFonts w:ascii="微软雅黑" w:eastAsia="微软雅黑" w:hint="eastAsia"/>
          <w:b/>
          <w:sz w:val="34"/>
        </w:rPr>
        <w:t>（壹）总则</w:t>
      </w:r>
    </w:p>
    <w:p>
      <w:pPr>
        <w:spacing w:before="0" w:line="624" w:lineRule="exact"/>
        <w:ind w:left="1600" w:right="0" w:firstLine="0"/>
        <w:jc w:val="left"/>
        <w:rPr>
          <w:rFonts w:ascii="微软雅黑" w:eastAsia="微软雅黑" w:hint="eastAsia"/>
          <w:b/>
          <w:sz w:val="34"/>
        </w:rPr>
      </w:pPr>
      <w:r>
        <w:rPr>
          <w:rFonts w:ascii="微软雅黑" w:eastAsia="微软雅黑" w:hint="eastAsia"/>
          <w:b/>
          <w:sz w:val="34"/>
        </w:rPr>
        <w:t>（二）招标文件</w:t>
      </w:r>
    </w:p>
    <w:p>
      <w:pPr>
        <w:spacing w:before="0" w:line="624" w:lineRule="exact"/>
        <w:ind w:left="1600" w:right="0" w:firstLine="0"/>
        <w:jc w:val="left"/>
        <w:rPr>
          <w:rFonts w:ascii="微软雅黑" w:eastAsia="微软雅黑" w:hint="eastAsia"/>
          <w:b/>
          <w:sz w:val="34"/>
        </w:rPr>
      </w:pPr>
      <w:r>
        <w:rPr>
          <w:rFonts w:ascii="微软雅黑" w:eastAsia="微软雅黑" w:hint="eastAsia"/>
          <w:b/>
          <w:sz w:val="34"/>
        </w:rPr>
        <w:t>（三）投标文件的编写</w:t>
      </w:r>
    </w:p>
    <w:p>
      <w:pPr>
        <w:spacing w:before="0" w:line="624" w:lineRule="exact"/>
        <w:ind w:left="1600" w:right="0" w:firstLine="0"/>
        <w:jc w:val="left"/>
        <w:rPr>
          <w:rFonts w:ascii="微软雅黑" w:eastAsia="微软雅黑" w:hint="eastAsia"/>
          <w:b/>
          <w:sz w:val="34"/>
        </w:rPr>
      </w:pPr>
      <w:r>
        <w:rPr>
          <w:rFonts w:ascii="微软雅黑" w:eastAsia="微软雅黑" w:hint="eastAsia"/>
          <w:b/>
          <w:sz w:val="34"/>
        </w:rPr>
        <w:t>（四）投标文件的递交</w:t>
      </w:r>
    </w:p>
    <w:p>
      <w:pPr>
        <w:spacing w:before="0" w:line="624" w:lineRule="exact"/>
        <w:ind w:left="1600" w:right="0" w:firstLine="0"/>
        <w:jc w:val="left"/>
        <w:rPr>
          <w:rFonts w:ascii="微软雅黑" w:eastAsia="微软雅黑" w:hint="eastAsia"/>
          <w:b/>
          <w:sz w:val="34"/>
        </w:rPr>
      </w:pPr>
      <w:r>
        <w:rPr>
          <w:rFonts w:ascii="微软雅黑" w:eastAsia="微软雅黑" w:hint="eastAsia"/>
          <w:b/>
          <w:sz w:val="34"/>
        </w:rPr>
        <w:t>（五）开标、评标及定标</w:t>
      </w:r>
    </w:p>
    <w:p>
      <w:pPr>
        <w:spacing w:before="0" w:line="625" w:lineRule="exact"/>
        <w:ind w:left="1600" w:right="0" w:firstLine="0"/>
        <w:jc w:val="left"/>
        <w:rPr>
          <w:rFonts w:ascii="微软雅黑" w:eastAsia="微软雅黑" w:hint="eastAsia"/>
          <w:b/>
          <w:sz w:val="34"/>
        </w:rPr>
      </w:pPr>
      <w:r>
        <w:rPr>
          <w:rFonts w:ascii="微软雅黑" w:eastAsia="微软雅黑" w:hint="eastAsia"/>
          <w:b/>
          <w:sz w:val="34"/>
        </w:rPr>
        <w:t>（六）授予合同</w:t>
      </w:r>
    </w:p>
    <w:p>
      <w:pPr>
        <w:pStyle w:val="Heading3"/>
        <w:spacing w:before="106"/>
      </w:pPr>
      <w:r>
        <w:t>第二部份合同条款</w:t>
      </w:r>
    </w:p>
    <w:p>
      <w:pPr>
        <w:spacing w:after="0"/>
        <w:sectPr>
          <w:pgSz w:w="11910" w:h="16840"/>
          <w:pgMar w:top="1580" w:right="720" w:bottom="280" w:left="740" w:header="708" w:footer="708"/>
          <w:pgNumType w:start="2"/>
          <w:cols w:space="708"/>
        </w:sectPr>
      </w:pPr>
    </w:p>
    <w:p>
      <w:pPr>
        <w:spacing w:before="71"/>
        <w:ind w:left="1600" w:right="0" w:firstLine="0"/>
        <w:jc w:val="left"/>
        <w:rPr>
          <w:sz w:val="34"/>
        </w:rPr>
      </w:pPr>
      <w:r>
        <w:rPr>
          <w:sz w:val="34"/>
        </w:rPr>
        <w:t>第三部份投标文件组成（格式）</w:t>
      </w:r>
    </w:p>
    <w:p>
      <w:pPr>
        <w:pStyle w:val="Heading3"/>
        <w:spacing w:before="188" w:line="343" w:lineRule="auto"/>
        <w:ind w:right="2723"/>
      </w:pPr>
      <w:r>
        <w:t>第四部份法定代表人资格证明书（格式</w:t>
      </w:r>
      <w:r>
        <w:rPr>
          <w:spacing w:val="-17"/>
        </w:rPr>
        <w:t xml:space="preserve">） </w:t>
      </w:r>
      <w:r>
        <w:t>法定代表人授权委托书（格式）</w:t>
      </w:r>
    </w:p>
    <w:p>
      <w:pPr>
        <w:spacing w:before="3"/>
        <w:ind w:left="1600" w:right="0" w:firstLine="0"/>
        <w:jc w:val="left"/>
        <w:rPr>
          <w:sz w:val="34"/>
        </w:rPr>
      </w:pPr>
      <w:r>
        <w:rPr>
          <w:sz w:val="34"/>
        </w:rPr>
        <w:t>第五部份养护量清单</w:t>
      </w:r>
    </w:p>
    <w:p>
      <w:pPr>
        <w:pStyle w:val="Heading3"/>
        <w:spacing w:before="188" w:line="343" w:lineRule="auto"/>
        <w:ind w:right="1709"/>
      </w:pPr>
      <w:r>
        <w:t>第六部份附件 1、仙游县园林绿地养护管理标准附件 2、仙游县园林绿地养护管理考核办法</w:t>
      </w:r>
    </w:p>
    <w:p>
      <w:pPr>
        <w:spacing w:before="2" w:line="343" w:lineRule="auto"/>
        <w:ind w:left="961" w:right="1709" w:firstLine="639"/>
        <w:jc w:val="left"/>
        <w:rPr>
          <w:sz w:val="34"/>
        </w:rPr>
      </w:pPr>
      <w:r>
        <w:rPr>
          <w:sz w:val="34"/>
        </w:rPr>
        <w:t>附件 3、仙游县园林绿地养护管理考核评分细则附件 4、仙游县城区行道树修剪技术要求</w:t>
      </w:r>
    </w:p>
    <w:p>
      <w:pPr>
        <w:spacing w:before="0" w:line="764" w:lineRule="exact"/>
        <w:ind w:left="481" w:right="644" w:firstLine="0"/>
        <w:jc w:val="center"/>
        <w:rPr>
          <w:rFonts w:ascii="微软雅黑" w:eastAsia="微软雅黑" w:hint="eastAsia"/>
          <w:b/>
          <w:sz w:val="44"/>
        </w:rPr>
      </w:pPr>
      <w:r>
        <w:rPr>
          <w:rFonts w:ascii="微软雅黑" w:eastAsia="微软雅黑" w:hint="eastAsia"/>
          <w:b/>
          <w:sz w:val="44"/>
        </w:rPr>
        <w:t>第壹部分投标人须知</w:t>
      </w:r>
    </w:p>
    <w:p>
      <w:pPr>
        <w:pStyle w:val="Heading1"/>
        <w:spacing w:before="46"/>
        <w:ind w:left="401"/>
      </w:pPr>
      <w:r>
        <w:t>壹、投标人须知前附表</w:t>
      </w:r>
    </w:p>
    <w:p>
      <w:pPr>
        <w:pStyle w:val="BodyText"/>
        <w:rPr>
          <w:rFonts w:ascii="微软雅黑"/>
          <w:b/>
          <w:sz w:val="20"/>
        </w:rPr>
      </w:pPr>
    </w:p>
    <w:p>
      <w:pPr>
        <w:pStyle w:val="BodyText"/>
        <w:spacing w:before="3"/>
        <w:rPr>
          <w:rFonts w:ascii="微软雅黑"/>
          <w:b/>
          <w:sz w:val="22"/>
        </w:rPr>
      </w:pPr>
    </w:p>
    <w:tbl>
      <w:tblPr>
        <w:tblStyle w:val="TableNormal0"/>
        <w:tblW w:w="0" w:type="auto"/>
        <w:jc w:val="left"/>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8"/>
        <w:gridCol w:w="651"/>
        <w:gridCol w:w="2291"/>
        <w:gridCol w:w="5803"/>
      </w:tblGrid>
      <w:tr>
        <w:tblPrEx>
          <w:tblW w:w="0" w:type="auto"/>
          <w:jc w:val="left"/>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96"/>
          <w:jc w:val="left"/>
        </w:trPr>
        <w:tc>
          <w:tcPr>
            <w:tcW w:w="498" w:type="dxa"/>
          </w:tcPr>
          <w:p>
            <w:pPr>
              <w:pStyle w:val="TableParagraph"/>
              <w:spacing w:before="157"/>
              <w:ind w:right="118"/>
              <w:jc w:val="right"/>
              <w:rPr>
                <w:sz w:val="24"/>
              </w:rPr>
            </w:pPr>
            <w:r>
              <w:rPr>
                <w:sz w:val="24"/>
              </w:rPr>
              <w:t>项</w:t>
            </w:r>
          </w:p>
        </w:tc>
        <w:tc>
          <w:tcPr>
            <w:tcW w:w="651" w:type="dxa"/>
          </w:tcPr>
          <w:p>
            <w:pPr>
              <w:pStyle w:val="TableParagraph"/>
              <w:spacing w:before="157"/>
              <w:ind w:left="205"/>
              <w:rPr>
                <w:sz w:val="24"/>
              </w:rPr>
            </w:pPr>
            <w:r>
              <w:rPr>
                <w:sz w:val="24"/>
              </w:rPr>
              <w:t>条</w:t>
            </w:r>
          </w:p>
        </w:tc>
        <w:tc>
          <w:tcPr>
            <w:tcW w:w="2291" w:type="dxa"/>
          </w:tcPr>
          <w:p>
            <w:pPr>
              <w:pStyle w:val="TableParagraph"/>
              <w:spacing w:before="16"/>
              <w:rPr>
                <w:rFonts w:ascii="微软雅黑"/>
                <w:b/>
                <w:sz w:val="15"/>
              </w:rPr>
            </w:pPr>
          </w:p>
          <w:p>
            <w:pPr>
              <w:pStyle w:val="TableParagraph"/>
              <w:spacing w:before="1"/>
              <w:ind w:left="405" w:right="395"/>
              <w:jc w:val="center"/>
              <w:rPr>
                <w:sz w:val="24"/>
              </w:rPr>
            </w:pPr>
            <w:r>
              <w:rPr>
                <w:sz w:val="24"/>
              </w:rPr>
              <w:t>内容</w:t>
            </w:r>
          </w:p>
        </w:tc>
        <w:tc>
          <w:tcPr>
            <w:tcW w:w="5803" w:type="dxa"/>
          </w:tcPr>
          <w:p>
            <w:pPr>
              <w:pStyle w:val="TableParagraph"/>
              <w:spacing w:before="16"/>
              <w:rPr>
                <w:rFonts w:ascii="微软雅黑"/>
                <w:b/>
                <w:sz w:val="15"/>
              </w:rPr>
            </w:pPr>
          </w:p>
          <w:p>
            <w:pPr>
              <w:pStyle w:val="TableParagraph"/>
              <w:spacing w:before="1"/>
              <w:ind w:left="2281" w:right="2271"/>
              <w:jc w:val="center"/>
              <w:rPr>
                <w:sz w:val="24"/>
              </w:rPr>
            </w:pPr>
            <w:r>
              <w:rPr>
                <w:sz w:val="24"/>
              </w:rPr>
              <w:t>说明和要求</w:t>
            </w:r>
          </w:p>
        </w:tc>
      </w:tr>
      <w:tr>
        <w:tblPrEx>
          <w:tblW w:w="0" w:type="auto"/>
          <w:jc w:val="left"/>
          <w:tblInd w:w="596" w:type="dxa"/>
          <w:tblLayout w:type="fixed"/>
          <w:tblCellMar>
            <w:top w:w="0" w:type="dxa"/>
            <w:left w:w="0" w:type="dxa"/>
            <w:bottom w:w="0" w:type="dxa"/>
            <w:right w:w="0" w:type="dxa"/>
          </w:tblCellMar>
          <w:tblLook w:val="01E0"/>
        </w:tblPrEx>
        <w:trPr>
          <w:trHeight w:val="896"/>
          <w:jc w:val="left"/>
        </w:trPr>
        <w:tc>
          <w:tcPr>
            <w:tcW w:w="498" w:type="dxa"/>
          </w:tcPr>
          <w:p>
            <w:pPr>
              <w:pStyle w:val="TableParagraph"/>
              <w:spacing w:before="16"/>
              <w:rPr>
                <w:rFonts w:ascii="微软雅黑"/>
                <w:b/>
                <w:sz w:val="15"/>
              </w:rPr>
            </w:pPr>
          </w:p>
          <w:p>
            <w:pPr>
              <w:pStyle w:val="TableParagraph"/>
              <w:spacing w:before="1"/>
              <w:ind w:right="178"/>
              <w:jc w:val="right"/>
              <w:rPr>
                <w:sz w:val="24"/>
              </w:rPr>
            </w:pPr>
            <w:r>
              <w:rPr>
                <w:sz w:val="24"/>
              </w:rPr>
              <w:t>1</w:t>
            </w:r>
          </w:p>
        </w:tc>
        <w:tc>
          <w:tcPr>
            <w:tcW w:w="651" w:type="dxa"/>
          </w:tcPr>
          <w:p>
            <w:pPr>
              <w:pStyle w:val="TableParagraph"/>
              <w:rPr>
                <w:rFonts w:ascii="Times New Roman"/>
                <w:sz w:val="30"/>
              </w:rPr>
            </w:pPr>
          </w:p>
        </w:tc>
        <w:tc>
          <w:tcPr>
            <w:tcW w:w="2291" w:type="dxa"/>
          </w:tcPr>
          <w:p>
            <w:pPr>
              <w:pStyle w:val="TableParagraph"/>
              <w:spacing w:before="16"/>
              <w:rPr>
                <w:rFonts w:ascii="微软雅黑"/>
                <w:b/>
                <w:sz w:val="15"/>
              </w:rPr>
            </w:pPr>
          </w:p>
          <w:p>
            <w:pPr>
              <w:pStyle w:val="TableParagraph"/>
              <w:spacing w:before="1"/>
              <w:ind w:left="405" w:right="395"/>
              <w:jc w:val="center"/>
              <w:rPr>
                <w:sz w:val="24"/>
              </w:rPr>
            </w:pPr>
            <w:r>
              <w:rPr>
                <w:sz w:val="24"/>
              </w:rPr>
              <w:t>工程项目名称</w:t>
            </w:r>
          </w:p>
        </w:tc>
        <w:tc>
          <w:tcPr>
            <w:tcW w:w="5803" w:type="dxa"/>
          </w:tcPr>
          <w:p>
            <w:pPr>
              <w:pStyle w:val="TableParagraph"/>
              <w:spacing w:before="16"/>
              <w:rPr>
                <w:rFonts w:ascii="微软雅黑"/>
                <w:b/>
                <w:sz w:val="15"/>
              </w:rPr>
            </w:pPr>
          </w:p>
          <w:p>
            <w:pPr>
              <w:pStyle w:val="TableParagraph"/>
              <w:spacing w:before="1"/>
              <w:ind w:left="347"/>
              <w:rPr>
                <w:sz w:val="24"/>
              </w:rPr>
            </w:pPr>
            <w:r>
              <w:rPr>
                <w:sz w:val="24"/>
              </w:rPr>
              <w:t>仙游县城区绿化养护管理工程</w:t>
            </w:r>
          </w:p>
        </w:tc>
      </w:tr>
      <w:tr>
        <w:tblPrEx>
          <w:tblW w:w="0" w:type="auto"/>
          <w:jc w:val="left"/>
          <w:tblInd w:w="596" w:type="dxa"/>
          <w:tblLayout w:type="fixed"/>
          <w:tblCellMar>
            <w:top w:w="0" w:type="dxa"/>
            <w:left w:w="0" w:type="dxa"/>
            <w:bottom w:w="0" w:type="dxa"/>
            <w:right w:w="0" w:type="dxa"/>
          </w:tblCellMar>
          <w:tblLook w:val="01E0"/>
        </w:tblPrEx>
        <w:trPr>
          <w:trHeight w:val="896"/>
          <w:jc w:val="left"/>
        </w:trPr>
        <w:tc>
          <w:tcPr>
            <w:tcW w:w="498" w:type="dxa"/>
          </w:tcPr>
          <w:p>
            <w:pPr>
              <w:pStyle w:val="TableParagraph"/>
              <w:spacing w:before="16"/>
              <w:rPr>
                <w:rFonts w:ascii="微软雅黑"/>
                <w:b/>
                <w:sz w:val="15"/>
              </w:rPr>
            </w:pPr>
          </w:p>
          <w:p>
            <w:pPr>
              <w:pStyle w:val="TableParagraph"/>
              <w:spacing w:before="1"/>
              <w:ind w:right="178"/>
              <w:jc w:val="right"/>
              <w:rPr>
                <w:sz w:val="24"/>
              </w:rPr>
            </w:pPr>
            <w:r>
              <w:rPr>
                <w:sz w:val="24"/>
              </w:rPr>
              <w:t>2</w:t>
            </w:r>
          </w:p>
        </w:tc>
        <w:tc>
          <w:tcPr>
            <w:tcW w:w="651" w:type="dxa"/>
          </w:tcPr>
          <w:p>
            <w:pPr>
              <w:pStyle w:val="TableParagraph"/>
              <w:rPr>
                <w:rFonts w:ascii="Times New Roman"/>
                <w:sz w:val="30"/>
              </w:rPr>
            </w:pPr>
          </w:p>
        </w:tc>
        <w:tc>
          <w:tcPr>
            <w:tcW w:w="2291" w:type="dxa"/>
          </w:tcPr>
          <w:p>
            <w:pPr>
              <w:pStyle w:val="TableParagraph"/>
              <w:spacing w:before="16"/>
              <w:rPr>
                <w:rFonts w:ascii="微软雅黑"/>
                <w:b/>
                <w:sz w:val="15"/>
              </w:rPr>
            </w:pPr>
          </w:p>
          <w:p>
            <w:pPr>
              <w:pStyle w:val="TableParagraph"/>
              <w:spacing w:before="1"/>
              <w:ind w:left="405" w:right="395"/>
              <w:jc w:val="center"/>
              <w:rPr>
                <w:sz w:val="24"/>
              </w:rPr>
            </w:pPr>
            <w:r>
              <w:rPr>
                <w:sz w:val="24"/>
              </w:rPr>
              <w:t>养护地点</w:t>
            </w:r>
          </w:p>
        </w:tc>
        <w:tc>
          <w:tcPr>
            <w:tcW w:w="5803" w:type="dxa"/>
          </w:tcPr>
          <w:p>
            <w:pPr>
              <w:pStyle w:val="TableParagraph"/>
              <w:spacing w:before="18"/>
              <w:rPr>
                <w:rFonts w:ascii="微软雅黑"/>
                <w:b/>
                <w:sz w:val="16"/>
              </w:rPr>
            </w:pPr>
          </w:p>
          <w:p>
            <w:pPr>
              <w:pStyle w:val="TableParagraph"/>
              <w:ind w:left="347"/>
              <w:rPr>
                <w:sz w:val="24"/>
              </w:rPr>
            </w:pPr>
            <w:r>
              <w:rPr>
                <w:sz w:val="24"/>
              </w:rPr>
              <w:t>仙游县城区</w:t>
            </w:r>
          </w:p>
        </w:tc>
      </w:tr>
      <w:tr>
        <w:tblPrEx>
          <w:tblW w:w="0" w:type="auto"/>
          <w:jc w:val="left"/>
          <w:tblInd w:w="596" w:type="dxa"/>
          <w:tblLayout w:type="fixed"/>
          <w:tblCellMar>
            <w:top w:w="0" w:type="dxa"/>
            <w:left w:w="0" w:type="dxa"/>
            <w:bottom w:w="0" w:type="dxa"/>
            <w:right w:w="0" w:type="dxa"/>
          </w:tblCellMar>
          <w:tblLook w:val="01E0"/>
        </w:tblPrEx>
        <w:trPr>
          <w:trHeight w:val="897"/>
          <w:jc w:val="left"/>
        </w:trPr>
        <w:tc>
          <w:tcPr>
            <w:tcW w:w="498" w:type="dxa"/>
          </w:tcPr>
          <w:p>
            <w:pPr>
              <w:pStyle w:val="TableParagraph"/>
              <w:spacing w:before="16"/>
              <w:rPr>
                <w:rFonts w:ascii="微软雅黑"/>
                <w:b/>
                <w:sz w:val="15"/>
              </w:rPr>
            </w:pPr>
          </w:p>
          <w:p>
            <w:pPr>
              <w:pStyle w:val="TableParagraph"/>
              <w:spacing w:before="1"/>
              <w:ind w:right="178"/>
              <w:jc w:val="right"/>
              <w:rPr>
                <w:sz w:val="24"/>
              </w:rPr>
            </w:pPr>
            <w:r>
              <w:rPr>
                <w:sz w:val="24"/>
              </w:rPr>
              <w:t>3</w:t>
            </w:r>
          </w:p>
        </w:tc>
        <w:tc>
          <w:tcPr>
            <w:tcW w:w="651" w:type="dxa"/>
          </w:tcPr>
          <w:p>
            <w:pPr>
              <w:pStyle w:val="TableParagraph"/>
              <w:rPr>
                <w:rFonts w:ascii="Times New Roman"/>
                <w:sz w:val="30"/>
              </w:rPr>
            </w:pPr>
          </w:p>
        </w:tc>
        <w:tc>
          <w:tcPr>
            <w:tcW w:w="2291" w:type="dxa"/>
          </w:tcPr>
          <w:p>
            <w:pPr>
              <w:pStyle w:val="TableParagraph"/>
              <w:spacing w:before="16"/>
              <w:rPr>
                <w:rFonts w:ascii="微软雅黑"/>
                <w:b/>
                <w:sz w:val="15"/>
              </w:rPr>
            </w:pPr>
          </w:p>
          <w:p>
            <w:pPr>
              <w:pStyle w:val="TableParagraph"/>
              <w:spacing w:before="1"/>
              <w:ind w:left="405" w:right="395"/>
              <w:jc w:val="center"/>
              <w:rPr>
                <w:sz w:val="24"/>
              </w:rPr>
            </w:pPr>
            <w:r>
              <w:rPr>
                <w:sz w:val="24"/>
              </w:rPr>
              <w:t>养护规模</w:t>
            </w:r>
          </w:p>
        </w:tc>
        <w:tc>
          <w:tcPr>
            <w:tcW w:w="5803" w:type="dxa"/>
          </w:tcPr>
          <w:p>
            <w:pPr>
              <w:pStyle w:val="TableParagraph"/>
              <w:spacing w:before="16"/>
              <w:rPr>
                <w:rFonts w:ascii="微软雅黑"/>
                <w:b/>
                <w:sz w:val="15"/>
              </w:rPr>
            </w:pPr>
          </w:p>
          <w:p>
            <w:pPr>
              <w:pStyle w:val="TableParagraph"/>
              <w:spacing w:before="1"/>
              <w:ind w:left="347"/>
              <w:rPr>
                <w:sz w:val="24"/>
              </w:rPr>
            </w:pPr>
            <w:r>
              <w:rPr>
                <w:sz w:val="24"/>
              </w:rPr>
              <w:t>47040.5㎡</w:t>
            </w:r>
          </w:p>
        </w:tc>
      </w:tr>
      <w:tr>
        <w:tblPrEx>
          <w:tblW w:w="0" w:type="auto"/>
          <w:jc w:val="left"/>
          <w:tblInd w:w="596" w:type="dxa"/>
          <w:tblLayout w:type="fixed"/>
          <w:tblCellMar>
            <w:top w:w="0" w:type="dxa"/>
            <w:left w:w="0" w:type="dxa"/>
            <w:bottom w:w="0" w:type="dxa"/>
            <w:right w:w="0" w:type="dxa"/>
          </w:tblCellMar>
          <w:tblLook w:val="01E0"/>
        </w:tblPrEx>
        <w:trPr>
          <w:trHeight w:val="897"/>
          <w:jc w:val="left"/>
        </w:trPr>
        <w:tc>
          <w:tcPr>
            <w:tcW w:w="498" w:type="dxa"/>
          </w:tcPr>
          <w:p>
            <w:pPr>
              <w:pStyle w:val="TableParagraph"/>
              <w:spacing w:before="16"/>
              <w:rPr>
                <w:rFonts w:ascii="微软雅黑"/>
                <w:b/>
                <w:sz w:val="15"/>
              </w:rPr>
            </w:pPr>
          </w:p>
          <w:p>
            <w:pPr>
              <w:pStyle w:val="TableParagraph"/>
              <w:spacing w:before="1"/>
              <w:ind w:right="178"/>
              <w:jc w:val="right"/>
              <w:rPr>
                <w:sz w:val="24"/>
              </w:rPr>
            </w:pPr>
            <w:r>
              <w:rPr>
                <w:sz w:val="24"/>
              </w:rPr>
              <w:t>4</w:t>
            </w:r>
          </w:p>
        </w:tc>
        <w:tc>
          <w:tcPr>
            <w:tcW w:w="651" w:type="dxa"/>
          </w:tcPr>
          <w:p>
            <w:pPr>
              <w:pStyle w:val="TableParagraph"/>
              <w:rPr>
                <w:rFonts w:ascii="Times New Roman"/>
                <w:sz w:val="30"/>
              </w:rPr>
            </w:pPr>
          </w:p>
        </w:tc>
        <w:tc>
          <w:tcPr>
            <w:tcW w:w="2291" w:type="dxa"/>
          </w:tcPr>
          <w:p>
            <w:pPr>
              <w:pStyle w:val="TableParagraph"/>
              <w:spacing w:before="16"/>
              <w:rPr>
                <w:rFonts w:ascii="微软雅黑"/>
                <w:b/>
                <w:sz w:val="15"/>
              </w:rPr>
            </w:pPr>
          </w:p>
          <w:p>
            <w:pPr>
              <w:pStyle w:val="TableParagraph"/>
              <w:spacing w:before="1"/>
              <w:ind w:left="405" w:right="395"/>
              <w:jc w:val="center"/>
              <w:rPr>
                <w:sz w:val="24"/>
              </w:rPr>
            </w:pPr>
            <w:r>
              <w:rPr>
                <w:sz w:val="24"/>
              </w:rPr>
              <w:t>承包方式</w:t>
            </w:r>
          </w:p>
        </w:tc>
        <w:tc>
          <w:tcPr>
            <w:tcW w:w="5803" w:type="dxa"/>
          </w:tcPr>
          <w:p>
            <w:pPr>
              <w:pStyle w:val="TableParagraph"/>
              <w:spacing w:before="16"/>
              <w:rPr>
                <w:rFonts w:ascii="微软雅黑"/>
                <w:b/>
                <w:sz w:val="15"/>
              </w:rPr>
            </w:pPr>
          </w:p>
          <w:p>
            <w:pPr>
              <w:pStyle w:val="TableParagraph"/>
              <w:spacing w:before="1"/>
              <w:ind w:left="108"/>
              <w:rPr>
                <w:sz w:val="24"/>
              </w:rPr>
            </w:pPr>
            <w:r>
              <w:rPr>
                <w:sz w:val="24"/>
              </w:rPr>
              <w:t>包工包料</w:t>
            </w:r>
          </w:p>
        </w:tc>
      </w:tr>
      <w:tr>
        <w:tblPrEx>
          <w:tblW w:w="0" w:type="auto"/>
          <w:jc w:val="left"/>
          <w:tblInd w:w="596" w:type="dxa"/>
          <w:tblLayout w:type="fixed"/>
          <w:tblCellMar>
            <w:top w:w="0" w:type="dxa"/>
            <w:left w:w="0" w:type="dxa"/>
            <w:bottom w:w="0" w:type="dxa"/>
            <w:right w:w="0" w:type="dxa"/>
          </w:tblCellMar>
          <w:tblLook w:val="01E0"/>
        </w:tblPrEx>
        <w:trPr>
          <w:trHeight w:val="897"/>
          <w:jc w:val="left"/>
        </w:trPr>
        <w:tc>
          <w:tcPr>
            <w:tcW w:w="498" w:type="dxa"/>
          </w:tcPr>
          <w:p>
            <w:pPr>
              <w:pStyle w:val="TableParagraph"/>
              <w:spacing w:before="16"/>
              <w:rPr>
                <w:rFonts w:ascii="微软雅黑"/>
                <w:b/>
                <w:sz w:val="15"/>
              </w:rPr>
            </w:pPr>
          </w:p>
          <w:p>
            <w:pPr>
              <w:pStyle w:val="TableParagraph"/>
              <w:spacing w:before="1"/>
              <w:ind w:right="178"/>
              <w:jc w:val="right"/>
              <w:rPr>
                <w:sz w:val="24"/>
              </w:rPr>
            </w:pPr>
            <w:r>
              <w:rPr>
                <w:sz w:val="24"/>
              </w:rPr>
              <w:t>5</w:t>
            </w:r>
          </w:p>
        </w:tc>
        <w:tc>
          <w:tcPr>
            <w:tcW w:w="651" w:type="dxa"/>
          </w:tcPr>
          <w:p>
            <w:pPr>
              <w:pStyle w:val="TableParagraph"/>
              <w:rPr>
                <w:rFonts w:ascii="Times New Roman"/>
                <w:sz w:val="30"/>
              </w:rPr>
            </w:pPr>
          </w:p>
        </w:tc>
        <w:tc>
          <w:tcPr>
            <w:tcW w:w="2291" w:type="dxa"/>
          </w:tcPr>
          <w:p>
            <w:pPr>
              <w:pStyle w:val="TableParagraph"/>
              <w:spacing w:before="16"/>
              <w:rPr>
                <w:rFonts w:ascii="微软雅黑"/>
                <w:b/>
                <w:sz w:val="15"/>
              </w:rPr>
            </w:pPr>
          </w:p>
          <w:p>
            <w:pPr>
              <w:pStyle w:val="TableParagraph"/>
              <w:spacing w:before="1"/>
              <w:ind w:left="405" w:right="395"/>
              <w:jc w:val="center"/>
              <w:rPr>
                <w:sz w:val="24"/>
              </w:rPr>
            </w:pPr>
            <w:r>
              <w:rPr>
                <w:sz w:val="24"/>
              </w:rPr>
              <w:t>养护质量</w:t>
            </w:r>
          </w:p>
        </w:tc>
        <w:tc>
          <w:tcPr>
            <w:tcW w:w="5803" w:type="dxa"/>
          </w:tcPr>
          <w:p>
            <w:pPr>
              <w:pStyle w:val="TableParagraph"/>
              <w:spacing w:before="16"/>
              <w:rPr>
                <w:rFonts w:ascii="微软雅黑"/>
                <w:b/>
                <w:sz w:val="15"/>
              </w:rPr>
            </w:pPr>
          </w:p>
          <w:p>
            <w:pPr>
              <w:pStyle w:val="TableParagraph"/>
              <w:spacing w:before="1"/>
              <w:ind w:left="347"/>
              <w:rPr>
                <w:sz w:val="24"/>
              </w:rPr>
            </w:pPr>
            <w:r>
              <w:rPr>
                <w:sz w:val="24"/>
              </w:rPr>
              <w:t>达到仙游县园林地化养护管理标准</w:t>
            </w:r>
          </w:p>
        </w:tc>
      </w:tr>
      <w:tr>
        <w:tblPrEx>
          <w:tblW w:w="0" w:type="auto"/>
          <w:jc w:val="left"/>
          <w:tblInd w:w="596" w:type="dxa"/>
          <w:tblLayout w:type="fixed"/>
          <w:tblCellMar>
            <w:top w:w="0" w:type="dxa"/>
            <w:left w:w="0" w:type="dxa"/>
            <w:bottom w:w="0" w:type="dxa"/>
            <w:right w:w="0" w:type="dxa"/>
          </w:tblCellMar>
          <w:tblLook w:val="01E0"/>
        </w:tblPrEx>
        <w:trPr>
          <w:trHeight w:val="897"/>
          <w:jc w:val="left"/>
        </w:trPr>
        <w:tc>
          <w:tcPr>
            <w:tcW w:w="498" w:type="dxa"/>
          </w:tcPr>
          <w:p>
            <w:pPr>
              <w:pStyle w:val="TableParagraph"/>
              <w:spacing w:before="16"/>
              <w:rPr>
                <w:rFonts w:ascii="微软雅黑"/>
                <w:b/>
                <w:sz w:val="15"/>
              </w:rPr>
            </w:pPr>
          </w:p>
          <w:p>
            <w:pPr>
              <w:pStyle w:val="TableParagraph"/>
              <w:spacing w:before="1"/>
              <w:ind w:right="177"/>
              <w:jc w:val="right"/>
              <w:rPr>
                <w:sz w:val="24"/>
              </w:rPr>
            </w:pPr>
            <w:r>
              <w:rPr>
                <w:w w:val="99"/>
                <w:sz w:val="24"/>
              </w:rPr>
              <w:t>6</w:t>
            </w:r>
          </w:p>
        </w:tc>
        <w:tc>
          <w:tcPr>
            <w:tcW w:w="651" w:type="dxa"/>
          </w:tcPr>
          <w:p>
            <w:pPr>
              <w:pStyle w:val="TableParagraph"/>
              <w:rPr>
                <w:rFonts w:ascii="Times New Roman"/>
                <w:sz w:val="30"/>
              </w:rPr>
            </w:pPr>
          </w:p>
        </w:tc>
        <w:tc>
          <w:tcPr>
            <w:tcW w:w="2291" w:type="dxa"/>
          </w:tcPr>
          <w:p>
            <w:pPr>
              <w:pStyle w:val="TableParagraph"/>
              <w:spacing w:before="16"/>
              <w:rPr>
                <w:rFonts w:ascii="微软雅黑"/>
                <w:b/>
                <w:sz w:val="15"/>
              </w:rPr>
            </w:pPr>
          </w:p>
          <w:p>
            <w:pPr>
              <w:pStyle w:val="TableParagraph"/>
              <w:spacing w:before="1"/>
              <w:ind w:left="405" w:right="395"/>
              <w:jc w:val="center"/>
              <w:rPr>
                <w:sz w:val="24"/>
              </w:rPr>
            </w:pPr>
            <w:r>
              <w:rPr>
                <w:sz w:val="24"/>
              </w:rPr>
              <w:t>招标范围</w:t>
            </w:r>
          </w:p>
        </w:tc>
        <w:tc>
          <w:tcPr>
            <w:tcW w:w="5803" w:type="dxa"/>
          </w:tcPr>
          <w:p>
            <w:pPr>
              <w:pStyle w:val="TableParagraph"/>
              <w:spacing w:before="16"/>
              <w:rPr>
                <w:rFonts w:ascii="微软雅黑"/>
                <w:b/>
                <w:sz w:val="15"/>
              </w:rPr>
            </w:pPr>
          </w:p>
          <w:p>
            <w:pPr>
              <w:pStyle w:val="TableParagraph"/>
              <w:spacing w:before="1"/>
              <w:ind w:left="347"/>
              <w:rPr>
                <w:sz w:val="24"/>
              </w:rPr>
            </w:pPr>
            <w:r>
              <w:rPr>
                <w:sz w:val="24"/>
              </w:rPr>
              <w:t>按养护量清单</w:t>
            </w:r>
          </w:p>
        </w:tc>
      </w:tr>
    </w:tbl>
    <w:p>
      <w:pPr>
        <w:spacing w:after="0"/>
        <w:rPr>
          <w:sz w:val="24"/>
        </w:rPr>
        <w:sectPr>
          <w:pgSz w:w="11910" w:h="16840"/>
          <w:pgMar w:top="1420" w:right="720" w:bottom="280" w:left="740" w:header="708" w:footer="708"/>
          <w:pgNumType w:start="3"/>
          <w:cols w:space="708"/>
        </w:sectPr>
      </w:pPr>
    </w:p>
    <w:tbl>
      <w:tblPr>
        <w:tblStyle w:val="TableNormal1"/>
        <w:tblW w:w="0" w:type="auto"/>
        <w:jc w:val="left"/>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
        <w:gridCol w:w="237"/>
        <w:gridCol w:w="262"/>
        <w:gridCol w:w="390"/>
        <w:gridCol w:w="434"/>
        <w:gridCol w:w="1858"/>
        <w:gridCol w:w="447"/>
        <w:gridCol w:w="5405"/>
      </w:tblGrid>
      <w:tr>
        <w:tblPrEx>
          <w:tblW w:w="0" w:type="auto"/>
          <w:jc w:val="left"/>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96"/>
          <w:jc w:val="left"/>
        </w:trPr>
        <w:tc>
          <w:tcPr>
            <w:tcW w:w="499" w:type="dxa"/>
            <w:gridSpan w:val="2"/>
          </w:tcPr>
          <w:p>
            <w:pPr>
              <w:pStyle w:val="TableParagraph"/>
              <w:spacing w:before="16"/>
              <w:rPr>
                <w:rFonts w:ascii="微软雅黑"/>
                <w:b/>
                <w:sz w:val="15"/>
              </w:rPr>
            </w:pPr>
          </w:p>
          <w:p>
            <w:pPr>
              <w:pStyle w:val="TableParagraph"/>
              <w:spacing w:before="1"/>
              <w:ind w:left="9"/>
              <w:jc w:val="center"/>
              <w:rPr>
                <w:sz w:val="24"/>
              </w:rPr>
            </w:pPr>
            <w:r>
              <w:rPr>
                <w:sz w:val="24"/>
              </w:rPr>
              <w:t>7</w:t>
            </w:r>
          </w:p>
        </w:tc>
        <w:tc>
          <w:tcPr>
            <w:tcW w:w="652" w:type="dxa"/>
            <w:gridSpan w:val="2"/>
          </w:tcPr>
          <w:p>
            <w:pPr>
              <w:pStyle w:val="TableParagraph"/>
              <w:rPr>
                <w:rFonts w:ascii="Times New Roman"/>
                <w:sz w:val="24"/>
              </w:rPr>
            </w:pPr>
          </w:p>
        </w:tc>
        <w:tc>
          <w:tcPr>
            <w:tcW w:w="2292" w:type="dxa"/>
            <w:gridSpan w:val="2"/>
          </w:tcPr>
          <w:p>
            <w:pPr>
              <w:pStyle w:val="TableParagraph"/>
              <w:spacing w:before="16"/>
              <w:rPr>
                <w:rFonts w:ascii="微软雅黑"/>
                <w:b/>
                <w:sz w:val="15"/>
              </w:rPr>
            </w:pPr>
          </w:p>
          <w:p>
            <w:pPr>
              <w:pStyle w:val="TableParagraph"/>
              <w:spacing w:before="1"/>
              <w:ind w:left="663"/>
              <w:rPr>
                <w:sz w:val="24"/>
              </w:rPr>
            </w:pPr>
            <w:r>
              <w:rPr>
                <w:sz w:val="24"/>
              </w:rPr>
              <w:t>要求工期</w:t>
            </w:r>
          </w:p>
        </w:tc>
        <w:tc>
          <w:tcPr>
            <w:tcW w:w="5852" w:type="dxa"/>
            <w:gridSpan w:val="2"/>
          </w:tcPr>
          <w:p>
            <w:pPr>
              <w:pStyle w:val="TableParagraph"/>
              <w:spacing w:before="16"/>
              <w:rPr>
                <w:rFonts w:ascii="微软雅黑"/>
                <w:b/>
                <w:sz w:val="15"/>
              </w:rPr>
            </w:pPr>
          </w:p>
          <w:p>
            <w:pPr>
              <w:pStyle w:val="TableParagraph"/>
              <w:spacing w:before="1"/>
              <w:ind w:left="344"/>
              <w:rPr>
                <w:sz w:val="24"/>
              </w:rPr>
            </w:pPr>
            <w:r>
              <w:rPr>
                <w:sz w:val="24"/>
              </w:rPr>
              <w:t>养护总工期：</w:t>
            </w:r>
            <w:r>
              <w:rPr>
                <w:rFonts w:ascii="Times New Roman" w:eastAsia="Times New Roman"/>
                <w:sz w:val="24"/>
                <w:u w:val="single"/>
              </w:rPr>
              <w:t xml:space="preserve"> </w:t>
            </w:r>
            <w:r>
              <w:rPr>
                <w:sz w:val="24"/>
                <w:u w:val="single"/>
              </w:rPr>
              <w:t>三年</w:t>
            </w:r>
          </w:p>
        </w:tc>
      </w:tr>
      <w:tr>
        <w:tblPrEx>
          <w:tblW w:w="0" w:type="auto"/>
          <w:jc w:val="left"/>
          <w:tblInd w:w="598" w:type="dxa"/>
          <w:tblLayout w:type="fixed"/>
          <w:tblCellMar>
            <w:top w:w="0" w:type="dxa"/>
            <w:left w:w="0" w:type="dxa"/>
            <w:bottom w:w="0" w:type="dxa"/>
            <w:right w:w="0" w:type="dxa"/>
          </w:tblCellMar>
          <w:tblLook w:val="01E0"/>
        </w:tblPrEx>
        <w:trPr>
          <w:trHeight w:val="896"/>
          <w:jc w:val="left"/>
        </w:trPr>
        <w:tc>
          <w:tcPr>
            <w:tcW w:w="499" w:type="dxa"/>
            <w:gridSpan w:val="2"/>
          </w:tcPr>
          <w:p>
            <w:pPr>
              <w:pStyle w:val="TableParagraph"/>
              <w:spacing w:before="16"/>
              <w:rPr>
                <w:rFonts w:ascii="微软雅黑"/>
                <w:b/>
                <w:sz w:val="15"/>
              </w:rPr>
            </w:pPr>
          </w:p>
          <w:p>
            <w:pPr>
              <w:pStyle w:val="TableParagraph"/>
              <w:spacing w:before="1"/>
              <w:ind w:left="9"/>
              <w:jc w:val="center"/>
              <w:rPr>
                <w:sz w:val="24"/>
              </w:rPr>
            </w:pPr>
            <w:r>
              <w:rPr>
                <w:sz w:val="24"/>
              </w:rPr>
              <w:t>8</w:t>
            </w:r>
          </w:p>
        </w:tc>
        <w:tc>
          <w:tcPr>
            <w:tcW w:w="652" w:type="dxa"/>
            <w:gridSpan w:val="2"/>
          </w:tcPr>
          <w:p>
            <w:pPr>
              <w:pStyle w:val="TableParagraph"/>
              <w:rPr>
                <w:rFonts w:ascii="Times New Roman"/>
                <w:sz w:val="24"/>
              </w:rPr>
            </w:pPr>
          </w:p>
        </w:tc>
        <w:tc>
          <w:tcPr>
            <w:tcW w:w="2292" w:type="dxa"/>
            <w:gridSpan w:val="2"/>
          </w:tcPr>
          <w:p>
            <w:pPr>
              <w:pStyle w:val="TableParagraph"/>
              <w:spacing w:before="16"/>
              <w:rPr>
                <w:rFonts w:ascii="微软雅黑"/>
                <w:b/>
                <w:sz w:val="15"/>
              </w:rPr>
            </w:pPr>
          </w:p>
          <w:p>
            <w:pPr>
              <w:pStyle w:val="TableParagraph"/>
              <w:spacing w:before="1"/>
              <w:ind w:left="663"/>
              <w:rPr>
                <w:sz w:val="24"/>
              </w:rPr>
            </w:pPr>
            <w:r>
              <w:rPr>
                <w:sz w:val="24"/>
              </w:rPr>
              <w:t>资金来源</w:t>
            </w:r>
          </w:p>
        </w:tc>
        <w:tc>
          <w:tcPr>
            <w:tcW w:w="5852" w:type="dxa"/>
            <w:gridSpan w:val="2"/>
          </w:tcPr>
          <w:p>
            <w:pPr>
              <w:pStyle w:val="TableParagraph"/>
              <w:spacing w:before="16"/>
              <w:rPr>
                <w:rFonts w:ascii="微软雅黑"/>
                <w:b/>
                <w:sz w:val="15"/>
              </w:rPr>
            </w:pPr>
          </w:p>
          <w:p>
            <w:pPr>
              <w:pStyle w:val="TableParagraph"/>
              <w:spacing w:before="1"/>
              <w:ind w:left="344"/>
              <w:rPr>
                <w:sz w:val="24"/>
              </w:rPr>
            </w:pPr>
            <w:r>
              <w:rPr>
                <w:sz w:val="24"/>
              </w:rPr>
              <w:t>财政拨款</w:t>
            </w:r>
          </w:p>
        </w:tc>
      </w:tr>
      <w:tr>
        <w:tblPrEx>
          <w:tblW w:w="0" w:type="auto"/>
          <w:jc w:val="left"/>
          <w:tblInd w:w="598" w:type="dxa"/>
          <w:tblLayout w:type="fixed"/>
          <w:tblCellMar>
            <w:top w:w="0" w:type="dxa"/>
            <w:left w:w="0" w:type="dxa"/>
            <w:bottom w:w="0" w:type="dxa"/>
            <w:right w:w="0" w:type="dxa"/>
          </w:tblCellMar>
          <w:tblLook w:val="01E0"/>
        </w:tblPrEx>
        <w:trPr>
          <w:trHeight w:val="1326"/>
          <w:jc w:val="left"/>
        </w:trPr>
        <w:tc>
          <w:tcPr>
            <w:tcW w:w="499" w:type="dxa"/>
            <w:gridSpan w:val="2"/>
          </w:tcPr>
          <w:p>
            <w:pPr>
              <w:pStyle w:val="TableParagraph"/>
              <w:spacing w:before="10"/>
              <w:rPr>
                <w:rFonts w:ascii="微软雅黑"/>
                <w:b/>
                <w:sz w:val="27"/>
              </w:rPr>
            </w:pPr>
          </w:p>
          <w:p>
            <w:pPr>
              <w:pStyle w:val="TableParagraph"/>
              <w:ind w:left="9"/>
              <w:jc w:val="center"/>
              <w:rPr>
                <w:sz w:val="24"/>
              </w:rPr>
            </w:pPr>
            <w:r>
              <w:rPr>
                <w:sz w:val="24"/>
              </w:rPr>
              <w:t>9</w:t>
            </w:r>
          </w:p>
        </w:tc>
        <w:tc>
          <w:tcPr>
            <w:tcW w:w="652" w:type="dxa"/>
            <w:gridSpan w:val="2"/>
          </w:tcPr>
          <w:p>
            <w:pPr>
              <w:pStyle w:val="TableParagraph"/>
              <w:rPr>
                <w:rFonts w:ascii="Times New Roman"/>
                <w:sz w:val="24"/>
              </w:rPr>
            </w:pPr>
          </w:p>
        </w:tc>
        <w:tc>
          <w:tcPr>
            <w:tcW w:w="2292" w:type="dxa"/>
            <w:gridSpan w:val="2"/>
          </w:tcPr>
          <w:p>
            <w:pPr>
              <w:pStyle w:val="TableParagraph"/>
              <w:spacing w:before="196"/>
              <w:ind w:left="543"/>
              <w:rPr>
                <w:sz w:val="24"/>
              </w:rPr>
            </w:pPr>
            <w:r>
              <w:rPr>
                <w:sz w:val="24"/>
              </w:rPr>
              <w:t>投标人资质</w:t>
            </w:r>
          </w:p>
          <w:p>
            <w:pPr>
              <w:pStyle w:val="TableParagraph"/>
              <w:spacing w:before="3"/>
              <w:rPr>
                <w:rFonts w:ascii="微软雅黑"/>
                <w:b/>
                <w:sz w:val="17"/>
              </w:rPr>
            </w:pPr>
          </w:p>
          <w:p>
            <w:pPr>
              <w:pStyle w:val="TableParagraph"/>
              <w:ind w:left="663"/>
              <w:rPr>
                <w:sz w:val="24"/>
              </w:rPr>
            </w:pPr>
            <w:r>
              <w:rPr>
                <w:sz w:val="24"/>
              </w:rPr>
              <w:t>等级要求</w:t>
            </w:r>
          </w:p>
        </w:tc>
        <w:tc>
          <w:tcPr>
            <w:tcW w:w="5852" w:type="dxa"/>
            <w:gridSpan w:val="2"/>
          </w:tcPr>
          <w:p>
            <w:pPr>
              <w:pStyle w:val="TableParagraph"/>
              <w:spacing w:before="196"/>
              <w:ind w:left="105"/>
              <w:rPr>
                <w:sz w:val="24"/>
              </w:rPr>
            </w:pPr>
            <w:r>
              <w:rPr>
                <w:sz w:val="24"/>
              </w:rPr>
              <w:t>凡于莆田市内注册具有</w:t>
            </w:r>
            <w:r>
              <w:rPr>
                <w:sz w:val="24"/>
                <w:u w:val="single"/>
              </w:rPr>
              <w:t>园林绿化施工总承包三级及之</w:t>
            </w:r>
          </w:p>
          <w:p>
            <w:pPr>
              <w:pStyle w:val="TableParagraph"/>
              <w:spacing w:before="3"/>
              <w:rPr>
                <w:rFonts w:ascii="微软雅黑"/>
                <w:b/>
                <w:sz w:val="17"/>
              </w:rPr>
            </w:pPr>
          </w:p>
          <w:p>
            <w:pPr>
              <w:pStyle w:val="TableParagraph"/>
              <w:ind w:left="105"/>
              <w:rPr>
                <w:sz w:val="24"/>
              </w:rPr>
            </w:pPr>
            <w:r>
              <w:rPr>
                <w:sz w:val="24"/>
                <w:u w:val="single"/>
              </w:rPr>
              <w:t>上</w:t>
            </w:r>
            <w:r>
              <w:rPr>
                <w:sz w:val="24"/>
              </w:rPr>
              <w:t>资质且具有安全生产许可证的独立法人</w:t>
            </w:r>
          </w:p>
        </w:tc>
      </w:tr>
      <w:tr>
        <w:tblPrEx>
          <w:tblW w:w="0" w:type="auto"/>
          <w:jc w:val="left"/>
          <w:tblInd w:w="598" w:type="dxa"/>
          <w:tblLayout w:type="fixed"/>
          <w:tblCellMar>
            <w:top w:w="0" w:type="dxa"/>
            <w:left w:w="0" w:type="dxa"/>
            <w:bottom w:w="0" w:type="dxa"/>
            <w:right w:w="0" w:type="dxa"/>
          </w:tblCellMar>
          <w:tblLook w:val="01E0"/>
        </w:tblPrEx>
        <w:trPr>
          <w:trHeight w:val="787"/>
          <w:jc w:val="left"/>
        </w:trPr>
        <w:tc>
          <w:tcPr>
            <w:tcW w:w="499" w:type="dxa"/>
            <w:gridSpan w:val="2"/>
          </w:tcPr>
          <w:p>
            <w:pPr>
              <w:pStyle w:val="TableParagraph"/>
              <w:spacing w:before="17"/>
              <w:rPr>
                <w:rFonts w:ascii="微软雅黑"/>
                <w:b/>
                <w:sz w:val="12"/>
              </w:rPr>
            </w:pPr>
          </w:p>
          <w:p>
            <w:pPr>
              <w:pStyle w:val="TableParagraph"/>
              <w:ind w:left="129"/>
              <w:rPr>
                <w:sz w:val="24"/>
              </w:rPr>
            </w:pPr>
            <w:r>
              <w:rPr>
                <w:sz w:val="24"/>
              </w:rPr>
              <w:t>10</w:t>
            </w:r>
          </w:p>
        </w:tc>
        <w:tc>
          <w:tcPr>
            <w:tcW w:w="652" w:type="dxa"/>
            <w:gridSpan w:val="2"/>
          </w:tcPr>
          <w:p>
            <w:pPr>
              <w:pStyle w:val="TableParagraph"/>
              <w:rPr>
                <w:rFonts w:ascii="Times New Roman"/>
                <w:sz w:val="24"/>
              </w:rPr>
            </w:pPr>
          </w:p>
        </w:tc>
        <w:tc>
          <w:tcPr>
            <w:tcW w:w="2292" w:type="dxa"/>
            <w:gridSpan w:val="2"/>
          </w:tcPr>
          <w:p>
            <w:pPr>
              <w:pStyle w:val="TableParagraph"/>
              <w:spacing w:before="17"/>
              <w:rPr>
                <w:rFonts w:ascii="微软雅黑"/>
                <w:b/>
                <w:sz w:val="12"/>
              </w:rPr>
            </w:pPr>
          </w:p>
          <w:p>
            <w:pPr>
              <w:pStyle w:val="TableParagraph"/>
              <w:ind w:left="423"/>
              <w:rPr>
                <w:sz w:val="24"/>
              </w:rPr>
            </w:pPr>
            <w:r>
              <w:rPr>
                <w:sz w:val="24"/>
              </w:rPr>
              <w:t>资格审查方式</w:t>
            </w:r>
          </w:p>
        </w:tc>
        <w:tc>
          <w:tcPr>
            <w:tcW w:w="5852" w:type="dxa"/>
            <w:gridSpan w:val="2"/>
          </w:tcPr>
          <w:p>
            <w:pPr>
              <w:pStyle w:val="TableParagraph"/>
              <w:spacing w:before="17"/>
              <w:rPr>
                <w:rFonts w:ascii="微软雅黑"/>
                <w:b/>
                <w:sz w:val="12"/>
              </w:rPr>
            </w:pPr>
          </w:p>
          <w:p>
            <w:pPr>
              <w:pStyle w:val="TableParagraph"/>
              <w:ind w:left="344"/>
              <w:rPr>
                <w:sz w:val="24"/>
              </w:rPr>
            </w:pPr>
            <w:r>
              <w:rPr>
                <w:sz w:val="24"/>
              </w:rPr>
              <w:t>资格后审</w:t>
            </w:r>
          </w:p>
        </w:tc>
      </w:tr>
      <w:tr>
        <w:tblPrEx>
          <w:tblW w:w="0" w:type="auto"/>
          <w:jc w:val="left"/>
          <w:tblInd w:w="598" w:type="dxa"/>
          <w:tblLayout w:type="fixed"/>
          <w:tblCellMar>
            <w:top w:w="0" w:type="dxa"/>
            <w:left w:w="0" w:type="dxa"/>
            <w:bottom w:w="0" w:type="dxa"/>
            <w:right w:w="0" w:type="dxa"/>
          </w:tblCellMar>
          <w:tblLook w:val="01E0"/>
        </w:tblPrEx>
        <w:trPr>
          <w:trHeight w:val="765"/>
          <w:jc w:val="left"/>
        </w:trPr>
        <w:tc>
          <w:tcPr>
            <w:tcW w:w="499" w:type="dxa"/>
            <w:gridSpan w:val="2"/>
            <w:tcBorders>
              <w:bottom w:val="single" w:sz="12" w:space="0" w:color="000000"/>
            </w:tcBorders>
          </w:tcPr>
          <w:p>
            <w:pPr>
              <w:pStyle w:val="TableParagraph"/>
              <w:spacing w:before="230"/>
              <w:ind w:left="129"/>
              <w:rPr>
                <w:sz w:val="24"/>
              </w:rPr>
            </w:pPr>
            <w:r>
              <w:rPr>
                <w:sz w:val="24"/>
              </w:rPr>
              <w:t>11</w:t>
            </w:r>
          </w:p>
        </w:tc>
        <w:tc>
          <w:tcPr>
            <w:tcW w:w="652" w:type="dxa"/>
            <w:gridSpan w:val="2"/>
            <w:tcBorders>
              <w:bottom w:val="single" w:sz="12" w:space="0" w:color="000000"/>
            </w:tcBorders>
          </w:tcPr>
          <w:p>
            <w:pPr>
              <w:pStyle w:val="TableParagraph"/>
              <w:rPr>
                <w:rFonts w:ascii="Times New Roman"/>
                <w:sz w:val="24"/>
              </w:rPr>
            </w:pPr>
          </w:p>
        </w:tc>
        <w:tc>
          <w:tcPr>
            <w:tcW w:w="2292" w:type="dxa"/>
            <w:gridSpan w:val="2"/>
            <w:tcBorders>
              <w:bottom w:val="single" w:sz="12" w:space="0" w:color="000000"/>
            </w:tcBorders>
          </w:tcPr>
          <w:p>
            <w:pPr>
              <w:pStyle w:val="TableParagraph"/>
              <w:spacing w:before="230"/>
              <w:ind w:left="663"/>
              <w:rPr>
                <w:sz w:val="24"/>
              </w:rPr>
            </w:pPr>
            <w:r>
              <w:rPr>
                <w:sz w:val="24"/>
              </w:rPr>
              <w:t>踏勘现场</w:t>
            </w:r>
          </w:p>
        </w:tc>
        <w:tc>
          <w:tcPr>
            <w:tcW w:w="5852" w:type="dxa"/>
            <w:gridSpan w:val="2"/>
            <w:tcBorders>
              <w:bottom w:val="single" w:sz="12" w:space="0" w:color="000000"/>
            </w:tcBorders>
          </w:tcPr>
          <w:p>
            <w:pPr>
              <w:pStyle w:val="TableParagraph"/>
              <w:spacing w:before="157"/>
              <w:ind w:left="344"/>
              <w:rPr>
                <w:sz w:val="24"/>
              </w:rPr>
            </w:pPr>
            <w:r>
              <w:rPr>
                <w:sz w:val="24"/>
              </w:rPr>
              <w:t>招标人不组织投标预备会（答疑会）和踏勘项目现</w:t>
            </w:r>
          </w:p>
        </w:tc>
      </w:tr>
      <w:tr>
        <w:tblPrEx>
          <w:tblW w:w="0" w:type="auto"/>
          <w:jc w:val="left"/>
          <w:tblInd w:w="598" w:type="dxa"/>
          <w:tblLayout w:type="fixed"/>
          <w:tblCellMar>
            <w:top w:w="0" w:type="dxa"/>
            <w:left w:w="0" w:type="dxa"/>
            <w:bottom w:w="0" w:type="dxa"/>
            <w:right w:w="0" w:type="dxa"/>
          </w:tblCellMar>
          <w:tblLook w:val="01E0"/>
        </w:tblPrEx>
        <w:trPr>
          <w:trHeight w:val="821"/>
          <w:jc w:val="left"/>
        </w:trPr>
        <w:tc>
          <w:tcPr>
            <w:tcW w:w="262" w:type="dxa"/>
            <w:vMerge w:val="restart"/>
            <w:tcBorders>
              <w:left w:val="nil"/>
              <w:bottom w:val="nil"/>
            </w:tcBorders>
          </w:tcPr>
          <w:p>
            <w:pPr>
              <w:pStyle w:val="TableParagraph"/>
              <w:rPr>
                <w:rFonts w:ascii="Times New Roman"/>
                <w:sz w:val="24"/>
              </w:rPr>
            </w:pPr>
          </w:p>
        </w:tc>
        <w:tc>
          <w:tcPr>
            <w:tcW w:w="499" w:type="dxa"/>
            <w:gridSpan w:val="2"/>
            <w:tcBorders>
              <w:top w:val="single" w:sz="12" w:space="0" w:color="000000"/>
            </w:tcBorders>
          </w:tcPr>
          <w:p>
            <w:pPr>
              <w:pStyle w:val="TableParagraph"/>
              <w:spacing w:before="152"/>
              <w:ind w:left="128"/>
              <w:rPr>
                <w:sz w:val="24"/>
              </w:rPr>
            </w:pPr>
            <w:r>
              <w:rPr>
                <w:sz w:val="24"/>
              </w:rPr>
              <w:t>项</w:t>
            </w:r>
          </w:p>
        </w:tc>
        <w:tc>
          <w:tcPr>
            <w:tcW w:w="824" w:type="dxa"/>
            <w:gridSpan w:val="2"/>
            <w:tcBorders>
              <w:top w:val="single" w:sz="12" w:space="0" w:color="000000"/>
            </w:tcBorders>
          </w:tcPr>
          <w:p>
            <w:pPr>
              <w:pStyle w:val="TableParagraph"/>
              <w:spacing w:before="152"/>
              <w:ind w:left="170"/>
              <w:rPr>
                <w:sz w:val="24"/>
              </w:rPr>
            </w:pPr>
            <w:r>
              <w:rPr>
                <w:sz w:val="24"/>
              </w:rPr>
              <w:t>条款</w:t>
            </w:r>
          </w:p>
        </w:tc>
        <w:tc>
          <w:tcPr>
            <w:tcW w:w="2305" w:type="dxa"/>
            <w:gridSpan w:val="2"/>
            <w:tcBorders>
              <w:top w:val="single" w:sz="12" w:space="0" w:color="000000"/>
            </w:tcBorders>
          </w:tcPr>
          <w:p>
            <w:pPr>
              <w:pStyle w:val="TableParagraph"/>
              <w:spacing w:before="13"/>
              <w:rPr>
                <w:rFonts w:ascii="微软雅黑"/>
                <w:b/>
                <w:sz w:val="13"/>
              </w:rPr>
            </w:pPr>
          </w:p>
          <w:p>
            <w:pPr>
              <w:pStyle w:val="TableParagraph"/>
              <w:ind w:left="889" w:right="885"/>
              <w:jc w:val="center"/>
              <w:rPr>
                <w:sz w:val="24"/>
              </w:rPr>
            </w:pPr>
            <w:r>
              <w:rPr>
                <w:sz w:val="24"/>
              </w:rPr>
              <w:t>内容</w:t>
            </w:r>
          </w:p>
        </w:tc>
        <w:tc>
          <w:tcPr>
            <w:tcW w:w="5405" w:type="dxa"/>
            <w:tcBorders>
              <w:top w:val="single" w:sz="12" w:space="0" w:color="000000"/>
            </w:tcBorders>
          </w:tcPr>
          <w:p>
            <w:pPr>
              <w:pStyle w:val="TableParagraph"/>
              <w:spacing w:before="13"/>
              <w:rPr>
                <w:rFonts w:ascii="微软雅黑"/>
                <w:b/>
                <w:sz w:val="13"/>
              </w:rPr>
            </w:pPr>
          </w:p>
          <w:p>
            <w:pPr>
              <w:pStyle w:val="TableParagraph"/>
              <w:ind w:left="2078" w:right="2076"/>
              <w:jc w:val="center"/>
              <w:rPr>
                <w:sz w:val="24"/>
              </w:rPr>
            </w:pPr>
            <w:r>
              <w:rPr>
                <w:sz w:val="24"/>
              </w:rPr>
              <w:t>说明和要求</w:t>
            </w:r>
          </w:p>
        </w:tc>
      </w:tr>
      <w:tr>
        <w:tblPrEx>
          <w:tblW w:w="0" w:type="auto"/>
          <w:jc w:val="left"/>
          <w:tblInd w:w="598" w:type="dxa"/>
          <w:tblLayout w:type="fixed"/>
          <w:tblCellMar>
            <w:top w:w="0" w:type="dxa"/>
            <w:left w:w="0" w:type="dxa"/>
            <w:bottom w:w="0" w:type="dxa"/>
            <w:right w:w="0" w:type="dxa"/>
          </w:tblCellMar>
          <w:tblLook w:val="01E0"/>
        </w:tblPrEx>
        <w:trPr>
          <w:trHeight w:val="1959"/>
          <w:jc w:val="left"/>
        </w:trPr>
        <w:tc>
          <w:tcPr>
            <w:tcW w:w="262" w:type="dxa"/>
            <w:vMerge/>
            <w:tcBorders>
              <w:top w:val="nil"/>
              <w:left w:val="nil"/>
              <w:bottom w:val="nil"/>
            </w:tcBorders>
          </w:tcPr>
          <w:p>
            <w:pPr>
              <w:rPr>
                <w:sz w:val="2"/>
                <w:szCs w:val="2"/>
              </w:rPr>
            </w:pPr>
          </w:p>
        </w:tc>
        <w:tc>
          <w:tcPr>
            <w:tcW w:w="499" w:type="dxa"/>
            <w:gridSpan w:val="2"/>
          </w:tcPr>
          <w:p>
            <w:pPr>
              <w:pStyle w:val="TableParagraph"/>
              <w:rPr>
                <w:rFonts w:ascii="微软雅黑"/>
                <w:b/>
                <w:sz w:val="26"/>
              </w:rPr>
            </w:pPr>
          </w:p>
          <w:p>
            <w:pPr>
              <w:pStyle w:val="TableParagraph"/>
              <w:spacing w:before="13"/>
              <w:rPr>
                <w:rFonts w:ascii="微软雅黑"/>
                <w:b/>
                <w:sz w:val="18"/>
              </w:rPr>
            </w:pPr>
          </w:p>
          <w:p>
            <w:pPr>
              <w:pStyle w:val="TableParagraph"/>
              <w:ind w:left="128"/>
              <w:rPr>
                <w:sz w:val="24"/>
              </w:rPr>
            </w:pPr>
            <w:r>
              <w:rPr>
                <w:sz w:val="24"/>
              </w:rPr>
              <w:t>12</w:t>
            </w:r>
          </w:p>
        </w:tc>
        <w:tc>
          <w:tcPr>
            <w:tcW w:w="824" w:type="dxa"/>
            <w:gridSpan w:val="2"/>
          </w:tcPr>
          <w:p>
            <w:pPr>
              <w:pStyle w:val="TableParagraph"/>
              <w:rPr>
                <w:rFonts w:ascii="Times New Roman"/>
                <w:sz w:val="24"/>
              </w:rPr>
            </w:pPr>
          </w:p>
        </w:tc>
        <w:tc>
          <w:tcPr>
            <w:tcW w:w="2305" w:type="dxa"/>
            <w:gridSpan w:val="2"/>
          </w:tcPr>
          <w:p>
            <w:pPr>
              <w:pStyle w:val="TableParagraph"/>
              <w:rPr>
                <w:rFonts w:ascii="微软雅黑"/>
                <w:b/>
                <w:sz w:val="26"/>
              </w:rPr>
            </w:pPr>
          </w:p>
          <w:p>
            <w:pPr>
              <w:pStyle w:val="TableParagraph"/>
              <w:spacing w:before="13"/>
              <w:rPr>
                <w:rFonts w:ascii="微软雅黑"/>
                <w:b/>
                <w:sz w:val="18"/>
              </w:rPr>
            </w:pPr>
          </w:p>
          <w:p>
            <w:pPr>
              <w:pStyle w:val="TableParagraph"/>
              <w:ind w:left="309"/>
              <w:rPr>
                <w:sz w:val="24"/>
              </w:rPr>
            </w:pPr>
            <w:r>
              <w:rPr>
                <w:sz w:val="24"/>
              </w:rPr>
              <w:t>网上澄清和修改</w:t>
            </w:r>
          </w:p>
        </w:tc>
        <w:tc>
          <w:tcPr>
            <w:tcW w:w="5405" w:type="dxa"/>
          </w:tcPr>
          <w:p>
            <w:pPr>
              <w:pStyle w:val="TableParagraph"/>
              <w:spacing w:before="157"/>
              <w:ind w:left="464" w:right="-29"/>
              <w:rPr>
                <w:sz w:val="24"/>
              </w:rPr>
            </w:pPr>
            <w:r>
              <w:rPr>
                <w:spacing w:val="-10"/>
                <w:sz w:val="24"/>
              </w:rPr>
              <w:t>投标人对招标文件、养护量清单等存有异议的，</w:t>
            </w:r>
          </w:p>
          <w:p>
            <w:pPr>
              <w:pStyle w:val="TableParagraph"/>
              <w:spacing w:before="4" w:line="620" w:lineRule="atLeast"/>
              <w:ind w:left="104" w:right="100"/>
              <w:rPr>
                <w:sz w:val="24"/>
              </w:rPr>
            </w:pPr>
            <w:r>
              <w:rPr>
                <w:spacing w:val="-10"/>
                <w:sz w:val="24"/>
              </w:rPr>
              <w:t xml:space="preserve">可不署名于 </w:t>
            </w:r>
            <w:r>
              <w:rPr>
                <w:sz w:val="24"/>
                <w:u w:val="single"/>
              </w:rPr>
              <w:t>2009</w:t>
            </w:r>
            <w:r>
              <w:rPr>
                <w:spacing w:val="-40"/>
                <w:sz w:val="24"/>
              </w:rPr>
              <w:t xml:space="preserve"> 年 </w:t>
            </w:r>
            <w:r>
              <w:rPr>
                <w:sz w:val="24"/>
                <w:u w:val="single"/>
              </w:rPr>
              <w:t>2</w:t>
            </w:r>
            <w:r>
              <w:rPr>
                <w:spacing w:val="-40"/>
                <w:sz w:val="24"/>
              </w:rPr>
              <w:t xml:space="preserve"> 月 </w:t>
            </w:r>
            <w:r>
              <w:rPr>
                <w:sz w:val="24"/>
                <w:u w:val="single"/>
              </w:rPr>
              <w:t>9</w:t>
            </w:r>
            <w:r>
              <w:rPr>
                <w:spacing w:val="-30"/>
                <w:sz w:val="24"/>
              </w:rPr>
              <w:t xml:space="preserve"> 日</w:t>
            </w:r>
            <w:r>
              <w:rPr>
                <w:spacing w:val="-30"/>
                <w:sz w:val="24"/>
                <w:u w:val="single"/>
              </w:rPr>
              <w:t xml:space="preserve"> </w:t>
            </w:r>
            <w:r>
              <w:rPr>
                <w:sz w:val="24"/>
                <w:u w:val="single"/>
              </w:rPr>
              <w:t xml:space="preserve">17 </w:t>
            </w:r>
            <w:r>
              <w:rPr>
                <w:sz w:val="24"/>
              </w:rPr>
              <w:t>时前登录于仙游</w:t>
            </w:r>
            <w:r>
              <w:rPr>
                <w:spacing w:val="-6"/>
                <w:sz w:val="24"/>
              </w:rPr>
              <w:t>县招投标中心网将疑问材料向招标人提出</w:t>
            </w:r>
            <w:r>
              <w:rPr>
                <w:sz w:val="24"/>
              </w:rPr>
              <w:t>（</w:t>
            </w:r>
            <w:r>
              <w:rPr>
                <w:spacing w:val="-6"/>
                <w:sz w:val="24"/>
              </w:rPr>
              <w:t>应列明</w:t>
            </w:r>
          </w:p>
        </w:tc>
      </w:tr>
      <w:tr>
        <w:tblPrEx>
          <w:tblW w:w="0" w:type="auto"/>
          <w:jc w:val="left"/>
          <w:tblInd w:w="598" w:type="dxa"/>
          <w:tblLayout w:type="fixed"/>
          <w:tblCellMar>
            <w:top w:w="0" w:type="dxa"/>
            <w:left w:w="0" w:type="dxa"/>
            <w:bottom w:w="0" w:type="dxa"/>
            <w:right w:w="0" w:type="dxa"/>
          </w:tblCellMar>
          <w:tblLook w:val="01E0"/>
        </w:tblPrEx>
        <w:trPr>
          <w:trHeight w:val="917"/>
          <w:jc w:val="left"/>
        </w:trPr>
        <w:tc>
          <w:tcPr>
            <w:tcW w:w="262" w:type="dxa"/>
            <w:vMerge/>
            <w:tcBorders>
              <w:top w:val="nil"/>
              <w:left w:val="nil"/>
              <w:bottom w:val="nil"/>
            </w:tcBorders>
          </w:tcPr>
          <w:p>
            <w:pPr>
              <w:rPr>
                <w:sz w:val="2"/>
                <w:szCs w:val="2"/>
              </w:rPr>
            </w:pPr>
          </w:p>
        </w:tc>
        <w:tc>
          <w:tcPr>
            <w:tcW w:w="499" w:type="dxa"/>
            <w:gridSpan w:val="2"/>
          </w:tcPr>
          <w:p>
            <w:pPr>
              <w:pStyle w:val="TableParagraph"/>
              <w:spacing w:before="8"/>
              <w:rPr>
                <w:rFonts w:ascii="微软雅黑"/>
                <w:b/>
                <w:sz w:val="16"/>
              </w:rPr>
            </w:pPr>
          </w:p>
          <w:p>
            <w:pPr>
              <w:pStyle w:val="TableParagraph"/>
              <w:ind w:left="128"/>
              <w:rPr>
                <w:sz w:val="24"/>
              </w:rPr>
            </w:pPr>
            <w:r>
              <w:rPr>
                <w:sz w:val="24"/>
              </w:rPr>
              <w:t>13</w:t>
            </w:r>
          </w:p>
        </w:tc>
        <w:tc>
          <w:tcPr>
            <w:tcW w:w="824" w:type="dxa"/>
            <w:gridSpan w:val="2"/>
          </w:tcPr>
          <w:p>
            <w:pPr>
              <w:pStyle w:val="TableParagraph"/>
              <w:rPr>
                <w:rFonts w:ascii="Times New Roman"/>
                <w:sz w:val="24"/>
              </w:rPr>
            </w:pPr>
          </w:p>
        </w:tc>
        <w:tc>
          <w:tcPr>
            <w:tcW w:w="2305" w:type="dxa"/>
            <w:gridSpan w:val="2"/>
          </w:tcPr>
          <w:p>
            <w:pPr>
              <w:pStyle w:val="TableParagraph"/>
              <w:spacing w:before="8"/>
              <w:rPr>
                <w:rFonts w:ascii="微软雅黑"/>
                <w:b/>
                <w:sz w:val="16"/>
              </w:rPr>
            </w:pPr>
          </w:p>
          <w:p>
            <w:pPr>
              <w:pStyle w:val="TableParagraph"/>
              <w:ind w:left="549"/>
              <w:rPr>
                <w:sz w:val="24"/>
              </w:rPr>
            </w:pPr>
            <w:r>
              <w:rPr>
                <w:sz w:val="24"/>
              </w:rPr>
              <w:t>投标有效期</w:t>
            </w:r>
          </w:p>
        </w:tc>
        <w:tc>
          <w:tcPr>
            <w:tcW w:w="5405" w:type="dxa"/>
          </w:tcPr>
          <w:p>
            <w:pPr>
              <w:pStyle w:val="TableParagraph"/>
              <w:spacing w:before="8"/>
              <w:rPr>
                <w:rFonts w:ascii="微软雅黑"/>
                <w:b/>
                <w:sz w:val="16"/>
              </w:rPr>
            </w:pPr>
          </w:p>
          <w:p>
            <w:pPr>
              <w:pStyle w:val="TableParagraph"/>
              <w:ind w:left="344"/>
              <w:rPr>
                <w:sz w:val="24"/>
              </w:rPr>
            </w:pPr>
            <w:r>
              <w:rPr>
                <w:sz w:val="24"/>
              </w:rPr>
              <w:t>为：</w:t>
            </w:r>
            <w:r>
              <w:rPr>
                <w:sz w:val="24"/>
                <w:u w:val="single"/>
              </w:rPr>
              <w:t xml:space="preserve"> 60 </w:t>
            </w:r>
            <w:r>
              <w:rPr>
                <w:sz w:val="24"/>
              </w:rPr>
              <w:t>日历天（从投标截止之日算起）</w:t>
            </w:r>
          </w:p>
        </w:tc>
      </w:tr>
      <w:tr>
        <w:tblPrEx>
          <w:tblW w:w="0" w:type="auto"/>
          <w:jc w:val="left"/>
          <w:tblInd w:w="598" w:type="dxa"/>
          <w:tblLayout w:type="fixed"/>
          <w:tblCellMar>
            <w:top w:w="0" w:type="dxa"/>
            <w:left w:w="0" w:type="dxa"/>
            <w:bottom w:w="0" w:type="dxa"/>
            <w:right w:w="0" w:type="dxa"/>
          </w:tblCellMar>
          <w:tblLook w:val="01E0"/>
        </w:tblPrEx>
        <w:trPr>
          <w:trHeight w:val="916"/>
          <w:jc w:val="left"/>
        </w:trPr>
        <w:tc>
          <w:tcPr>
            <w:tcW w:w="262" w:type="dxa"/>
            <w:vMerge/>
            <w:tcBorders>
              <w:top w:val="nil"/>
              <w:left w:val="nil"/>
              <w:bottom w:val="nil"/>
            </w:tcBorders>
          </w:tcPr>
          <w:p>
            <w:pPr>
              <w:rPr>
                <w:sz w:val="2"/>
                <w:szCs w:val="2"/>
              </w:rPr>
            </w:pPr>
          </w:p>
        </w:tc>
        <w:tc>
          <w:tcPr>
            <w:tcW w:w="499" w:type="dxa"/>
            <w:gridSpan w:val="2"/>
          </w:tcPr>
          <w:p>
            <w:pPr>
              <w:pStyle w:val="TableParagraph"/>
              <w:spacing w:before="8"/>
              <w:rPr>
                <w:rFonts w:ascii="微软雅黑"/>
                <w:b/>
                <w:sz w:val="16"/>
              </w:rPr>
            </w:pPr>
          </w:p>
          <w:p>
            <w:pPr>
              <w:pStyle w:val="TableParagraph"/>
              <w:ind w:left="128"/>
              <w:rPr>
                <w:sz w:val="24"/>
              </w:rPr>
            </w:pPr>
            <w:r>
              <w:rPr>
                <w:sz w:val="24"/>
              </w:rPr>
              <w:t>14</w:t>
            </w:r>
          </w:p>
        </w:tc>
        <w:tc>
          <w:tcPr>
            <w:tcW w:w="824" w:type="dxa"/>
            <w:gridSpan w:val="2"/>
          </w:tcPr>
          <w:p>
            <w:pPr>
              <w:pStyle w:val="TableParagraph"/>
              <w:rPr>
                <w:rFonts w:ascii="Times New Roman"/>
                <w:sz w:val="24"/>
              </w:rPr>
            </w:pPr>
          </w:p>
        </w:tc>
        <w:tc>
          <w:tcPr>
            <w:tcW w:w="2305" w:type="dxa"/>
            <w:gridSpan w:val="2"/>
          </w:tcPr>
          <w:p>
            <w:pPr>
              <w:pStyle w:val="TableParagraph"/>
              <w:spacing w:before="8"/>
              <w:rPr>
                <w:rFonts w:ascii="微软雅黑"/>
                <w:b/>
                <w:sz w:val="16"/>
              </w:rPr>
            </w:pPr>
          </w:p>
          <w:p>
            <w:pPr>
              <w:pStyle w:val="TableParagraph"/>
              <w:ind w:left="549"/>
              <w:rPr>
                <w:sz w:val="24"/>
              </w:rPr>
            </w:pPr>
            <w:r>
              <w:rPr>
                <w:sz w:val="24"/>
              </w:rPr>
              <w:t>投标保证金</w:t>
            </w:r>
          </w:p>
        </w:tc>
        <w:tc>
          <w:tcPr>
            <w:tcW w:w="5405" w:type="dxa"/>
          </w:tcPr>
          <w:p>
            <w:pPr>
              <w:pStyle w:val="TableParagraph"/>
              <w:spacing w:before="8"/>
              <w:rPr>
                <w:rFonts w:ascii="微软雅黑"/>
                <w:b/>
                <w:sz w:val="16"/>
              </w:rPr>
            </w:pPr>
          </w:p>
          <w:p>
            <w:pPr>
              <w:pStyle w:val="TableParagraph"/>
              <w:ind w:left="104"/>
              <w:rPr>
                <w:sz w:val="24"/>
              </w:rPr>
            </w:pPr>
            <w:r>
              <w:rPr>
                <w:sz w:val="24"/>
              </w:rPr>
              <w:t>人民币：贰万元（20000 元）</w:t>
            </w:r>
          </w:p>
        </w:tc>
      </w:tr>
      <w:tr>
        <w:tblPrEx>
          <w:tblW w:w="0" w:type="auto"/>
          <w:jc w:val="left"/>
          <w:tblInd w:w="598" w:type="dxa"/>
          <w:tblLayout w:type="fixed"/>
          <w:tblCellMar>
            <w:top w:w="0" w:type="dxa"/>
            <w:left w:w="0" w:type="dxa"/>
            <w:bottom w:w="0" w:type="dxa"/>
            <w:right w:w="0" w:type="dxa"/>
          </w:tblCellMar>
          <w:tblLook w:val="01E0"/>
        </w:tblPrEx>
        <w:trPr>
          <w:trHeight w:val="626"/>
          <w:jc w:val="left"/>
        </w:trPr>
        <w:tc>
          <w:tcPr>
            <w:tcW w:w="262" w:type="dxa"/>
            <w:vMerge/>
            <w:tcBorders>
              <w:top w:val="nil"/>
              <w:left w:val="nil"/>
              <w:bottom w:val="nil"/>
            </w:tcBorders>
          </w:tcPr>
          <w:p>
            <w:pPr>
              <w:rPr>
                <w:sz w:val="2"/>
                <w:szCs w:val="2"/>
              </w:rPr>
            </w:pPr>
          </w:p>
        </w:tc>
        <w:tc>
          <w:tcPr>
            <w:tcW w:w="499" w:type="dxa"/>
            <w:gridSpan w:val="2"/>
          </w:tcPr>
          <w:p>
            <w:pPr>
              <w:pStyle w:val="TableParagraph"/>
              <w:spacing w:before="158"/>
              <w:ind w:left="128"/>
              <w:rPr>
                <w:sz w:val="24"/>
              </w:rPr>
            </w:pPr>
            <w:r>
              <w:rPr>
                <w:sz w:val="24"/>
              </w:rPr>
              <w:t>16</w:t>
            </w:r>
          </w:p>
        </w:tc>
        <w:tc>
          <w:tcPr>
            <w:tcW w:w="824" w:type="dxa"/>
            <w:gridSpan w:val="2"/>
          </w:tcPr>
          <w:p>
            <w:pPr>
              <w:pStyle w:val="TableParagraph"/>
              <w:rPr>
                <w:rFonts w:ascii="Times New Roman"/>
                <w:sz w:val="24"/>
              </w:rPr>
            </w:pPr>
          </w:p>
        </w:tc>
        <w:tc>
          <w:tcPr>
            <w:tcW w:w="2305" w:type="dxa"/>
            <w:gridSpan w:val="2"/>
          </w:tcPr>
          <w:p>
            <w:pPr>
              <w:pStyle w:val="TableParagraph"/>
              <w:rPr>
                <w:rFonts w:ascii="Times New Roman"/>
                <w:sz w:val="24"/>
              </w:rPr>
            </w:pPr>
          </w:p>
        </w:tc>
        <w:tc>
          <w:tcPr>
            <w:tcW w:w="5405" w:type="dxa"/>
          </w:tcPr>
          <w:p>
            <w:pPr>
              <w:pStyle w:val="TableParagraph"/>
              <w:rPr>
                <w:rFonts w:ascii="Times New Roman"/>
                <w:sz w:val="24"/>
              </w:rPr>
            </w:pPr>
          </w:p>
        </w:tc>
      </w:tr>
      <w:tr>
        <w:tblPrEx>
          <w:tblW w:w="0" w:type="auto"/>
          <w:jc w:val="left"/>
          <w:tblInd w:w="598" w:type="dxa"/>
          <w:tblLayout w:type="fixed"/>
          <w:tblCellMar>
            <w:top w:w="0" w:type="dxa"/>
            <w:left w:w="0" w:type="dxa"/>
            <w:bottom w:w="0" w:type="dxa"/>
            <w:right w:w="0" w:type="dxa"/>
          </w:tblCellMar>
          <w:tblLook w:val="01E0"/>
        </w:tblPrEx>
        <w:trPr>
          <w:trHeight w:val="440"/>
          <w:jc w:val="left"/>
        </w:trPr>
        <w:tc>
          <w:tcPr>
            <w:tcW w:w="262" w:type="dxa"/>
            <w:vMerge/>
            <w:tcBorders>
              <w:top w:val="nil"/>
              <w:left w:val="nil"/>
              <w:bottom w:val="nil"/>
            </w:tcBorders>
          </w:tcPr>
          <w:p>
            <w:pPr>
              <w:rPr>
                <w:sz w:val="2"/>
                <w:szCs w:val="2"/>
              </w:rPr>
            </w:pPr>
          </w:p>
        </w:tc>
        <w:tc>
          <w:tcPr>
            <w:tcW w:w="499" w:type="dxa"/>
            <w:gridSpan w:val="2"/>
          </w:tcPr>
          <w:p>
            <w:pPr>
              <w:pStyle w:val="TableParagraph"/>
              <w:spacing w:before="157" w:line="263" w:lineRule="exact"/>
              <w:ind w:left="128"/>
              <w:rPr>
                <w:sz w:val="24"/>
              </w:rPr>
            </w:pPr>
            <w:r>
              <w:rPr>
                <w:sz w:val="24"/>
              </w:rPr>
              <w:t>17</w:t>
            </w:r>
          </w:p>
        </w:tc>
        <w:tc>
          <w:tcPr>
            <w:tcW w:w="824" w:type="dxa"/>
            <w:gridSpan w:val="2"/>
          </w:tcPr>
          <w:p>
            <w:pPr>
              <w:pStyle w:val="TableParagraph"/>
              <w:rPr>
                <w:rFonts w:ascii="Times New Roman"/>
                <w:sz w:val="24"/>
              </w:rPr>
            </w:pPr>
          </w:p>
        </w:tc>
        <w:tc>
          <w:tcPr>
            <w:tcW w:w="2305" w:type="dxa"/>
            <w:gridSpan w:val="2"/>
          </w:tcPr>
          <w:p>
            <w:pPr>
              <w:pStyle w:val="TableParagraph"/>
              <w:spacing w:before="157" w:line="263" w:lineRule="exact"/>
              <w:ind w:left="407"/>
              <w:rPr>
                <w:sz w:val="24"/>
              </w:rPr>
            </w:pPr>
            <w:r>
              <w:rPr>
                <w:sz w:val="24"/>
              </w:rPr>
              <w:t>本次发包总面积</w:t>
            </w:r>
          </w:p>
        </w:tc>
        <w:tc>
          <w:tcPr>
            <w:tcW w:w="5405" w:type="dxa"/>
          </w:tcPr>
          <w:p>
            <w:pPr>
              <w:pStyle w:val="TableParagraph"/>
              <w:spacing w:before="157" w:line="263" w:lineRule="exact"/>
              <w:ind w:left="344"/>
              <w:rPr>
                <w:sz w:val="24"/>
              </w:rPr>
            </w:pPr>
            <w:r>
              <w:rPr>
                <w:sz w:val="24"/>
              </w:rPr>
              <w:t>47040.5㎡</w:t>
            </w:r>
          </w:p>
        </w:tc>
      </w:tr>
      <w:tr>
        <w:tblPrEx>
          <w:tblW w:w="0" w:type="auto"/>
          <w:jc w:val="left"/>
          <w:tblInd w:w="598" w:type="dxa"/>
          <w:tblLayout w:type="fixed"/>
          <w:tblCellMar>
            <w:top w:w="0" w:type="dxa"/>
            <w:left w:w="0" w:type="dxa"/>
            <w:bottom w:w="0" w:type="dxa"/>
            <w:right w:w="0" w:type="dxa"/>
          </w:tblCellMar>
          <w:tblLook w:val="01E0"/>
        </w:tblPrEx>
        <w:trPr>
          <w:trHeight w:val="932"/>
          <w:jc w:val="left"/>
        </w:trPr>
        <w:tc>
          <w:tcPr>
            <w:tcW w:w="262" w:type="dxa"/>
            <w:vMerge/>
            <w:tcBorders>
              <w:top w:val="nil"/>
              <w:left w:val="nil"/>
              <w:bottom w:val="nil"/>
            </w:tcBorders>
          </w:tcPr>
          <w:p>
            <w:pPr>
              <w:rPr>
                <w:sz w:val="2"/>
                <w:szCs w:val="2"/>
              </w:rPr>
            </w:pPr>
          </w:p>
        </w:tc>
        <w:tc>
          <w:tcPr>
            <w:tcW w:w="499" w:type="dxa"/>
            <w:gridSpan w:val="2"/>
          </w:tcPr>
          <w:p>
            <w:pPr>
              <w:pStyle w:val="TableParagraph"/>
              <w:spacing w:before="16"/>
              <w:rPr>
                <w:rFonts w:ascii="微软雅黑"/>
                <w:b/>
                <w:sz w:val="16"/>
              </w:rPr>
            </w:pPr>
          </w:p>
          <w:p>
            <w:pPr>
              <w:pStyle w:val="TableParagraph"/>
              <w:ind w:left="128"/>
              <w:rPr>
                <w:sz w:val="24"/>
              </w:rPr>
            </w:pPr>
            <w:r>
              <w:rPr>
                <w:sz w:val="24"/>
              </w:rPr>
              <w:t>18</w:t>
            </w:r>
          </w:p>
        </w:tc>
        <w:tc>
          <w:tcPr>
            <w:tcW w:w="824" w:type="dxa"/>
            <w:gridSpan w:val="2"/>
          </w:tcPr>
          <w:p>
            <w:pPr>
              <w:pStyle w:val="TableParagraph"/>
              <w:rPr>
                <w:rFonts w:ascii="Times New Roman"/>
                <w:sz w:val="24"/>
              </w:rPr>
            </w:pPr>
          </w:p>
        </w:tc>
        <w:tc>
          <w:tcPr>
            <w:tcW w:w="2305" w:type="dxa"/>
            <w:gridSpan w:val="2"/>
          </w:tcPr>
          <w:p>
            <w:pPr>
              <w:pStyle w:val="TableParagraph"/>
              <w:spacing w:before="16"/>
              <w:rPr>
                <w:rFonts w:ascii="微软雅黑"/>
                <w:b/>
                <w:sz w:val="16"/>
              </w:rPr>
            </w:pPr>
          </w:p>
          <w:p>
            <w:pPr>
              <w:pStyle w:val="TableParagraph"/>
              <w:ind w:left="429"/>
              <w:rPr>
                <w:sz w:val="24"/>
              </w:rPr>
            </w:pPr>
            <w:r>
              <w:rPr>
                <w:sz w:val="24"/>
              </w:rPr>
              <w:t>投标文件份数</w:t>
            </w:r>
          </w:p>
        </w:tc>
        <w:tc>
          <w:tcPr>
            <w:tcW w:w="5405" w:type="dxa"/>
          </w:tcPr>
          <w:p>
            <w:pPr>
              <w:pStyle w:val="TableParagraph"/>
              <w:spacing w:before="16"/>
              <w:rPr>
                <w:rFonts w:ascii="微软雅黑"/>
                <w:b/>
                <w:sz w:val="16"/>
              </w:rPr>
            </w:pPr>
          </w:p>
          <w:p>
            <w:pPr>
              <w:pStyle w:val="TableParagraph"/>
              <w:ind w:left="344"/>
              <w:rPr>
                <w:sz w:val="24"/>
              </w:rPr>
            </w:pPr>
            <w:r>
              <w:rPr>
                <w:sz w:val="24"/>
              </w:rPr>
              <w:t>正本壹份，副本叁份。</w:t>
            </w:r>
          </w:p>
        </w:tc>
      </w:tr>
      <w:tr>
        <w:tblPrEx>
          <w:tblW w:w="0" w:type="auto"/>
          <w:jc w:val="left"/>
          <w:tblInd w:w="598" w:type="dxa"/>
          <w:tblLayout w:type="fixed"/>
          <w:tblCellMar>
            <w:top w:w="0" w:type="dxa"/>
            <w:left w:w="0" w:type="dxa"/>
            <w:bottom w:w="0" w:type="dxa"/>
            <w:right w:w="0" w:type="dxa"/>
          </w:tblCellMar>
          <w:tblLook w:val="01E0"/>
        </w:tblPrEx>
        <w:trPr>
          <w:trHeight w:val="1124"/>
          <w:jc w:val="left"/>
        </w:trPr>
        <w:tc>
          <w:tcPr>
            <w:tcW w:w="262" w:type="dxa"/>
            <w:vMerge/>
            <w:tcBorders>
              <w:top w:val="nil"/>
              <w:left w:val="nil"/>
              <w:bottom w:val="nil"/>
            </w:tcBorders>
          </w:tcPr>
          <w:p>
            <w:pPr>
              <w:rPr>
                <w:sz w:val="2"/>
                <w:szCs w:val="2"/>
              </w:rPr>
            </w:pPr>
          </w:p>
        </w:tc>
        <w:tc>
          <w:tcPr>
            <w:tcW w:w="499" w:type="dxa"/>
            <w:gridSpan w:val="2"/>
          </w:tcPr>
          <w:p>
            <w:pPr>
              <w:pStyle w:val="TableParagraph"/>
              <w:spacing w:before="1"/>
              <w:rPr>
                <w:rFonts w:ascii="微软雅黑"/>
                <w:b/>
                <w:sz w:val="22"/>
              </w:rPr>
            </w:pPr>
          </w:p>
          <w:p>
            <w:pPr>
              <w:pStyle w:val="TableParagraph"/>
              <w:ind w:left="128"/>
              <w:rPr>
                <w:sz w:val="24"/>
              </w:rPr>
            </w:pPr>
            <w:r>
              <w:rPr>
                <w:sz w:val="24"/>
              </w:rPr>
              <w:t>19</w:t>
            </w:r>
          </w:p>
        </w:tc>
        <w:tc>
          <w:tcPr>
            <w:tcW w:w="824" w:type="dxa"/>
            <w:gridSpan w:val="2"/>
          </w:tcPr>
          <w:p>
            <w:pPr>
              <w:pStyle w:val="TableParagraph"/>
              <w:rPr>
                <w:rFonts w:ascii="Times New Roman"/>
                <w:sz w:val="24"/>
              </w:rPr>
            </w:pPr>
          </w:p>
        </w:tc>
        <w:tc>
          <w:tcPr>
            <w:tcW w:w="2305" w:type="dxa"/>
            <w:gridSpan w:val="2"/>
          </w:tcPr>
          <w:p>
            <w:pPr>
              <w:pStyle w:val="TableParagraph"/>
              <w:spacing w:before="157"/>
              <w:ind w:left="105"/>
              <w:rPr>
                <w:sz w:val="24"/>
              </w:rPr>
            </w:pPr>
            <w:r>
              <w:rPr>
                <w:sz w:val="24"/>
              </w:rPr>
              <w:t>投标文件提交地点</w:t>
            </w:r>
          </w:p>
          <w:p>
            <w:pPr>
              <w:pStyle w:val="TableParagraph"/>
              <w:spacing w:before="3"/>
              <w:rPr>
                <w:rFonts w:ascii="微软雅黑"/>
                <w:b/>
                <w:sz w:val="17"/>
              </w:rPr>
            </w:pPr>
          </w:p>
          <w:p>
            <w:pPr>
              <w:pStyle w:val="TableParagraph"/>
              <w:ind w:left="105"/>
              <w:rPr>
                <w:sz w:val="24"/>
              </w:rPr>
            </w:pPr>
            <w:r>
              <w:rPr>
                <w:sz w:val="24"/>
              </w:rPr>
              <w:t>及截止时间</w:t>
            </w:r>
          </w:p>
        </w:tc>
        <w:tc>
          <w:tcPr>
            <w:tcW w:w="5405" w:type="dxa"/>
          </w:tcPr>
          <w:p>
            <w:pPr>
              <w:pStyle w:val="TableParagraph"/>
              <w:spacing w:before="157"/>
              <w:ind w:left="344"/>
              <w:rPr>
                <w:sz w:val="24"/>
              </w:rPr>
            </w:pPr>
            <w:r>
              <w:rPr>
                <w:sz w:val="24"/>
              </w:rPr>
              <w:t>收件人：</w:t>
            </w:r>
            <w:r>
              <w:rPr>
                <w:sz w:val="24"/>
                <w:u w:val="single"/>
              </w:rPr>
              <w:t>福州诺成工程项目管理 XX 公司</w:t>
            </w:r>
          </w:p>
          <w:p>
            <w:pPr>
              <w:pStyle w:val="TableParagraph"/>
              <w:spacing w:before="3"/>
              <w:rPr>
                <w:rFonts w:ascii="微软雅黑"/>
                <w:b/>
                <w:sz w:val="17"/>
              </w:rPr>
            </w:pPr>
          </w:p>
          <w:p>
            <w:pPr>
              <w:pStyle w:val="TableParagraph"/>
              <w:ind w:left="344"/>
              <w:rPr>
                <w:sz w:val="24"/>
              </w:rPr>
            </w:pPr>
            <w:r>
              <w:rPr>
                <w:sz w:val="24"/>
              </w:rPr>
              <w:t>地点：仙游县自来水公司办公楼五层</w:t>
            </w:r>
          </w:p>
        </w:tc>
      </w:tr>
      <w:tr>
        <w:tblPrEx>
          <w:tblW w:w="0" w:type="auto"/>
          <w:jc w:val="left"/>
          <w:tblInd w:w="598" w:type="dxa"/>
          <w:tblLayout w:type="fixed"/>
          <w:tblCellMar>
            <w:top w:w="0" w:type="dxa"/>
            <w:left w:w="0" w:type="dxa"/>
            <w:bottom w:w="0" w:type="dxa"/>
            <w:right w:w="0" w:type="dxa"/>
          </w:tblCellMar>
          <w:tblLook w:val="01E0"/>
        </w:tblPrEx>
        <w:trPr>
          <w:trHeight w:val="1142"/>
          <w:jc w:val="left"/>
        </w:trPr>
        <w:tc>
          <w:tcPr>
            <w:tcW w:w="262" w:type="dxa"/>
            <w:vMerge/>
            <w:tcBorders>
              <w:top w:val="nil"/>
              <w:left w:val="nil"/>
              <w:bottom w:val="nil"/>
            </w:tcBorders>
          </w:tcPr>
          <w:p>
            <w:pPr>
              <w:rPr>
                <w:sz w:val="2"/>
                <w:szCs w:val="2"/>
              </w:rPr>
            </w:pPr>
          </w:p>
        </w:tc>
        <w:tc>
          <w:tcPr>
            <w:tcW w:w="499" w:type="dxa"/>
            <w:gridSpan w:val="2"/>
          </w:tcPr>
          <w:p>
            <w:pPr>
              <w:pStyle w:val="TableParagraph"/>
              <w:spacing w:before="10"/>
              <w:rPr>
                <w:rFonts w:ascii="微软雅黑"/>
                <w:b/>
                <w:sz w:val="22"/>
              </w:rPr>
            </w:pPr>
          </w:p>
          <w:p>
            <w:pPr>
              <w:pStyle w:val="TableParagraph"/>
              <w:spacing w:before="1"/>
              <w:ind w:left="128"/>
              <w:rPr>
                <w:sz w:val="24"/>
              </w:rPr>
            </w:pPr>
            <w:r>
              <w:rPr>
                <w:sz w:val="24"/>
              </w:rPr>
              <w:t>20</w:t>
            </w:r>
          </w:p>
        </w:tc>
        <w:tc>
          <w:tcPr>
            <w:tcW w:w="824" w:type="dxa"/>
            <w:gridSpan w:val="2"/>
          </w:tcPr>
          <w:p>
            <w:pPr>
              <w:pStyle w:val="TableParagraph"/>
              <w:rPr>
                <w:rFonts w:ascii="Times New Roman"/>
                <w:sz w:val="24"/>
              </w:rPr>
            </w:pPr>
          </w:p>
        </w:tc>
        <w:tc>
          <w:tcPr>
            <w:tcW w:w="2305" w:type="dxa"/>
            <w:gridSpan w:val="2"/>
          </w:tcPr>
          <w:p>
            <w:pPr>
              <w:pStyle w:val="TableParagraph"/>
              <w:spacing w:before="10"/>
              <w:rPr>
                <w:rFonts w:ascii="微软雅黑"/>
                <w:b/>
                <w:sz w:val="22"/>
              </w:rPr>
            </w:pPr>
          </w:p>
          <w:p>
            <w:pPr>
              <w:pStyle w:val="TableParagraph"/>
              <w:spacing w:before="1"/>
              <w:ind w:left="889" w:right="885"/>
              <w:jc w:val="center"/>
              <w:rPr>
                <w:sz w:val="24"/>
              </w:rPr>
            </w:pPr>
            <w:r>
              <w:rPr>
                <w:sz w:val="24"/>
              </w:rPr>
              <w:t>开标</w:t>
            </w:r>
          </w:p>
        </w:tc>
        <w:tc>
          <w:tcPr>
            <w:tcW w:w="5405" w:type="dxa"/>
          </w:tcPr>
          <w:p>
            <w:pPr>
              <w:pStyle w:val="TableParagraph"/>
              <w:spacing w:before="157"/>
              <w:ind w:left="344"/>
              <w:rPr>
                <w:sz w:val="24"/>
              </w:rPr>
            </w:pPr>
            <w:r>
              <w:rPr>
                <w:sz w:val="24"/>
              </w:rPr>
              <w:t>开标时间：</w:t>
            </w:r>
            <w:r>
              <w:rPr>
                <w:sz w:val="24"/>
                <w:u w:val="single"/>
              </w:rPr>
              <w:t xml:space="preserve">2009 </w:t>
            </w:r>
            <w:r>
              <w:rPr>
                <w:sz w:val="24"/>
              </w:rPr>
              <w:t xml:space="preserve">年 </w:t>
            </w:r>
            <w:r>
              <w:rPr>
                <w:sz w:val="24"/>
                <w:u w:val="single"/>
              </w:rPr>
              <w:t>2</w:t>
            </w:r>
            <w:r>
              <w:rPr>
                <w:sz w:val="24"/>
              </w:rPr>
              <w:t xml:space="preserve"> 月 </w:t>
            </w:r>
            <w:r>
              <w:rPr>
                <w:sz w:val="24"/>
                <w:u w:val="single"/>
              </w:rPr>
              <w:t>11</w:t>
            </w:r>
            <w:r>
              <w:rPr>
                <w:sz w:val="24"/>
              </w:rPr>
              <w:t xml:space="preserve"> 日 </w:t>
            </w:r>
            <w:r>
              <w:rPr>
                <w:sz w:val="24"/>
                <w:u w:val="single"/>
              </w:rPr>
              <w:t>15</w:t>
            </w:r>
            <w:r>
              <w:rPr>
                <w:sz w:val="24"/>
              </w:rPr>
              <w:t xml:space="preserve"> 时 </w:t>
            </w:r>
            <w:r>
              <w:rPr>
                <w:sz w:val="24"/>
                <w:u w:val="single"/>
              </w:rPr>
              <w:t>30</w:t>
            </w:r>
            <w:r>
              <w:rPr>
                <w:sz w:val="24"/>
              </w:rPr>
              <w:t xml:space="preserve"> 分</w:t>
            </w:r>
          </w:p>
          <w:p>
            <w:pPr>
              <w:pStyle w:val="TableParagraph"/>
              <w:spacing w:before="3"/>
              <w:rPr>
                <w:rFonts w:ascii="微软雅黑"/>
                <w:b/>
                <w:sz w:val="17"/>
              </w:rPr>
            </w:pPr>
          </w:p>
          <w:p>
            <w:pPr>
              <w:pStyle w:val="TableParagraph"/>
              <w:ind w:left="344"/>
              <w:rPr>
                <w:sz w:val="24"/>
              </w:rPr>
            </w:pPr>
            <w:r>
              <w:rPr>
                <w:sz w:val="24"/>
              </w:rPr>
              <w:t>地点：仙游县自来水公司办公楼五层</w:t>
            </w:r>
          </w:p>
        </w:tc>
      </w:tr>
    </w:tbl>
    <w:p>
      <w:pPr>
        <w:spacing w:after="0"/>
        <w:rPr>
          <w:sz w:val="24"/>
        </w:rPr>
        <w:sectPr>
          <w:pgSz w:w="11910" w:h="16840"/>
          <w:pgMar w:top="1400" w:right="720" w:bottom="280" w:left="740" w:header="708" w:footer="708"/>
          <w:pgNumType w:start="4"/>
          <w:cols w:space="708"/>
        </w:sectPr>
      </w:pPr>
    </w:p>
    <w:tbl>
      <w:tblPr>
        <w:tblStyle w:val="TableNormal2"/>
        <w:tblW w:w="0" w:type="auto"/>
        <w:jc w:val="left"/>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8"/>
        <w:gridCol w:w="823"/>
        <w:gridCol w:w="2304"/>
        <w:gridCol w:w="5404"/>
      </w:tblGrid>
      <w:tr>
        <w:tblPrEx>
          <w:tblW w:w="0" w:type="auto"/>
          <w:jc w:val="left"/>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98"/>
          <w:jc w:val="left"/>
        </w:trPr>
        <w:tc>
          <w:tcPr>
            <w:tcW w:w="498" w:type="dxa"/>
          </w:tcPr>
          <w:p>
            <w:pPr>
              <w:pStyle w:val="TableParagraph"/>
              <w:spacing w:before="17"/>
              <w:rPr>
                <w:rFonts w:ascii="微软雅黑"/>
                <w:b/>
                <w:sz w:val="15"/>
              </w:rPr>
            </w:pPr>
          </w:p>
          <w:p>
            <w:pPr>
              <w:pStyle w:val="TableParagraph"/>
              <w:ind w:right="118"/>
              <w:jc w:val="right"/>
              <w:rPr>
                <w:sz w:val="24"/>
              </w:rPr>
            </w:pPr>
            <w:r>
              <w:rPr>
                <w:sz w:val="24"/>
              </w:rPr>
              <w:t>21</w:t>
            </w:r>
          </w:p>
        </w:tc>
        <w:tc>
          <w:tcPr>
            <w:tcW w:w="823" w:type="dxa"/>
          </w:tcPr>
          <w:p>
            <w:pPr>
              <w:pStyle w:val="TableParagraph"/>
              <w:rPr>
                <w:rFonts w:ascii="Times New Roman"/>
                <w:sz w:val="24"/>
              </w:rPr>
            </w:pPr>
          </w:p>
        </w:tc>
        <w:tc>
          <w:tcPr>
            <w:tcW w:w="2304" w:type="dxa"/>
          </w:tcPr>
          <w:p>
            <w:pPr>
              <w:pStyle w:val="TableParagraph"/>
              <w:spacing w:before="17"/>
              <w:rPr>
                <w:rFonts w:ascii="微软雅黑"/>
                <w:b/>
                <w:sz w:val="15"/>
              </w:rPr>
            </w:pPr>
          </w:p>
          <w:p>
            <w:pPr>
              <w:pStyle w:val="TableParagraph"/>
              <w:ind w:left="532" w:right="522"/>
              <w:jc w:val="center"/>
              <w:rPr>
                <w:sz w:val="24"/>
              </w:rPr>
            </w:pPr>
            <w:r>
              <w:rPr>
                <w:sz w:val="24"/>
              </w:rPr>
              <w:t>评标方法</w:t>
            </w:r>
          </w:p>
        </w:tc>
        <w:tc>
          <w:tcPr>
            <w:tcW w:w="5404" w:type="dxa"/>
          </w:tcPr>
          <w:p>
            <w:pPr>
              <w:pStyle w:val="TableParagraph"/>
              <w:spacing w:before="17"/>
              <w:rPr>
                <w:rFonts w:ascii="微软雅黑"/>
                <w:b/>
                <w:sz w:val="15"/>
              </w:rPr>
            </w:pPr>
          </w:p>
          <w:p>
            <w:pPr>
              <w:pStyle w:val="TableParagraph"/>
              <w:ind w:left="347"/>
              <w:rPr>
                <w:sz w:val="24"/>
              </w:rPr>
            </w:pPr>
            <w:r>
              <w:rPr>
                <w:sz w:val="24"/>
              </w:rPr>
              <w:t>按照招标文件规定</w:t>
            </w:r>
          </w:p>
        </w:tc>
      </w:tr>
      <w:tr>
        <w:tblPrEx>
          <w:tblW w:w="0" w:type="auto"/>
          <w:jc w:val="left"/>
          <w:tblInd w:w="858" w:type="dxa"/>
          <w:tblLayout w:type="fixed"/>
          <w:tblCellMar>
            <w:top w:w="0" w:type="dxa"/>
            <w:left w:w="0" w:type="dxa"/>
            <w:bottom w:w="0" w:type="dxa"/>
            <w:right w:w="0" w:type="dxa"/>
          </w:tblCellMar>
          <w:tblLook w:val="01E0"/>
        </w:tblPrEx>
        <w:trPr>
          <w:trHeight w:val="1060"/>
          <w:jc w:val="left"/>
        </w:trPr>
        <w:tc>
          <w:tcPr>
            <w:tcW w:w="498" w:type="dxa"/>
          </w:tcPr>
          <w:p>
            <w:pPr>
              <w:pStyle w:val="TableParagraph"/>
              <w:spacing w:before="6"/>
              <w:rPr>
                <w:rFonts w:ascii="微软雅黑"/>
                <w:b/>
                <w:sz w:val="20"/>
              </w:rPr>
            </w:pPr>
          </w:p>
          <w:p>
            <w:pPr>
              <w:pStyle w:val="TableParagraph"/>
              <w:ind w:right="118"/>
              <w:jc w:val="right"/>
              <w:rPr>
                <w:sz w:val="24"/>
              </w:rPr>
            </w:pPr>
            <w:r>
              <w:rPr>
                <w:sz w:val="24"/>
              </w:rPr>
              <w:t>22</w:t>
            </w:r>
          </w:p>
        </w:tc>
        <w:tc>
          <w:tcPr>
            <w:tcW w:w="823" w:type="dxa"/>
          </w:tcPr>
          <w:p>
            <w:pPr>
              <w:pStyle w:val="TableParagraph"/>
              <w:rPr>
                <w:rFonts w:ascii="Times New Roman"/>
                <w:sz w:val="24"/>
              </w:rPr>
            </w:pPr>
          </w:p>
        </w:tc>
        <w:tc>
          <w:tcPr>
            <w:tcW w:w="2304" w:type="dxa"/>
          </w:tcPr>
          <w:p>
            <w:pPr>
              <w:pStyle w:val="TableParagraph"/>
              <w:spacing w:before="6"/>
              <w:rPr>
                <w:rFonts w:ascii="微软雅黑"/>
                <w:b/>
                <w:sz w:val="20"/>
              </w:rPr>
            </w:pPr>
          </w:p>
          <w:p>
            <w:pPr>
              <w:pStyle w:val="TableParagraph"/>
              <w:ind w:left="532" w:right="522"/>
              <w:jc w:val="center"/>
              <w:rPr>
                <w:sz w:val="24"/>
              </w:rPr>
            </w:pPr>
            <w:r>
              <w:rPr>
                <w:sz w:val="24"/>
              </w:rPr>
              <w:t>履约保证金</w:t>
            </w:r>
          </w:p>
        </w:tc>
        <w:tc>
          <w:tcPr>
            <w:tcW w:w="5404" w:type="dxa"/>
          </w:tcPr>
          <w:p>
            <w:pPr>
              <w:pStyle w:val="TableParagraph"/>
              <w:spacing w:before="6"/>
              <w:rPr>
                <w:rFonts w:ascii="微软雅黑"/>
                <w:b/>
                <w:sz w:val="20"/>
              </w:rPr>
            </w:pPr>
          </w:p>
          <w:p>
            <w:pPr>
              <w:pStyle w:val="TableParagraph"/>
              <w:ind w:left="347"/>
              <w:rPr>
                <w:sz w:val="24"/>
              </w:rPr>
            </w:pPr>
            <w:r>
              <w:rPr>
                <w:sz w:val="24"/>
              </w:rPr>
              <w:t>投标人提供的履约保证金为年养管费的 10%</w:t>
            </w:r>
          </w:p>
        </w:tc>
      </w:tr>
      <w:tr>
        <w:tblPrEx>
          <w:tblW w:w="0" w:type="auto"/>
          <w:jc w:val="left"/>
          <w:tblInd w:w="858" w:type="dxa"/>
          <w:tblLayout w:type="fixed"/>
          <w:tblCellMar>
            <w:top w:w="0" w:type="dxa"/>
            <w:left w:w="0" w:type="dxa"/>
            <w:bottom w:w="0" w:type="dxa"/>
            <w:right w:w="0" w:type="dxa"/>
          </w:tblCellMar>
          <w:tblLook w:val="01E0"/>
        </w:tblPrEx>
        <w:trPr>
          <w:trHeight w:val="1059"/>
          <w:jc w:val="left"/>
        </w:trPr>
        <w:tc>
          <w:tcPr>
            <w:tcW w:w="1321" w:type="dxa"/>
            <w:gridSpan w:val="2"/>
          </w:tcPr>
          <w:p>
            <w:pPr>
              <w:pStyle w:val="TableParagraph"/>
              <w:spacing w:before="6"/>
              <w:rPr>
                <w:rFonts w:ascii="微软雅黑"/>
                <w:b/>
                <w:sz w:val="20"/>
              </w:rPr>
            </w:pPr>
          </w:p>
          <w:p>
            <w:pPr>
              <w:pStyle w:val="TableParagraph"/>
              <w:ind w:left="420"/>
              <w:rPr>
                <w:sz w:val="24"/>
              </w:rPr>
            </w:pPr>
            <w:r>
              <w:rPr>
                <w:sz w:val="24"/>
              </w:rPr>
              <w:t>备注</w:t>
            </w:r>
          </w:p>
        </w:tc>
        <w:tc>
          <w:tcPr>
            <w:tcW w:w="7708" w:type="dxa"/>
            <w:gridSpan w:val="2"/>
          </w:tcPr>
          <w:p>
            <w:pPr>
              <w:pStyle w:val="TableParagraph"/>
              <w:rPr>
                <w:rFonts w:ascii="Times New Roman"/>
                <w:sz w:val="24"/>
              </w:rPr>
            </w:pPr>
          </w:p>
        </w:tc>
      </w:tr>
    </w:tbl>
    <w:p>
      <w:pPr>
        <w:pStyle w:val="BodyText"/>
        <w:spacing w:before="13"/>
        <w:rPr>
          <w:rFonts w:ascii="微软雅黑"/>
          <w:b/>
          <w:sz w:val="26"/>
        </w:rPr>
      </w:pPr>
    </w:p>
    <w:p>
      <w:pPr>
        <w:pStyle w:val="Heading5"/>
        <w:spacing w:before="93"/>
      </w:pPr>
      <w:r>
        <w:t>（壹）总则</w:t>
      </w:r>
    </w:p>
    <w:p>
      <w:pPr>
        <w:pStyle w:val="BodyText"/>
        <w:spacing w:before="7"/>
        <w:rPr>
          <w:sz w:val="26"/>
        </w:rPr>
      </w:pPr>
    </w:p>
    <w:p>
      <w:pPr>
        <w:pStyle w:val="Heading6"/>
        <w:numPr>
          <w:ilvl w:val="0"/>
          <w:numId w:val="9"/>
        </w:numPr>
        <w:tabs>
          <w:tab w:val="left" w:pos="1621"/>
        </w:tabs>
        <w:spacing w:before="17" w:after="0" w:line="240" w:lineRule="auto"/>
        <w:ind w:left="1621" w:right="0" w:hanging="180"/>
        <w:jc w:val="left"/>
      </w:pPr>
      <w:r>
        <w:t>工程说明</w:t>
      </w:r>
    </w:p>
    <w:p>
      <w:pPr>
        <w:pStyle w:val="BodyText"/>
        <w:spacing w:before="9"/>
        <w:rPr>
          <w:rFonts w:ascii="微软雅黑"/>
          <w:b/>
          <w:sz w:val="22"/>
        </w:rPr>
      </w:pPr>
    </w:p>
    <w:p>
      <w:pPr>
        <w:pStyle w:val="ListParagraph"/>
        <w:numPr>
          <w:ilvl w:val="1"/>
          <w:numId w:val="9"/>
        </w:numPr>
        <w:tabs>
          <w:tab w:val="left" w:pos="1861"/>
        </w:tabs>
        <w:spacing w:before="0" w:after="0" w:line="240" w:lineRule="auto"/>
        <w:ind w:left="1861" w:right="0" w:hanging="420"/>
        <w:jc w:val="left"/>
        <w:rPr>
          <w:sz w:val="24"/>
        </w:rPr>
      </w:pPr>
      <w:r>
        <w:rPr>
          <w:sz w:val="24"/>
        </w:rPr>
        <w:t>项目名称：仙游县城区绿化养护管理工程</w:t>
      </w:r>
    </w:p>
    <w:p>
      <w:pPr>
        <w:pStyle w:val="BodyText"/>
        <w:spacing w:before="11"/>
        <w:rPr>
          <w:sz w:val="36"/>
        </w:rPr>
      </w:pPr>
    </w:p>
    <w:p>
      <w:pPr>
        <w:pStyle w:val="ListParagraph"/>
        <w:numPr>
          <w:ilvl w:val="1"/>
          <w:numId w:val="9"/>
        </w:numPr>
        <w:tabs>
          <w:tab w:val="left" w:pos="1861"/>
        </w:tabs>
        <w:spacing w:before="0" w:after="0" w:line="240" w:lineRule="auto"/>
        <w:ind w:left="1861" w:right="0" w:hanging="420"/>
        <w:jc w:val="left"/>
        <w:rPr>
          <w:sz w:val="24"/>
        </w:rPr>
      </w:pPr>
      <w:r>
        <w:rPr>
          <w:sz w:val="24"/>
        </w:rPr>
        <w:t>养护地点:仙游县城区</w:t>
      </w:r>
    </w:p>
    <w:p>
      <w:pPr>
        <w:pStyle w:val="BodyText"/>
        <w:spacing w:before="11"/>
        <w:rPr>
          <w:sz w:val="36"/>
        </w:rPr>
      </w:pPr>
    </w:p>
    <w:p>
      <w:pPr>
        <w:pStyle w:val="BodyText"/>
        <w:spacing w:before="1"/>
        <w:ind w:left="1441"/>
      </w:pPr>
      <w:r>
        <w:t>1.3 养护规模:47040.5㎡×三年</w:t>
      </w:r>
    </w:p>
    <w:p>
      <w:pPr>
        <w:pStyle w:val="BodyText"/>
        <w:spacing w:before="11"/>
        <w:rPr>
          <w:sz w:val="36"/>
        </w:rPr>
      </w:pPr>
    </w:p>
    <w:p>
      <w:pPr>
        <w:pStyle w:val="ListParagraph"/>
        <w:numPr>
          <w:ilvl w:val="1"/>
          <w:numId w:val="7"/>
        </w:numPr>
        <w:tabs>
          <w:tab w:val="left" w:pos="1861"/>
        </w:tabs>
        <w:spacing w:before="0" w:after="0" w:line="240" w:lineRule="auto"/>
        <w:ind w:left="1861" w:right="0" w:hanging="420"/>
        <w:jc w:val="left"/>
        <w:rPr>
          <w:sz w:val="24"/>
        </w:rPr>
      </w:pPr>
      <w:r>
        <w:rPr>
          <w:sz w:val="24"/>
        </w:rPr>
        <w:t>承包方式:包工包料</w:t>
      </w:r>
    </w:p>
    <w:p>
      <w:pPr>
        <w:pStyle w:val="BodyText"/>
        <w:spacing w:before="11"/>
        <w:rPr>
          <w:sz w:val="36"/>
        </w:rPr>
      </w:pPr>
    </w:p>
    <w:p>
      <w:pPr>
        <w:pStyle w:val="ListParagraph"/>
        <w:numPr>
          <w:ilvl w:val="1"/>
          <w:numId w:val="7"/>
        </w:numPr>
        <w:tabs>
          <w:tab w:val="left" w:pos="1861"/>
        </w:tabs>
        <w:spacing w:before="0" w:after="0" w:line="240" w:lineRule="auto"/>
        <w:ind w:left="1861" w:right="0" w:hanging="420"/>
        <w:jc w:val="left"/>
        <w:rPr>
          <w:sz w:val="24"/>
        </w:rPr>
      </w:pPr>
      <w:r>
        <w:rPr>
          <w:sz w:val="24"/>
        </w:rPr>
        <w:t>质量标准:养护管理标准</w:t>
      </w:r>
    </w:p>
    <w:p>
      <w:pPr>
        <w:pStyle w:val="BodyText"/>
        <w:spacing w:before="11"/>
        <w:rPr>
          <w:sz w:val="36"/>
        </w:rPr>
      </w:pPr>
    </w:p>
    <w:p>
      <w:pPr>
        <w:pStyle w:val="ListParagraph"/>
        <w:numPr>
          <w:ilvl w:val="1"/>
          <w:numId w:val="7"/>
        </w:numPr>
        <w:tabs>
          <w:tab w:val="left" w:pos="1861"/>
        </w:tabs>
        <w:spacing w:before="0" w:after="0" w:line="240" w:lineRule="auto"/>
        <w:ind w:left="1860" w:right="0" w:hanging="420"/>
        <w:jc w:val="left"/>
        <w:rPr>
          <w:sz w:val="24"/>
        </w:rPr>
      </w:pPr>
      <w:r>
        <w:rPr>
          <w:sz w:val="24"/>
        </w:rPr>
        <w:t>招标范围:按养护量清单</w:t>
      </w:r>
    </w:p>
    <w:p>
      <w:pPr>
        <w:pStyle w:val="BodyText"/>
        <w:spacing w:before="11"/>
        <w:rPr>
          <w:sz w:val="36"/>
        </w:rPr>
      </w:pPr>
    </w:p>
    <w:p>
      <w:pPr>
        <w:pStyle w:val="ListParagraph"/>
        <w:numPr>
          <w:ilvl w:val="1"/>
          <w:numId w:val="7"/>
        </w:numPr>
        <w:tabs>
          <w:tab w:val="left" w:pos="1861"/>
        </w:tabs>
        <w:spacing w:before="1" w:after="0" w:line="240" w:lineRule="auto"/>
        <w:ind w:left="1861" w:right="0" w:hanging="420"/>
        <w:jc w:val="left"/>
        <w:rPr>
          <w:sz w:val="24"/>
        </w:rPr>
      </w:pPr>
      <w:r>
        <w:rPr>
          <w:sz w:val="24"/>
        </w:rPr>
        <w:t>养护总工期:</w:t>
      </w:r>
      <w:r>
        <w:rPr>
          <w:rFonts w:ascii="Times New Roman" w:eastAsia="Times New Roman"/>
          <w:sz w:val="24"/>
          <w:u w:val="single"/>
        </w:rPr>
        <w:t xml:space="preserve"> </w:t>
      </w:r>
      <w:r>
        <w:rPr>
          <w:sz w:val="24"/>
          <w:u w:val="single"/>
        </w:rPr>
        <w:t xml:space="preserve">三 </w:t>
      </w:r>
      <w:r>
        <w:rPr>
          <w:sz w:val="24"/>
        </w:rPr>
        <w:t>年</w:t>
      </w:r>
    </w:p>
    <w:p>
      <w:pPr>
        <w:pStyle w:val="BodyText"/>
        <w:spacing w:before="7"/>
        <w:rPr>
          <w:sz w:val="29"/>
        </w:rPr>
      </w:pPr>
    </w:p>
    <w:p>
      <w:pPr>
        <w:pStyle w:val="ListParagraph"/>
        <w:numPr>
          <w:ilvl w:val="1"/>
          <w:numId w:val="7"/>
        </w:numPr>
        <w:tabs>
          <w:tab w:val="left" w:pos="1861"/>
        </w:tabs>
        <w:spacing w:before="93" w:after="0" w:line="240" w:lineRule="auto"/>
        <w:ind w:left="1861" w:right="0" w:hanging="420"/>
        <w:jc w:val="left"/>
        <w:rPr>
          <w:sz w:val="24"/>
        </w:rPr>
      </w:pPr>
      <w:r>
        <w:rPr>
          <w:sz w:val="24"/>
        </w:rPr>
        <w:t>资金来源:财政拨款</w:t>
      </w:r>
    </w:p>
    <w:p>
      <w:pPr>
        <w:pStyle w:val="BodyText"/>
        <w:spacing w:before="12"/>
        <w:rPr>
          <w:sz w:val="30"/>
        </w:rPr>
      </w:pPr>
    </w:p>
    <w:p>
      <w:pPr>
        <w:pStyle w:val="Heading6"/>
        <w:numPr>
          <w:ilvl w:val="0"/>
          <w:numId w:val="9"/>
        </w:numPr>
        <w:tabs>
          <w:tab w:val="left" w:pos="1621"/>
        </w:tabs>
        <w:spacing w:before="0" w:after="0" w:line="240" w:lineRule="auto"/>
        <w:ind w:left="1621" w:right="0" w:hanging="180"/>
        <w:jc w:val="left"/>
      </w:pPr>
      <w:r>
        <w:t>获取招标文件方式</w:t>
      </w:r>
    </w:p>
    <w:p>
      <w:pPr>
        <w:pStyle w:val="BodyText"/>
        <w:spacing w:before="8"/>
        <w:rPr>
          <w:rFonts w:ascii="微软雅黑"/>
          <w:b/>
          <w:sz w:val="22"/>
        </w:rPr>
      </w:pPr>
    </w:p>
    <w:p>
      <w:pPr>
        <w:pStyle w:val="BodyText"/>
        <w:spacing w:before="1" w:line="487" w:lineRule="auto"/>
        <w:ind w:left="961" w:right="979"/>
      </w:pPr>
      <w:r>
        <w:t>投标人直接从仙游县招投标中心网站（/xyztb/index.htm）下载小额工程的招标信息。</w:t>
      </w:r>
    </w:p>
    <w:p>
      <w:pPr>
        <w:pStyle w:val="Heading6"/>
        <w:numPr>
          <w:ilvl w:val="0"/>
          <w:numId w:val="9"/>
        </w:numPr>
        <w:tabs>
          <w:tab w:val="left" w:pos="1621"/>
        </w:tabs>
        <w:spacing w:before="78" w:after="0" w:line="240" w:lineRule="auto"/>
        <w:ind w:left="1621" w:right="0" w:hanging="180"/>
        <w:jc w:val="left"/>
      </w:pPr>
      <w:r>
        <w:t>投标人的资格资质要求</w:t>
      </w:r>
    </w:p>
    <w:p>
      <w:pPr>
        <w:spacing w:after="0" w:line="240" w:lineRule="auto"/>
        <w:jc w:val="left"/>
        <w:sectPr>
          <w:pgSz w:w="11910" w:h="16840"/>
          <w:pgMar w:top="1400" w:right="720" w:bottom="280" w:left="740" w:header="708" w:footer="708"/>
          <w:pgNumType w:start="5"/>
          <w:cols w:space="708"/>
        </w:sectPr>
      </w:pPr>
    </w:p>
    <w:p>
      <w:pPr>
        <w:pStyle w:val="ListParagraph"/>
        <w:numPr>
          <w:ilvl w:val="1"/>
          <w:numId w:val="8"/>
        </w:numPr>
        <w:tabs>
          <w:tab w:val="left" w:pos="1905"/>
        </w:tabs>
        <w:spacing w:before="76" w:after="0" w:line="487" w:lineRule="auto"/>
        <w:ind w:left="961" w:right="979" w:firstLine="523"/>
        <w:jc w:val="left"/>
        <w:rPr>
          <w:sz w:val="24"/>
        </w:rPr>
      </w:pPr>
      <w:r>
        <w:rPr>
          <w:spacing w:val="-1"/>
          <w:sz w:val="24"/>
        </w:rPr>
        <w:t>凡公司注册地于本市具有独立法人资格,符合规定资质条件且未因违法违</w:t>
      </w:r>
      <w:r>
        <w:rPr>
          <w:sz w:val="24"/>
        </w:rPr>
        <w:t>规被限制参加相应项目投标的潜于投标人均可参和投标.</w:t>
      </w:r>
    </w:p>
    <w:p>
      <w:pPr>
        <w:pStyle w:val="ListParagraph"/>
        <w:numPr>
          <w:ilvl w:val="1"/>
          <w:numId w:val="8"/>
        </w:numPr>
        <w:tabs>
          <w:tab w:val="left" w:pos="1905"/>
        </w:tabs>
        <w:spacing w:before="0" w:after="0" w:line="487" w:lineRule="auto"/>
        <w:ind w:left="961" w:right="979" w:firstLine="523"/>
        <w:jc w:val="left"/>
        <w:rPr>
          <w:sz w:val="24"/>
        </w:rPr>
      </w:pPr>
      <w:r>
        <w:rPr>
          <w:spacing w:val="2"/>
          <w:sz w:val="24"/>
        </w:rPr>
        <w:t>具备承担本招标工程项目的能力且具备建设行政主管部门核发的经年检</w:t>
      </w:r>
      <w:r>
        <w:rPr>
          <w:spacing w:val="10"/>
          <w:sz w:val="24"/>
        </w:rPr>
        <w:t>合格的</w:t>
      </w:r>
      <w:r>
        <w:rPr>
          <w:spacing w:val="10"/>
          <w:sz w:val="24"/>
          <w:u w:val="single"/>
        </w:rPr>
        <w:t>园林绿化施工总承包三级及之上资质</w:t>
      </w:r>
      <w:r>
        <w:rPr>
          <w:spacing w:val="9"/>
          <w:sz w:val="24"/>
        </w:rPr>
        <w:t>且具有安全生产许可证的独立法人</w:t>
      </w:r>
    </w:p>
    <w:p>
      <w:pPr>
        <w:spacing w:before="0" w:line="365" w:lineRule="exact"/>
        <w:ind w:left="961" w:right="0" w:firstLine="0"/>
        <w:jc w:val="left"/>
        <w:rPr>
          <w:sz w:val="24"/>
        </w:rPr>
      </w:pPr>
      <w:r>
        <w:rPr>
          <w:rFonts w:ascii="微软雅黑" w:eastAsia="微软雅黑" w:hint="eastAsia"/>
          <w:b/>
          <w:spacing w:val="3"/>
          <w:sz w:val="24"/>
        </w:rPr>
        <w:t>（</w:t>
      </w:r>
      <w:r>
        <w:rPr>
          <w:rFonts w:ascii="微软雅黑" w:eastAsia="微软雅黑" w:hint="eastAsia"/>
          <w:b/>
          <w:sz w:val="24"/>
        </w:rPr>
        <w:t>不分主、增项差别</w:t>
      </w:r>
      <w:r>
        <w:rPr>
          <w:rFonts w:ascii="微软雅黑" w:eastAsia="微软雅黑" w:hint="eastAsia"/>
          <w:b/>
          <w:spacing w:val="3"/>
          <w:sz w:val="24"/>
        </w:rPr>
        <w:t>）</w:t>
      </w:r>
      <w:r>
        <w:rPr>
          <w:sz w:val="24"/>
        </w:rPr>
        <w:t>。项目经理须是申请人本企业职员（以注册建造师执业证</w:t>
      </w:r>
    </w:p>
    <w:p>
      <w:pPr>
        <w:pStyle w:val="BodyText"/>
        <w:spacing w:before="181"/>
        <w:ind w:left="961"/>
        <w:rPr>
          <w:rFonts w:ascii="微软雅黑" w:eastAsia="微软雅黑" w:hint="eastAsia"/>
          <w:b/>
        </w:rPr>
      </w:pPr>
      <w:r>
        <w:t>上的工作单位为准</w:t>
      </w:r>
      <w:r>
        <w:rPr>
          <w:spacing w:val="3"/>
        </w:rPr>
        <w:t>），</w:t>
      </w:r>
      <w:r>
        <w:t>具备相应专业</w:t>
      </w:r>
      <w:r>
        <w:rPr>
          <w:u w:val="single"/>
        </w:rPr>
        <w:t>二级及之上注册建造师资质</w:t>
      </w:r>
      <w:r>
        <w:t>。</w:t>
      </w:r>
      <w:r>
        <w:rPr>
          <w:rFonts w:ascii="微软雅黑" w:eastAsia="微软雅黑" w:hint="eastAsia"/>
          <w:b/>
          <w:spacing w:val="3"/>
        </w:rPr>
        <w:t>（</w:t>
      </w:r>
      <w:r>
        <w:rPr>
          <w:rFonts w:ascii="微软雅黑" w:eastAsia="微软雅黑" w:hint="eastAsia"/>
          <w:b/>
        </w:rPr>
        <w:t>省厅临时建</w:t>
      </w:r>
    </w:p>
    <w:p>
      <w:pPr>
        <w:pStyle w:val="BodyText"/>
        <w:spacing w:before="17"/>
        <w:rPr>
          <w:rFonts w:ascii="微软雅黑"/>
          <w:b/>
          <w:sz w:val="8"/>
        </w:rPr>
      </w:pPr>
    </w:p>
    <w:p>
      <w:pPr>
        <w:pStyle w:val="Heading6"/>
        <w:spacing w:before="17"/>
      </w:pPr>
      <w:r>
        <w:t>造师证明文件不能作为建造师临时执业证书使用）</w:t>
      </w:r>
    </w:p>
    <w:p>
      <w:pPr>
        <w:pStyle w:val="BodyText"/>
        <w:spacing w:before="1"/>
        <w:rPr>
          <w:rFonts w:ascii="微软雅黑"/>
          <w:b/>
          <w:sz w:val="14"/>
        </w:rPr>
      </w:pPr>
    </w:p>
    <w:p>
      <w:pPr>
        <w:pStyle w:val="ListParagraph"/>
        <w:numPr>
          <w:ilvl w:val="1"/>
          <w:numId w:val="8"/>
        </w:numPr>
        <w:tabs>
          <w:tab w:val="left" w:pos="1861"/>
        </w:tabs>
        <w:spacing w:before="0" w:after="0" w:line="240" w:lineRule="auto"/>
        <w:ind w:left="1861" w:right="0" w:hanging="420"/>
        <w:jc w:val="left"/>
        <w:rPr>
          <w:sz w:val="24"/>
        </w:rPr>
      </w:pPr>
      <w:r>
        <w:rPr>
          <w:sz w:val="24"/>
        </w:rPr>
        <w:t>近三年内,未曾被县区级之上关联行政监督部门记入不良行为的.</w:t>
      </w:r>
    </w:p>
    <w:p>
      <w:pPr>
        <w:pStyle w:val="BodyText"/>
        <w:spacing w:before="11"/>
        <w:rPr>
          <w:sz w:val="30"/>
        </w:rPr>
      </w:pPr>
    </w:p>
    <w:p>
      <w:pPr>
        <w:pStyle w:val="ListParagraph"/>
        <w:numPr>
          <w:ilvl w:val="0"/>
          <w:numId w:val="8"/>
        </w:numPr>
        <w:tabs>
          <w:tab w:val="left" w:pos="1602"/>
        </w:tabs>
        <w:spacing w:before="0" w:after="0" w:line="240" w:lineRule="auto"/>
        <w:ind w:left="1601" w:right="0" w:hanging="181"/>
        <w:jc w:val="left"/>
        <w:rPr>
          <w:sz w:val="24"/>
        </w:rPr>
      </w:pPr>
      <w:r>
        <w:rPr>
          <w:sz w:val="24"/>
        </w:rPr>
        <w:t>投标有效期</w:t>
      </w:r>
      <w:r>
        <w:rPr>
          <w:sz w:val="24"/>
          <w:u w:val="single"/>
        </w:rPr>
        <w:t xml:space="preserve"> 60</w:t>
      </w:r>
      <w:r>
        <w:rPr>
          <w:spacing w:val="-16"/>
          <w:sz w:val="24"/>
        </w:rPr>
        <w:t xml:space="preserve"> 日历天</w:t>
      </w:r>
      <w:r>
        <w:rPr>
          <w:sz w:val="24"/>
        </w:rPr>
        <w:t>（从投标截止之日算起</w:t>
      </w:r>
      <w:r>
        <w:rPr>
          <w:spacing w:val="-120"/>
          <w:sz w:val="24"/>
        </w:rPr>
        <w:t>）</w:t>
      </w:r>
      <w:r>
        <w:rPr>
          <w:sz w:val="24"/>
        </w:rPr>
        <w:t>。</w:t>
      </w:r>
    </w:p>
    <w:p>
      <w:pPr>
        <w:pStyle w:val="BodyText"/>
        <w:rPr>
          <w:sz w:val="25"/>
        </w:rPr>
      </w:pPr>
    </w:p>
    <w:p>
      <w:pPr>
        <w:pStyle w:val="Heading6"/>
        <w:numPr>
          <w:ilvl w:val="0"/>
          <w:numId w:val="8"/>
        </w:numPr>
        <w:tabs>
          <w:tab w:val="left" w:pos="1606"/>
        </w:tabs>
        <w:spacing w:before="17" w:after="0" w:line="240" w:lineRule="auto"/>
        <w:ind w:left="1605" w:right="0" w:hanging="181"/>
        <w:jc w:val="left"/>
      </w:pPr>
      <w:r>
        <w:t>投标费用</w:t>
      </w:r>
    </w:p>
    <w:p>
      <w:pPr>
        <w:pStyle w:val="BodyText"/>
        <w:spacing w:before="9"/>
        <w:rPr>
          <w:rFonts w:ascii="微软雅黑"/>
          <w:b/>
          <w:sz w:val="22"/>
        </w:rPr>
      </w:pPr>
    </w:p>
    <w:p>
      <w:pPr>
        <w:pStyle w:val="BodyText"/>
        <w:spacing w:line="487" w:lineRule="auto"/>
        <w:ind w:left="961" w:right="979" w:firstLine="480"/>
      </w:pPr>
      <w:r>
        <w:rPr>
          <w:spacing w:val="2"/>
        </w:rPr>
        <w:t>投标人应承担其编制投标文件和递交投标文件所涉及的壹切费用，不管投标</w:t>
      </w:r>
      <w:r>
        <w:t>结果如何，招标人和招标代理机构对上述费用不负任何责任。</w:t>
      </w:r>
    </w:p>
    <w:p>
      <w:pPr>
        <w:pStyle w:val="ListParagraph"/>
        <w:numPr>
          <w:ilvl w:val="0"/>
          <w:numId w:val="8"/>
        </w:numPr>
        <w:tabs>
          <w:tab w:val="left" w:pos="1621"/>
        </w:tabs>
        <w:spacing w:before="79" w:after="0" w:line="240" w:lineRule="auto"/>
        <w:ind w:left="1620" w:right="0" w:hanging="180"/>
        <w:jc w:val="left"/>
        <w:rPr>
          <w:sz w:val="24"/>
        </w:rPr>
      </w:pPr>
      <w:r>
        <w:rPr>
          <w:sz w:val="24"/>
        </w:rPr>
        <w:t>本招标工程项目不允许违法转包、分包。</w:t>
      </w:r>
    </w:p>
    <w:p>
      <w:pPr>
        <w:pStyle w:val="BodyText"/>
        <w:spacing w:before="4"/>
        <w:rPr>
          <w:sz w:val="26"/>
        </w:rPr>
      </w:pPr>
    </w:p>
    <w:p>
      <w:pPr>
        <w:pStyle w:val="Heading6"/>
        <w:numPr>
          <w:ilvl w:val="0"/>
          <w:numId w:val="8"/>
        </w:numPr>
        <w:tabs>
          <w:tab w:val="left" w:pos="1621"/>
        </w:tabs>
        <w:spacing w:before="1" w:after="0" w:line="338" w:lineRule="auto"/>
        <w:ind w:left="961" w:right="978" w:firstLine="480"/>
        <w:jc w:val="left"/>
      </w:pPr>
      <w:r>
        <w:rPr>
          <w:w w:val="95"/>
        </w:rPr>
        <w:t>本文件依据市政府莆政综[2007]224</w:t>
      </w:r>
      <w:r>
        <w:rPr>
          <w:spacing w:val="-1"/>
          <w:w w:val="95"/>
        </w:rPr>
        <w:t xml:space="preserve"> 号文及仙政文【</w:t>
      </w:r>
      <w:r>
        <w:rPr>
          <w:w w:val="95"/>
        </w:rPr>
        <w:t>2008</w:t>
      </w:r>
      <w:r>
        <w:rPr>
          <w:spacing w:val="-26"/>
          <w:w w:val="95"/>
        </w:rPr>
        <w:t>】</w:t>
      </w:r>
      <w:r>
        <w:rPr>
          <w:w w:val="95"/>
        </w:rPr>
        <w:t>17</w:t>
      </w:r>
      <w:r>
        <w:rPr>
          <w:spacing w:val="-3"/>
          <w:w w:val="95"/>
        </w:rPr>
        <w:t xml:space="preserve"> 号文制定。招</w:t>
      </w:r>
      <w:r>
        <w:rPr>
          <w:spacing w:val="3"/>
          <w:w w:val="95"/>
        </w:rPr>
        <w:t>投标活动的有关问题处理按照市政府莆政综</w:t>
      </w:r>
      <w:r>
        <w:rPr>
          <w:w w:val="95"/>
        </w:rPr>
        <w:t>[2007]224</w:t>
      </w:r>
      <w:r>
        <w:rPr>
          <w:spacing w:val="6"/>
          <w:w w:val="95"/>
        </w:rPr>
        <w:t xml:space="preserve"> 号文及仙政文【</w:t>
      </w:r>
      <w:r>
        <w:rPr>
          <w:w w:val="95"/>
        </w:rPr>
        <w:t>2008</w:t>
      </w:r>
      <w:r>
        <w:rPr>
          <w:spacing w:val="3"/>
          <w:w w:val="95"/>
        </w:rPr>
        <w:t>】</w:t>
      </w:r>
      <w:r>
        <w:rPr>
          <w:w w:val="95"/>
        </w:rPr>
        <w:t>17</w:t>
      </w:r>
    </w:p>
    <w:p>
      <w:pPr>
        <w:spacing w:after="0" w:line="338" w:lineRule="auto"/>
        <w:jc w:val="left"/>
        <w:sectPr>
          <w:pgSz w:w="11910" w:h="16840"/>
          <w:pgMar w:top="1480" w:right="720" w:bottom="280" w:left="740" w:header="708" w:footer="708"/>
          <w:pgNumType w:start="6"/>
          <w:cols w:space="708"/>
        </w:sectPr>
      </w:pPr>
    </w:p>
    <w:p>
      <w:pPr>
        <w:spacing w:before="0"/>
        <w:ind w:left="961" w:right="0" w:firstLine="0"/>
        <w:jc w:val="left"/>
        <w:rPr>
          <w:rFonts w:ascii="微软雅黑" w:eastAsia="微软雅黑" w:hint="eastAsia"/>
          <w:b/>
          <w:sz w:val="24"/>
        </w:rPr>
      </w:pPr>
      <w:r>
        <w:rPr>
          <w:rFonts w:ascii="微软雅黑" w:eastAsia="微软雅黑" w:hint="eastAsia"/>
          <w:b/>
          <w:sz w:val="24"/>
        </w:rPr>
        <w:t>号文执行。</w:t>
      </w:r>
    </w:p>
    <w:p>
      <w:pPr>
        <w:pStyle w:val="BodyText"/>
        <w:spacing w:before="17"/>
        <w:rPr>
          <w:rFonts w:ascii="微软雅黑"/>
          <w:b/>
          <w:sz w:val="35"/>
        </w:rPr>
      </w:pPr>
      <w:r>
        <w:br w:type="column"/>
      </w:r>
    </w:p>
    <w:p>
      <w:pPr>
        <w:pStyle w:val="Heading5"/>
        <w:ind w:left="961" w:right="0"/>
        <w:jc w:val="left"/>
      </w:pPr>
      <w:r>
        <w:t>（二）招标文件</w:t>
      </w:r>
    </w:p>
    <w:p>
      <w:pPr>
        <w:spacing w:after="0"/>
        <w:jc w:val="left"/>
        <w:sectPr>
          <w:type w:val="continuous"/>
          <w:pgSz w:w="11910" w:h="16840"/>
          <w:pgMar w:top="1580" w:right="720" w:bottom="280" w:left="740" w:header="708" w:footer="708"/>
          <w:pgNumType w:start="7"/>
          <w:cols w:num="2" w:space="708" w:equalWidth="0">
            <w:col w:w="2202" w:space="798"/>
            <w:col w:w="7450" w:space="0"/>
          </w:cols>
        </w:sectPr>
      </w:pPr>
    </w:p>
    <w:p>
      <w:pPr>
        <w:pStyle w:val="BodyText"/>
        <w:spacing w:before="7"/>
        <w:rPr>
          <w:sz w:val="26"/>
        </w:rPr>
      </w:pPr>
    </w:p>
    <w:p>
      <w:pPr>
        <w:pStyle w:val="Heading6"/>
        <w:numPr>
          <w:ilvl w:val="0"/>
          <w:numId w:val="8"/>
        </w:numPr>
        <w:tabs>
          <w:tab w:val="left" w:pos="1621"/>
        </w:tabs>
        <w:spacing w:before="17" w:after="0" w:line="240" w:lineRule="auto"/>
        <w:ind w:left="1621" w:right="0" w:hanging="180"/>
        <w:jc w:val="left"/>
      </w:pPr>
      <w:r>
        <w:t>招标文件</w:t>
      </w:r>
    </w:p>
    <w:p>
      <w:pPr>
        <w:pStyle w:val="BodyText"/>
        <w:spacing w:before="9"/>
        <w:rPr>
          <w:rFonts w:ascii="微软雅黑"/>
          <w:b/>
          <w:sz w:val="22"/>
        </w:rPr>
      </w:pPr>
    </w:p>
    <w:p>
      <w:pPr>
        <w:pStyle w:val="BodyText"/>
        <w:spacing w:line="487" w:lineRule="auto"/>
        <w:ind w:left="961" w:right="979" w:firstLine="480"/>
      </w:pPr>
      <w:r>
        <w:rPr>
          <w:spacing w:val="-3"/>
        </w:rPr>
        <w:t>招标文件由投标人须知、合同条款、投标文件组成</w:t>
      </w:r>
      <w:r>
        <w:t>（格式</w:t>
      </w:r>
      <w:r>
        <w:rPr>
          <w:spacing w:val="-120"/>
        </w:rPr>
        <w:t>）</w:t>
      </w:r>
      <w:r>
        <w:rPr>
          <w:spacing w:val="-5"/>
        </w:rPr>
        <w:t>、养护量清单、修</w:t>
      </w:r>
      <w:r>
        <w:t>改和澄清的答疑文件组成。</w:t>
      </w:r>
    </w:p>
    <w:p>
      <w:pPr>
        <w:spacing w:after="0" w:line="487" w:lineRule="auto"/>
        <w:sectPr>
          <w:type w:val="continuous"/>
          <w:pgSz w:w="11910" w:h="16840"/>
          <w:pgMar w:top="1580" w:right="720" w:bottom="280" w:left="740" w:header="708" w:footer="708"/>
          <w:pgNumType w:start="8"/>
          <w:cols w:space="708"/>
        </w:sectPr>
      </w:pPr>
    </w:p>
    <w:p>
      <w:pPr>
        <w:pStyle w:val="Heading6"/>
        <w:numPr>
          <w:ilvl w:val="0"/>
          <w:numId w:val="8"/>
        </w:numPr>
        <w:tabs>
          <w:tab w:val="left" w:pos="1612"/>
        </w:tabs>
        <w:spacing w:before="0" w:after="0" w:line="442" w:lineRule="exact"/>
        <w:ind w:left="1611" w:right="0" w:hanging="181"/>
        <w:jc w:val="left"/>
      </w:pPr>
      <w:r>
        <w:t>现场踏勘</w:t>
      </w:r>
    </w:p>
    <w:p>
      <w:pPr>
        <w:pStyle w:val="BodyText"/>
        <w:spacing w:before="8"/>
        <w:rPr>
          <w:rFonts w:ascii="微软雅黑"/>
          <w:b/>
          <w:sz w:val="22"/>
        </w:rPr>
      </w:pPr>
    </w:p>
    <w:p>
      <w:pPr>
        <w:pStyle w:val="ListParagraph"/>
        <w:numPr>
          <w:ilvl w:val="1"/>
          <w:numId w:val="8"/>
        </w:numPr>
        <w:tabs>
          <w:tab w:val="left" w:pos="1854"/>
        </w:tabs>
        <w:spacing w:before="1" w:after="0" w:line="487" w:lineRule="auto"/>
        <w:ind w:left="955" w:right="1018" w:firstLine="408"/>
        <w:jc w:val="both"/>
        <w:rPr>
          <w:sz w:val="24"/>
        </w:rPr>
      </w:pPr>
      <w:r>
        <w:rPr>
          <w:spacing w:val="27"/>
          <w:sz w:val="24"/>
        </w:rPr>
        <w:t>招标人不组织现场勘察。 招标人向投标人提供的有关现场的数</w:t>
      </w:r>
      <w:r>
        <w:rPr>
          <w:spacing w:val="21"/>
          <w:sz w:val="24"/>
        </w:rPr>
        <w:t>据和资料， 是招标人现有的能被投标人利用的资料， 招标人对投标人</w:t>
      </w:r>
      <w:r>
        <w:rPr>
          <w:spacing w:val="36"/>
          <w:sz w:val="24"/>
        </w:rPr>
        <w:t>作出的任何推论、理解和结论均不负责任。</w:t>
      </w:r>
    </w:p>
    <w:p>
      <w:pPr>
        <w:pStyle w:val="ListParagraph"/>
        <w:numPr>
          <w:ilvl w:val="1"/>
          <w:numId w:val="8"/>
        </w:numPr>
        <w:tabs>
          <w:tab w:val="left" w:pos="1854"/>
        </w:tabs>
        <w:spacing w:before="155" w:after="0" w:line="240" w:lineRule="auto"/>
        <w:ind w:left="1853" w:right="0" w:hanging="491"/>
        <w:jc w:val="left"/>
        <w:rPr>
          <w:sz w:val="24"/>
        </w:rPr>
      </w:pPr>
      <w:r>
        <w:rPr>
          <w:spacing w:val="27"/>
          <w:sz w:val="24"/>
        </w:rPr>
        <w:t>参加现场踏勘等咨询活动不是强制性的， 由投标人自行决定。</w:t>
      </w:r>
    </w:p>
    <w:p>
      <w:pPr>
        <w:pStyle w:val="BodyText"/>
        <w:spacing w:before="11"/>
        <w:rPr>
          <w:sz w:val="36"/>
        </w:rPr>
      </w:pPr>
    </w:p>
    <w:p>
      <w:pPr>
        <w:pStyle w:val="ListParagraph"/>
        <w:numPr>
          <w:ilvl w:val="1"/>
          <w:numId w:val="8"/>
        </w:numPr>
        <w:tabs>
          <w:tab w:val="left" w:pos="1855"/>
        </w:tabs>
        <w:spacing w:before="0" w:after="0" w:line="487" w:lineRule="auto"/>
        <w:ind w:left="961" w:right="1019" w:firstLine="403"/>
        <w:jc w:val="both"/>
        <w:rPr>
          <w:sz w:val="24"/>
        </w:rPr>
      </w:pPr>
      <w:r>
        <w:rPr>
          <w:spacing w:val="31"/>
          <w:sz w:val="24"/>
        </w:rPr>
        <w:t>投标人可为踏勘目的进入招标人的工程项目现场， 但投标人不</w:t>
      </w:r>
      <w:r>
        <w:rPr>
          <w:spacing w:val="32"/>
          <w:sz w:val="24"/>
        </w:rPr>
        <w:t>得因此使招标人承担有关的责任和蒙受损失。 投标人应承担踏勘现场</w:t>
      </w:r>
      <w:r>
        <w:rPr>
          <w:spacing w:val="35"/>
          <w:sz w:val="24"/>
        </w:rPr>
        <w:t>的费用、责任和风险。</w:t>
      </w:r>
    </w:p>
    <w:p>
      <w:pPr>
        <w:pStyle w:val="Heading6"/>
        <w:numPr>
          <w:ilvl w:val="0"/>
          <w:numId w:val="8"/>
        </w:numPr>
        <w:tabs>
          <w:tab w:val="left" w:pos="1726"/>
        </w:tabs>
        <w:spacing w:before="79" w:after="0" w:line="240" w:lineRule="auto"/>
        <w:ind w:left="1725" w:right="0" w:hanging="301"/>
        <w:jc w:val="left"/>
      </w:pPr>
      <w:r>
        <w:t>招标人不组织投标答疑会。</w:t>
      </w:r>
    </w:p>
    <w:p>
      <w:pPr>
        <w:pStyle w:val="BodyText"/>
        <w:spacing w:before="5"/>
        <w:rPr>
          <w:rFonts w:ascii="微软雅黑"/>
          <w:b/>
          <w:sz w:val="18"/>
        </w:rPr>
      </w:pPr>
    </w:p>
    <w:p>
      <w:pPr>
        <w:pStyle w:val="ListParagraph"/>
        <w:numPr>
          <w:ilvl w:val="0"/>
          <w:numId w:val="8"/>
        </w:numPr>
        <w:tabs>
          <w:tab w:val="left" w:pos="1741"/>
        </w:tabs>
        <w:spacing w:before="1" w:after="0" w:line="240" w:lineRule="auto"/>
        <w:ind w:left="1741" w:right="0" w:hanging="300"/>
        <w:jc w:val="left"/>
        <w:rPr>
          <w:rFonts w:ascii="微软雅黑" w:eastAsia="微软雅黑" w:hint="eastAsia"/>
          <w:b/>
          <w:sz w:val="24"/>
        </w:rPr>
      </w:pPr>
      <w:r>
        <w:rPr>
          <w:rFonts w:ascii="微软雅黑" w:eastAsia="微软雅黑" w:hint="eastAsia"/>
          <w:b/>
          <w:sz w:val="24"/>
        </w:rPr>
        <w:t>招标文件的澄清及修改</w:t>
      </w:r>
    </w:p>
    <w:p>
      <w:pPr>
        <w:pStyle w:val="BodyText"/>
        <w:spacing w:before="8"/>
        <w:rPr>
          <w:rFonts w:ascii="微软雅黑"/>
          <w:b/>
          <w:sz w:val="22"/>
        </w:rPr>
      </w:pPr>
    </w:p>
    <w:p>
      <w:pPr>
        <w:pStyle w:val="BodyText"/>
        <w:ind w:left="1441"/>
      </w:pPr>
      <w:r>
        <w:t xml:space="preserve">投标人对工程情况和招标文件（含养护量清单）有疑问的可于 </w:t>
      </w:r>
      <w:r>
        <w:rPr>
          <w:u w:val="single"/>
        </w:rPr>
        <w:t>2009</w:t>
      </w:r>
      <w:r>
        <w:t xml:space="preserve"> 年 </w:t>
      </w:r>
      <w:r>
        <w:rPr>
          <w:u w:val="single"/>
        </w:rPr>
        <w:t>2</w:t>
      </w:r>
      <w:r>
        <w:t xml:space="preserve"> 月 </w:t>
      </w:r>
      <w:r>
        <w:rPr>
          <w:u w:val="single"/>
        </w:rPr>
        <w:t>9</w:t>
      </w:r>
      <w:r>
        <w:t xml:space="preserve"> 日</w:t>
      </w:r>
    </w:p>
    <w:p>
      <w:pPr>
        <w:pStyle w:val="BodyText"/>
        <w:spacing w:before="5"/>
        <w:rPr>
          <w:sz w:val="17"/>
        </w:rPr>
      </w:pPr>
    </w:p>
    <w:p>
      <w:pPr>
        <w:pStyle w:val="BodyText"/>
        <w:spacing w:before="94" w:line="487" w:lineRule="auto"/>
        <w:ind w:left="961" w:right="979"/>
      </w:pPr>
      <w:r>
        <w:rPr>
          <w:spacing w:val="-6"/>
        </w:rPr>
        <w:t>17：00 前直接登录仙游县招投标中心网</w:t>
      </w:r>
      <w:r>
        <w:t>（/xyztb/index.htm）</w:t>
      </w:r>
      <w:r>
        <w:rPr>
          <w:spacing w:val="3"/>
        </w:rPr>
        <w:t>向招标人提出（</w:t>
      </w:r>
      <w:r>
        <w:t>应列明招标项目名称和编号）</w:t>
      </w:r>
      <w:r>
        <w:rPr>
          <w:spacing w:val="-18"/>
        </w:rPr>
        <w:t xml:space="preserve">。招标人将于 </w:t>
      </w:r>
      <w:r>
        <w:rPr>
          <w:spacing w:val="-5"/>
          <w:u w:val="single"/>
        </w:rPr>
        <w:t>2009</w:t>
      </w:r>
      <w:r>
        <w:rPr>
          <w:spacing w:val="-49"/>
        </w:rPr>
        <w:t xml:space="preserve"> 年 </w:t>
      </w:r>
      <w:r>
        <w:rPr>
          <w:u w:val="single"/>
        </w:rPr>
        <w:t>2</w:t>
      </w:r>
      <w:r>
        <w:rPr>
          <w:spacing w:val="-48"/>
        </w:rPr>
        <w:t xml:space="preserve"> 月 </w:t>
      </w:r>
      <w:r>
        <w:rPr>
          <w:spacing w:val="-3"/>
          <w:u w:val="single"/>
        </w:rPr>
        <w:t>10</w:t>
      </w:r>
      <w:r>
        <w:rPr>
          <w:spacing w:val="-49"/>
        </w:rPr>
        <w:t xml:space="preserve"> 日 </w:t>
      </w:r>
      <w:r>
        <w:rPr>
          <w:spacing w:val="-18"/>
        </w:rPr>
        <w:t>17：00</w:t>
      </w:r>
      <w:r>
        <w:rPr>
          <w:spacing w:val="-14"/>
        </w:rPr>
        <w:t xml:space="preserve"> 前于仙游县招投</w:t>
      </w:r>
    </w:p>
    <w:p>
      <w:pPr>
        <w:pStyle w:val="BodyText"/>
        <w:ind w:left="961"/>
      </w:pPr>
      <w:r>
        <w:t>标中心网上公布澄清及修改的答疑内容。</w:t>
      </w:r>
    </w:p>
    <w:p>
      <w:pPr>
        <w:pStyle w:val="BodyText"/>
        <w:spacing w:before="11"/>
        <w:rPr>
          <w:sz w:val="30"/>
        </w:rPr>
      </w:pPr>
    </w:p>
    <w:p>
      <w:pPr>
        <w:pStyle w:val="Heading6"/>
        <w:numPr>
          <w:ilvl w:val="0"/>
          <w:numId w:val="8"/>
        </w:numPr>
        <w:tabs>
          <w:tab w:val="left" w:pos="1741"/>
        </w:tabs>
        <w:spacing w:before="0" w:after="0" w:line="240" w:lineRule="auto"/>
        <w:ind w:left="1741" w:right="0" w:hanging="300"/>
        <w:jc w:val="left"/>
      </w:pPr>
      <w:r>
        <w:t>养管费计算方法</w:t>
      </w:r>
    </w:p>
    <w:p>
      <w:pPr>
        <w:pStyle w:val="BodyText"/>
        <w:spacing w:before="6"/>
        <w:rPr>
          <w:rFonts w:ascii="微软雅黑"/>
          <w:b/>
          <w:sz w:val="18"/>
        </w:rPr>
      </w:pPr>
    </w:p>
    <w:p>
      <w:pPr>
        <w:spacing w:before="0"/>
        <w:ind w:left="1442" w:right="0" w:firstLine="0"/>
        <w:jc w:val="left"/>
        <w:rPr>
          <w:rFonts w:ascii="微软雅黑" w:eastAsia="微软雅黑" w:hAnsi="微软雅黑" w:hint="eastAsia"/>
          <w:b/>
          <w:sz w:val="24"/>
        </w:rPr>
      </w:pPr>
      <w:r>
        <w:rPr>
          <w:rFonts w:ascii="微软雅黑" w:eastAsia="微软雅黑" w:hAnsi="微软雅黑" w:hint="eastAsia"/>
          <w:b/>
          <w:sz w:val="24"/>
        </w:rPr>
        <w:t>12.1 月养管费计算方法：47040.5㎡×0.6 元/㎡·月</w:t>
      </w:r>
    </w:p>
    <w:p>
      <w:pPr>
        <w:pStyle w:val="BodyText"/>
        <w:spacing w:before="5"/>
        <w:rPr>
          <w:rFonts w:ascii="微软雅黑"/>
          <w:b/>
          <w:sz w:val="18"/>
        </w:rPr>
      </w:pPr>
    </w:p>
    <w:p>
      <w:pPr>
        <w:pStyle w:val="Heading6"/>
        <w:spacing w:before="1"/>
        <w:ind w:left="1442"/>
      </w:pPr>
      <w:r>
        <w:t>12.2 年养管费计算方法：47040.5㎡×0.6 元/㎡·月×12 月</w:t>
      </w:r>
    </w:p>
    <w:p>
      <w:pPr>
        <w:pStyle w:val="BodyText"/>
        <w:spacing w:before="5"/>
        <w:rPr>
          <w:rFonts w:ascii="微软雅黑"/>
          <w:b/>
          <w:sz w:val="18"/>
        </w:rPr>
      </w:pPr>
    </w:p>
    <w:p>
      <w:pPr>
        <w:spacing w:before="0"/>
        <w:ind w:left="1442" w:right="0" w:firstLine="0"/>
        <w:jc w:val="left"/>
        <w:rPr>
          <w:rFonts w:ascii="微软雅黑" w:eastAsia="微软雅黑" w:hAnsi="微软雅黑" w:hint="eastAsia"/>
          <w:b/>
          <w:sz w:val="24"/>
        </w:rPr>
      </w:pPr>
      <w:r>
        <w:rPr>
          <w:rFonts w:ascii="微软雅黑" w:eastAsia="微软雅黑" w:hAnsi="微软雅黑" w:hint="eastAsia"/>
          <w:b/>
          <w:sz w:val="24"/>
        </w:rPr>
        <w:t>12.3 三年养管费计算方法：47040.5㎡×0.6 元/㎡·月×12 月×三年</w:t>
      </w:r>
    </w:p>
    <w:p>
      <w:pPr>
        <w:pStyle w:val="BodyText"/>
        <w:spacing w:before="6"/>
        <w:rPr>
          <w:rFonts w:ascii="微软雅黑"/>
          <w:b/>
          <w:sz w:val="18"/>
        </w:rPr>
      </w:pPr>
    </w:p>
    <w:p>
      <w:pPr>
        <w:pStyle w:val="Heading6"/>
        <w:numPr>
          <w:ilvl w:val="0"/>
          <w:numId w:val="8"/>
        </w:numPr>
        <w:tabs>
          <w:tab w:val="left" w:pos="1742"/>
        </w:tabs>
        <w:spacing w:before="0" w:after="0" w:line="240" w:lineRule="auto"/>
        <w:ind w:left="1742" w:right="0" w:hanging="300"/>
        <w:jc w:val="left"/>
      </w:pPr>
      <w:r>
        <w:t>投标报价</w:t>
      </w:r>
    </w:p>
    <w:p>
      <w:pPr>
        <w:spacing w:after="0" w:line="240" w:lineRule="auto"/>
        <w:jc w:val="left"/>
        <w:sectPr>
          <w:pgSz w:w="11910" w:h="16840"/>
          <w:pgMar w:top="1480" w:right="720" w:bottom="280" w:left="740" w:header="708" w:footer="708"/>
          <w:pgNumType w:start="9"/>
          <w:cols w:space="708"/>
        </w:sectPr>
      </w:pPr>
    </w:p>
    <w:p>
      <w:pPr>
        <w:spacing w:before="0" w:line="338" w:lineRule="auto"/>
        <w:ind w:left="962" w:right="979" w:firstLine="480"/>
        <w:jc w:val="left"/>
        <w:rPr>
          <w:rFonts w:ascii="微软雅黑" w:eastAsia="微软雅黑" w:hAnsi="微软雅黑" w:hint="eastAsia"/>
          <w:b/>
          <w:sz w:val="24"/>
        </w:rPr>
      </w:pPr>
      <w:r>
        <w:rPr>
          <w:rFonts w:ascii="微软雅黑" w:eastAsia="微软雅黑" w:hAnsi="微软雅黑" w:hint="eastAsia"/>
          <w:b/>
          <w:sz w:val="24"/>
        </w:rPr>
        <w:t>投标人应按 0.6 元/㎡·月进行报价〖备注：投标报价和此报价价不相同的为废标〗</w:t>
      </w:r>
    </w:p>
    <w:p>
      <w:pPr>
        <w:pStyle w:val="Heading6"/>
        <w:numPr>
          <w:ilvl w:val="0"/>
          <w:numId w:val="8"/>
        </w:numPr>
        <w:tabs>
          <w:tab w:val="left" w:pos="1741"/>
        </w:tabs>
        <w:spacing w:before="155" w:after="0" w:line="240" w:lineRule="auto"/>
        <w:ind w:left="1741" w:right="0" w:hanging="300"/>
        <w:jc w:val="left"/>
      </w:pPr>
      <w:r>
        <w:t>合同承包价</w:t>
      </w:r>
    </w:p>
    <w:p>
      <w:pPr>
        <w:pStyle w:val="BodyText"/>
        <w:spacing w:before="6"/>
        <w:rPr>
          <w:rFonts w:ascii="微软雅黑"/>
          <w:b/>
          <w:sz w:val="18"/>
        </w:rPr>
      </w:pPr>
    </w:p>
    <w:p>
      <w:pPr>
        <w:spacing w:before="0"/>
        <w:ind w:left="404" w:right="644" w:firstLine="0"/>
        <w:jc w:val="center"/>
        <w:rPr>
          <w:sz w:val="24"/>
        </w:rPr>
      </w:pPr>
      <w:r>
        <w:rPr>
          <w:rFonts w:ascii="微软雅黑" w:eastAsia="微软雅黑" w:hAnsi="微软雅黑" w:hint="eastAsia"/>
          <w:b/>
          <w:sz w:val="24"/>
        </w:rPr>
        <w:t>按 47040.5㎡×0.6 元/㎡·月×12 月×三年=1016075 元进行签定</w:t>
      </w:r>
      <w:r>
        <w:rPr>
          <w:sz w:val="24"/>
        </w:rPr>
        <w:t>。</w:t>
      </w:r>
    </w:p>
    <w:p>
      <w:pPr>
        <w:pStyle w:val="BodyText"/>
        <w:spacing w:before="5"/>
        <w:rPr>
          <w:sz w:val="26"/>
        </w:rPr>
      </w:pPr>
    </w:p>
    <w:p>
      <w:pPr>
        <w:pStyle w:val="Heading6"/>
        <w:numPr>
          <w:ilvl w:val="0"/>
          <w:numId w:val="8"/>
        </w:numPr>
        <w:tabs>
          <w:tab w:val="left" w:pos="1741"/>
        </w:tabs>
        <w:spacing w:before="0" w:after="0" w:line="240" w:lineRule="auto"/>
        <w:ind w:left="1741" w:right="0" w:hanging="300"/>
        <w:jc w:val="left"/>
      </w:pPr>
      <w:r>
        <w:t>投标保证金的缴交和退仍</w:t>
      </w:r>
    </w:p>
    <w:p>
      <w:pPr>
        <w:pStyle w:val="BodyText"/>
        <w:spacing w:before="5"/>
        <w:rPr>
          <w:rFonts w:ascii="微软雅黑"/>
          <w:b/>
          <w:sz w:val="18"/>
        </w:rPr>
      </w:pPr>
    </w:p>
    <w:p>
      <w:pPr>
        <w:pStyle w:val="ListParagraph"/>
        <w:numPr>
          <w:ilvl w:val="1"/>
          <w:numId w:val="8"/>
        </w:numPr>
        <w:tabs>
          <w:tab w:val="left" w:pos="1981"/>
        </w:tabs>
        <w:spacing w:before="1" w:after="0" w:line="240" w:lineRule="auto"/>
        <w:ind w:left="1981" w:right="0" w:hanging="540"/>
        <w:jc w:val="left"/>
        <w:rPr>
          <w:rFonts w:ascii="微软雅黑" w:eastAsia="微软雅黑" w:hint="eastAsia"/>
          <w:b/>
          <w:sz w:val="24"/>
        </w:rPr>
      </w:pPr>
      <w:r>
        <w:rPr>
          <w:rFonts w:ascii="微软雅黑" w:eastAsia="微软雅黑" w:hint="eastAsia"/>
          <w:b/>
          <w:spacing w:val="3"/>
          <w:sz w:val="24"/>
        </w:rPr>
        <w:t>投标保证金金额为人民币</w:t>
      </w:r>
      <w:r>
        <w:rPr>
          <w:rFonts w:ascii="微软雅黑" w:eastAsia="微软雅黑" w:hint="eastAsia"/>
          <w:b/>
          <w:w w:val="175"/>
          <w:sz w:val="24"/>
        </w:rPr>
        <w:t>:</w:t>
      </w:r>
      <w:r>
        <w:rPr>
          <w:rFonts w:ascii="微软雅黑" w:eastAsia="微软雅黑" w:hint="eastAsia"/>
          <w:b/>
          <w:spacing w:val="3"/>
          <w:sz w:val="24"/>
          <w:u w:val="thick"/>
        </w:rPr>
        <w:t>贰万</w:t>
      </w:r>
      <w:r>
        <w:rPr>
          <w:rFonts w:ascii="微软雅黑" w:eastAsia="微软雅黑" w:hint="eastAsia"/>
          <w:b/>
          <w:spacing w:val="3"/>
          <w:sz w:val="24"/>
        </w:rPr>
        <w:t>元整（￥</w:t>
      </w:r>
      <w:r>
        <w:rPr>
          <w:rFonts w:ascii="微软雅黑" w:eastAsia="微软雅黑" w:hint="eastAsia"/>
          <w:b/>
          <w:w w:val="81"/>
          <w:sz w:val="24"/>
          <w:u w:val="thick"/>
        </w:rPr>
        <w:t>20000</w:t>
      </w:r>
      <w:r>
        <w:rPr>
          <w:rFonts w:ascii="微软雅黑" w:eastAsia="微软雅黑" w:hint="eastAsia"/>
          <w:b/>
          <w:spacing w:val="-5"/>
          <w:sz w:val="24"/>
        </w:rPr>
        <w:t xml:space="preserve"> 元</w:t>
      </w:r>
      <w:r>
        <w:rPr>
          <w:rFonts w:ascii="微软雅黑" w:eastAsia="微软雅黑" w:hint="eastAsia"/>
          <w:b/>
          <w:spacing w:val="-117"/>
          <w:sz w:val="24"/>
        </w:rPr>
        <w:t>）</w:t>
      </w:r>
      <w:r>
        <w:rPr>
          <w:rFonts w:ascii="微软雅黑" w:eastAsia="微软雅黑" w:hint="eastAsia"/>
          <w:b/>
          <w:spacing w:val="2"/>
          <w:sz w:val="24"/>
        </w:rPr>
        <w:t>，投标人必须按规定</w:t>
      </w:r>
    </w:p>
    <w:p>
      <w:pPr>
        <w:pStyle w:val="BodyText"/>
        <w:spacing w:before="17"/>
        <w:rPr>
          <w:rFonts w:ascii="微软雅黑"/>
          <w:b/>
          <w:sz w:val="8"/>
        </w:rPr>
      </w:pPr>
    </w:p>
    <w:p>
      <w:pPr>
        <w:pStyle w:val="Heading6"/>
        <w:spacing w:before="17"/>
      </w:pPr>
      <w:r>
        <w:t>交纳。</w:t>
      </w:r>
    </w:p>
    <w:p>
      <w:pPr>
        <w:spacing w:before="181" w:line="338" w:lineRule="auto"/>
        <w:ind w:left="1441" w:right="5644" w:firstLine="0"/>
        <w:jc w:val="left"/>
        <w:rPr>
          <w:rFonts w:ascii="微软雅黑" w:eastAsia="微软雅黑" w:hint="eastAsia"/>
          <w:b/>
          <w:sz w:val="21"/>
        </w:rPr>
      </w:pPr>
      <w:r>
        <w:rPr>
          <w:rFonts w:ascii="微软雅黑" w:eastAsia="微软雅黑" w:hint="eastAsia"/>
          <w:b/>
          <w:sz w:val="24"/>
        </w:rPr>
        <w:t>银行账户名称：</w:t>
      </w:r>
      <w:r>
        <w:rPr>
          <w:rFonts w:ascii="微软雅黑" w:eastAsia="微软雅黑" w:hint="eastAsia"/>
          <w:b/>
          <w:sz w:val="21"/>
        </w:rPr>
        <w:t>仙游县招投标中心</w:t>
      </w:r>
      <w:r>
        <w:rPr>
          <w:rFonts w:ascii="微软雅黑" w:eastAsia="微软雅黑" w:hint="eastAsia"/>
          <w:b/>
          <w:sz w:val="24"/>
        </w:rPr>
        <w:t>开户行：</w:t>
      </w:r>
      <w:r>
        <w:rPr>
          <w:rFonts w:ascii="微软雅黑" w:eastAsia="微软雅黑" w:hint="eastAsia"/>
          <w:b/>
          <w:sz w:val="21"/>
        </w:rPr>
        <w:t>农业银行仙游支行</w:t>
      </w:r>
    </w:p>
    <w:p>
      <w:pPr>
        <w:spacing w:before="1"/>
        <w:ind w:left="1441" w:right="0" w:firstLine="0"/>
        <w:jc w:val="left"/>
        <w:rPr>
          <w:rFonts w:ascii="微软雅黑" w:eastAsia="微软雅黑" w:hint="eastAsia"/>
          <w:b/>
          <w:sz w:val="21"/>
        </w:rPr>
      </w:pPr>
      <w:r>
        <w:rPr>
          <w:rFonts w:ascii="微软雅黑" w:eastAsia="微软雅黑" w:hint="eastAsia"/>
          <w:b/>
          <w:sz w:val="24"/>
        </w:rPr>
        <w:t>账号：</w:t>
      </w:r>
      <w:r>
        <w:rPr>
          <w:rFonts w:ascii="微软雅黑" w:eastAsia="微软雅黑" w:hint="eastAsia"/>
          <w:b/>
          <w:sz w:val="21"/>
        </w:rPr>
        <w:t>13430101040005064</w:t>
      </w:r>
    </w:p>
    <w:p>
      <w:pPr>
        <w:pStyle w:val="ListParagraph"/>
        <w:numPr>
          <w:ilvl w:val="1"/>
          <w:numId w:val="8"/>
        </w:numPr>
        <w:tabs>
          <w:tab w:val="left" w:pos="1981"/>
        </w:tabs>
        <w:spacing w:before="118" w:after="0" w:line="268" w:lineRule="auto"/>
        <w:ind w:left="961" w:right="979" w:firstLine="480"/>
        <w:jc w:val="both"/>
        <w:rPr>
          <w:sz w:val="24"/>
        </w:rPr>
      </w:pPr>
      <w:r>
        <w:rPr>
          <w:sz w:val="24"/>
        </w:rPr>
        <w:t>投标保证金手续须于截标前自行办妥。投标保证金应当从投标人基本账户转入招标人指定的银行专户，且写明投标人、投标项目名称。缴交时间确认以招标文件指定银行于截标时出具的对账单为准。截标时，县招投标中心应当负责查询该项目投标保证金入账情况，且及时通知招标人。</w:t>
      </w:r>
    </w:p>
    <w:p>
      <w:pPr>
        <w:pStyle w:val="ListParagraph"/>
        <w:numPr>
          <w:ilvl w:val="1"/>
          <w:numId w:val="8"/>
        </w:numPr>
        <w:tabs>
          <w:tab w:val="left" w:pos="2041"/>
        </w:tabs>
        <w:spacing w:before="140" w:after="0" w:line="240" w:lineRule="auto"/>
        <w:ind w:left="2041" w:right="0" w:hanging="540"/>
        <w:jc w:val="both"/>
        <w:rPr>
          <w:sz w:val="24"/>
        </w:rPr>
      </w:pPr>
      <w:r>
        <w:rPr>
          <w:spacing w:val="-2"/>
          <w:sz w:val="24"/>
        </w:rPr>
        <w:t>于投标文件递交截止时间前，投标申请人投标保证金必须汇至仙游县招</w:t>
      </w:r>
    </w:p>
    <w:p>
      <w:pPr>
        <w:pStyle w:val="BodyText"/>
        <w:spacing w:before="9"/>
      </w:pPr>
    </w:p>
    <w:p>
      <w:pPr>
        <w:pStyle w:val="BodyText"/>
        <w:ind w:left="961"/>
      </w:pPr>
      <w:r>
        <w:t>投标中心银行专户，否则投标人的投标文件按废标处理。</w:t>
      </w:r>
    </w:p>
    <w:p>
      <w:pPr>
        <w:pStyle w:val="ListParagraph"/>
        <w:numPr>
          <w:ilvl w:val="1"/>
          <w:numId w:val="8"/>
        </w:numPr>
        <w:tabs>
          <w:tab w:val="left" w:pos="1981"/>
        </w:tabs>
        <w:spacing w:before="176" w:after="0" w:line="268" w:lineRule="auto"/>
        <w:ind w:left="961" w:right="979" w:firstLine="480"/>
        <w:jc w:val="both"/>
        <w:rPr>
          <w:sz w:val="24"/>
        </w:rPr>
      </w:pPr>
      <w:r>
        <w:rPr>
          <w:sz w:val="24"/>
        </w:rPr>
        <w:t>开标完成后，未中标的投标人的保证金次日退仍至其基本账户，中标人的投标保证金于签订养护合同后五日内退仍至其基本账户。</w:t>
      </w:r>
    </w:p>
    <w:p>
      <w:pPr>
        <w:pStyle w:val="Heading6"/>
        <w:numPr>
          <w:ilvl w:val="1"/>
          <w:numId w:val="8"/>
        </w:numPr>
        <w:tabs>
          <w:tab w:val="left" w:pos="1982"/>
        </w:tabs>
        <w:spacing w:before="63" w:after="0" w:line="240" w:lineRule="auto"/>
        <w:ind w:left="1982" w:right="0" w:hanging="540"/>
        <w:jc w:val="both"/>
        <w:rPr>
          <w:rFonts w:ascii="宋体" w:eastAsia="宋体" w:hint="eastAsia"/>
        </w:rPr>
      </w:pPr>
      <w:r>
        <w:t>发生下列情况之壹，投标保证金将被没收：</w:t>
      </w:r>
    </w:p>
    <w:p>
      <w:pPr>
        <w:pStyle w:val="BodyText"/>
        <w:rPr>
          <w:rFonts w:ascii="微软雅黑"/>
          <w:b/>
          <w:sz w:val="14"/>
        </w:rPr>
      </w:pPr>
    </w:p>
    <w:p>
      <w:pPr>
        <w:pStyle w:val="ListParagraph"/>
        <w:numPr>
          <w:ilvl w:val="2"/>
          <w:numId w:val="8"/>
        </w:numPr>
        <w:tabs>
          <w:tab w:val="left" w:pos="1923"/>
        </w:tabs>
        <w:spacing w:before="1" w:after="0" w:line="487" w:lineRule="auto"/>
        <w:ind w:left="1561" w:right="3243" w:firstLine="1"/>
        <w:jc w:val="left"/>
        <w:rPr>
          <w:sz w:val="24"/>
        </w:rPr>
      </w:pPr>
      <w:r>
        <w:rPr>
          <w:spacing w:val="-1"/>
          <w:sz w:val="24"/>
        </w:rPr>
        <w:t xml:space="preserve">开标后于投标有效期间，投标人撤回其投标书的； </w:t>
      </w:r>
      <w:r>
        <w:rPr>
          <w:sz w:val="24"/>
        </w:rPr>
        <w:t>(2)中标人放弃中标的或不按规定签约的；</w:t>
      </w:r>
    </w:p>
    <w:p>
      <w:pPr>
        <w:pStyle w:val="BodyText"/>
        <w:spacing w:line="307" w:lineRule="exact"/>
        <w:ind w:left="1561"/>
      </w:pPr>
      <w:r>
        <w:t>(3)中标人于规定的期限内未提交履约保证金的；</w:t>
      </w:r>
    </w:p>
    <w:p>
      <w:pPr>
        <w:pStyle w:val="BodyText"/>
        <w:spacing w:before="11"/>
        <w:rPr>
          <w:sz w:val="30"/>
        </w:rPr>
      </w:pPr>
    </w:p>
    <w:p>
      <w:pPr>
        <w:pStyle w:val="Heading6"/>
        <w:numPr>
          <w:ilvl w:val="0"/>
          <w:numId w:val="8"/>
        </w:numPr>
        <w:tabs>
          <w:tab w:val="left" w:pos="1741"/>
        </w:tabs>
        <w:spacing w:before="0" w:after="0" w:line="240" w:lineRule="auto"/>
        <w:ind w:left="1740" w:right="0" w:hanging="300"/>
        <w:jc w:val="left"/>
      </w:pPr>
      <w:r>
        <w:t>投标工期及质量</w:t>
      </w:r>
    </w:p>
    <w:p>
      <w:pPr>
        <w:spacing w:after="0" w:line="240" w:lineRule="auto"/>
        <w:jc w:val="left"/>
        <w:sectPr>
          <w:pgSz w:w="11910" w:h="16840"/>
          <w:pgMar w:top="1480" w:right="720" w:bottom="280" w:left="740" w:header="708" w:footer="708"/>
          <w:pgNumType w:start="10"/>
          <w:cols w:space="708"/>
        </w:sectPr>
      </w:pPr>
    </w:p>
    <w:p>
      <w:pPr>
        <w:pStyle w:val="ListParagraph"/>
        <w:numPr>
          <w:ilvl w:val="1"/>
          <w:numId w:val="8"/>
        </w:numPr>
        <w:tabs>
          <w:tab w:val="left" w:pos="1981"/>
        </w:tabs>
        <w:spacing w:before="0" w:after="0" w:line="442" w:lineRule="exact"/>
        <w:ind w:left="1980" w:right="0" w:hanging="540"/>
        <w:jc w:val="left"/>
        <w:rPr>
          <w:sz w:val="24"/>
        </w:rPr>
      </w:pPr>
      <w:r>
        <w:rPr>
          <w:sz w:val="24"/>
        </w:rPr>
        <w:t>本招标工程项目养护总工期为</w:t>
      </w:r>
      <w:r>
        <w:rPr>
          <w:rFonts w:ascii="微软雅黑" w:eastAsia="微软雅黑" w:hint="eastAsia"/>
          <w:b/>
          <w:sz w:val="24"/>
          <w:u w:val="thick"/>
        </w:rPr>
        <w:t>三</w:t>
      </w:r>
      <w:r>
        <w:rPr>
          <w:rFonts w:ascii="微软雅黑" w:eastAsia="微软雅黑" w:hint="eastAsia"/>
          <w:b/>
          <w:sz w:val="24"/>
        </w:rPr>
        <w:t>年</w:t>
      </w:r>
      <w:r>
        <w:rPr>
          <w:sz w:val="24"/>
        </w:rPr>
        <w:t>。</w:t>
      </w:r>
    </w:p>
    <w:p>
      <w:pPr>
        <w:pStyle w:val="BodyText"/>
        <w:rPr>
          <w:sz w:val="25"/>
        </w:rPr>
      </w:pPr>
    </w:p>
    <w:p>
      <w:pPr>
        <w:pStyle w:val="ListParagraph"/>
        <w:numPr>
          <w:ilvl w:val="1"/>
          <w:numId w:val="8"/>
        </w:numPr>
        <w:tabs>
          <w:tab w:val="left" w:pos="1981"/>
        </w:tabs>
        <w:spacing w:before="94" w:after="0" w:line="487" w:lineRule="auto"/>
        <w:ind w:left="961" w:right="979" w:firstLine="480"/>
        <w:jc w:val="both"/>
        <w:rPr>
          <w:sz w:val="24"/>
        </w:rPr>
      </w:pPr>
      <w:r>
        <w:rPr>
          <w:sz w:val="24"/>
        </w:rPr>
        <w:t>养护质量要求按照国家质量验收标准，综合评定指标达到仙游县园林绿化养护管理标准。若质量验收评定不能达到合格，所造成的壹切损失由养管单位承担。</w:t>
      </w:r>
    </w:p>
    <w:p>
      <w:pPr>
        <w:pStyle w:val="Heading6"/>
        <w:numPr>
          <w:ilvl w:val="0"/>
          <w:numId w:val="8"/>
        </w:numPr>
        <w:tabs>
          <w:tab w:val="left" w:pos="1741"/>
        </w:tabs>
        <w:spacing w:before="0" w:after="0" w:line="332" w:lineRule="exact"/>
        <w:ind w:left="1741" w:right="0" w:hanging="300"/>
        <w:jc w:val="both"/>
      </w:pPr>
      <w:r>
        <w:t>缺株补植</w:t>
      </w:r>
    </w:p>
    <w:p>
      <w:pPr>
        <w:spacing w:before="20" w:line="187" w:lineRule="auto"/>
        <w:ind w:left="961" w:right="979" w:firstLine="480"/>
        <w:jc w:val="both"/>
        <w:rPr>
          <w:rFonts w:ascii="微软雅黑" w:eastAsia="微软雅黑" w:hAnsi="微软雅黑" w:hint="eastAsia"/>
          <w:b/>
          <w:sz w:val="24"/>
        </w:rPr>
      </w:pPr>
      <w:r>
        <w:rPr>
          <w:rFonts w:ascii="微软雅黑" w:eastAsia="微软雅黑" w:hAnsi="微软雅黑" w:hint="eastAsia"/>
          <w:b/>
          <w:spacing w:val="-6"/>
          <w:sz w:val="24"/>
        </w:rPr>
        <w:t xml:space="preserve">本次招标共 </w:t>
      </w:r>
      <w:r>
        <w:rPr>
          <w:rFonts w:ascii="微软雅黑" w:eastAsia="微软雅黑" w:hAnsi="微软雅黑" w:hint="eastAsia"/>
          <w:b/>
          <w:sz w:val="24"/>
        </w:rPr>
        <w:t>290</w:t>
      </w:r>
      <w:r>
        <w:rPr>
          <w:rFonts w:ascii="微软雅黑" w:eastAsia="微软雅黑" w:hAnsi="微软雅黑" w:hint="eastAsia"/>
          <w:b/>
          <w:spacing w:val="-5"/>
          <w:sz w:val="24"/>
        </w:rPr>
        <w:t xml:space="preserve"> 株需补植，补植费用不计于本次发包价中</w:t>
      </w:r>
      <w:r>
        <w:rPr>
          <w:rFonts w:ascii="微软雅黑" w:eastAsia="微软雅黑" w:hAnsi="微软雅黑" w:hint="eastAsia"/>
          <w:b/>
          <w:spacing w:val="3"/>
          <w:sz w:val="24"/>
        </w:rPr>
        <w:t>（</w:t>
      </w:r>
      <w:r>
        <w:rPr>
          <w:rFonts w:ascii="微软雅黑" w:eastAsia="微软雅黑" w:hAnsi="微软雅黑" w:hint="eastAsia"/>
          <w:b/>
          <w:spacing w:val="2"/>
          <w:sz w:val="24"/>
        </w:rPr>
        <w:t>补植费用按适时市场价另行计取且应于合同价中相应扣除保活期费用</w:t>
      </w:r>
      <w:r>
        <w:rPr>
          <w:rFonts w:ascii="微软雅黑" w:eastAsia="微软雅黑" w:hAnsi="微软雅黑" w:hint="eastAsia"/>
          <w:b/>
          <w:spacing w:val="-120"/>
          <w:sz w:val="24"/>
        </w:rPr>
        <w:t>）</w:t>
      </w:r>
      <w:r>
        <w:rPr>
          <w:rFonts w:ascii="微软雅黑" w:eastAsia="微软雅黑" w:hAnsi="微软雅黑" w:hint="eastAsia"/>
          <w:b/>
          <w:spacing w:val="-6"/>
          <w:sz w:val="24"/>
        </w:rPr>
        <w:t>。且应于合同价中相应扣除</w:t>
      </w:r>
      <w:r>
        <w:rPr>
          <w:rFonts w:ascii="微软雅黑" w:eastAsia="微软雅黑" w:hAnsi="微软雅黑" w:hint="eastAsia"/>
          <w:b/>
          <w:sz w:val="24"/>
        </w:rPr>
        <w:t>前半年的养护费：290</w:t>
      </w:r>
      <w:r>
        <w:rPr>
          <w:rFonts w:ascii="微软雅黑" w:eastAsia="微软雅黑" w:hAnsi="微软雅黑" w:hint="eastAsia"/>
          <w:b/>
          <w:spacing w:val="-10"/>
          <w:sz w:val="24"/>
        </w:rPr>
        <w:t xml:space="preserve"> 株×</w:t>
      </w:r>
      <w:r>
        <w:rPr>
          <w:rFonts w:ascii="微软雅黑" w:eastAsia="微软雅黑" w:hAnsi="微软雅黑" w:hint="eastAsia"/>
          <w:b/>
          <w:sz w:val="24"/>
        </w:rPr>
        <w:t>1.5㎡×保活期×0.6</w:t>
      </w:r>
      <w:r>
        <w:rPr>
          <w:rFonts w:ascii="微软雅黑" w:eastAsia="微软雅黑" w:hAnsi="微软雅黑" w:hint="eastAsia"/>
          <w:b/>
          <w:spacing w:val="-15"/>
          <w:sz w:val="24"/>
        </w:rPr>
        <w:t xml:space="preserve"> 元</w:t>
      </w:r>
      <w:r>
        <w:rPr>
          <w:rFonts w:ascii="微软雅黑" w:eastAsia="微软雅黑" w:hAnsi="微软雅黑" w:hint="eastAsia"/>
          <w:b/>
          <w:sz w:val="24"/>
        </w:rPr>
        <w:t>/㎡（</w:t>
      </w:r>
      <w:r>
        <w:rPr>
          <w:rFonts w:ascii="微软雅黑" w:eastAsia="微软雅黑" w:hAnsi="微软雅黑" w:hint="eastAsia"/>
          <w:b/>
          <w:spacing w:val="-8"/>
          <w:sz w:val="24"/>
        </w:rPr>
        <w:t xml:space="preserve">每株按 </w:t>
      </w:r>
      <w:r>
        <w:rPr>
          <w:rFonts w:ascii="微软雅黑" w:eastAsia="微软雅黑" w:hAnsi="微软雅黑" w:hint="eastAsia"/>
          <w:b/>
          <w:sz w:val="24"/>
        </w:rPr>
        <w:t>1.5㎡换算</w:t>
      </w:r>
      <w:r>
        <w:rPr>
          <w:rFonts w:ascii="微软雅黑" w:eastAsia="微软雅黑" w:hAnsi="微软雅黑" w:hint="eastAsia"/>
          <w:b/>
          <w:spacing w:val="-120"/>
          <w:sz w:val="24"/>
        </w:rPr>
        <w:t>）</w:t>
      </w:r>
      <w:r>
        <w:rPr>
          <w:rFonts w:ascii="微软雅黑" w:eastAsia="微软雅黑" w:hAnsi="微软雅黑" w:hint="eastAsia"/>
          <w:b/>
          <w:sz w:val="24"/>
        </w:rPr>
        <w:t>。</w:t>
      </w:r>
    </w:p>
    <w:p>
      <w:pPr>
        <w:pStyle w:val="Heading6"/>
        <w:numPr>
          <w:ilvl w:val="0"/>
          <w:numId w:val="8"/>
        </w:numPr>
        <w:tabs>
          <w:tab w:val="left" w:pos="1741"/>
        </w:tabs>
        <w:spacing w:before="0" w:after="0" w:line="370" w:lineRule="exact"/>
        <w:ind w:left="1741" w:right="0" w:hanging="300"/>
        <w:jc w:val="both"/>
      </w:pPr>
      <w:r>
        <w:t>工程合同价控制</w:t>
      </w:r>
    </w:p>
    <w:p>
      <w:pPr>
        <w:pStyle w:val="ListParagraph"/>
        <w:numPr>
          <w:ilvl w:val="1"/>
          <w:numId w:val="8"/>
        </w:numPr>
        <w:tabs>
          <w:tab w:val="left" w:pos="1981"/>
        </w:tabs>
        <w:spacing w:before="42" w:after="0" w:line="338" w:lineRule="auto"/>
        <w:ind w:left="961" w:right="979" w:firstLine="480"/>
        <w:jc w:val="both"/>
        <w:rPr>
          <w:rFonts w:ascii="微软雅黑" w:eastAsia="微软雅黑" w:hint="eastAsia"/>
          <w:b/>
          <w:sz w:val="24"/>
        </w:rPr>
      </w:pPr>
      <w:r>
        <w:rPr>
          <w:rFonts w:ascii="微软雅黑" w:eastAsia="微软雅黑" w:hint="eastAsia"/>
          <w:b/>
          <w:sz w:val="24"/>
        </w:rPr>
        <w:t>本养护项目采用固定月综合单价包干，投标人于计算报价时应根据工程大小、技术复杂程度、养护难易程度、养护自然条件及工期长短充分考虑价格浮动、政策性调价、材料二次运输、垃圾处理费、渣土受纳费、排污费及环保噪音</w:t>
      </w:r>
      <w:r>
        <w:rPr>
          <w:rFonts w:ascii="微软雅黑" w:eastAsia="微软雅黑" w:hint="eastAsia"/>
          <w:b/>
          <w:spacing w:val="-1"/>
          <w:sz w:val="24"/>
        </w:rPr>
        <w:t xml:space="preserve">费及除战争和烈度 </w:t>
      </w:r>
      <w:r>
        <w:rPr>
          <w:rFonts w:ascii="微软雅黑" w:eastAsia="微软雅黑" w:hint="eastAsia"/>
          <w:b/>
          <w:sz w:val="24"/>
        </w:rPr>
        <w:t>7</w:t>
      </w:r>
      <w:r>
        <w:rPr>
          <w:rFonts w:ascii="微软雅黑" w:eastAsia="微软雅黑" w:hint="eastAsia"/>
          <w:b/>
          <w:spacing w:val="-4"/>
          <w:sz w:val="24"/>
        </w:rPr>
        <w:t xml:space="preserve"> 度及之上地震以外的可能发生的壹切风险因素自行计算壹定</w:t>
      </w:r>
      <w:r>
        <w:rPr>
          <w:rFonts w:ascii="微软雅黑" w:eastAsia="微软雅黑" w:hint="eastAsia"/>
          <w:b/>
          <w:sz w:val="24"/>
        </w:rPr>
        <w:t>的风险系数计入投标总价。</w:t>
      </w:r>
    </w:p>
    <w:p>
      <w:pPr>
        <w:pStyle w:val="Heading6"/>
        <w:numPr>
          <w:ilvl w:val="0"/>
          <w:numId w:val="8"/>
        </w:numPr>
        <w:tabs>
          <w:tab w:val="left" w:pos="1741"/>
        </w:tabs>
        <w:spacing w:before="1" w:after="0" w:line="240" w:lineRule="auto"/>
        <w:ind w:left="1741" w:right="0" w:hanging="300"/>
        <w:jc w:val="both"/>
      </w:pPr>
      <w:r>
        <w:t>增减工程量计算</w:t>
      </w:r>
    </w:p>
    <w:p>
      <w:pPr>
        <w:pStyle w:val="ListParagraph"/>
        <w:numPr>
          <w:ilvl w:val="1"/>
          <w:numId w:val="8"/>
        </w:numPr>
        <w:tabs>
          <w:tab w:val="left" w:pos="1981"/>
        </w:tabs>
        <w:spacing w:before="182" w:after="0" w:line="240" w:lineRule="auto"/>
        <w:ind w:left="1981" w:right="0" w:hanging="540"/>
        <w:jc w:val="both"/>
        <w:rPr>
          <w:rFonts w:ascii="微软雅黑" w:eastAsia="微软雅黑" w:hAnsi="微软雅黑" w:hint="eastAsia"/>
          <w:b/>
          <w:sz w:val="24"/>
        </w:rPr>
      </w:pPr>
      <w:r>
        <w:rPr>
          <w:rFonts w:ascii="微软雅黑" w:eastAsia="微软雅黑" w:hAnsi="微软雅黑" w:hint="eastAsia"/>
          <w:b/>
          <w:sz w:val="24"/>
        </w:rPr>
        <w:t>如增加养护面积按发包价 0.6 元/㎡·月另行计取；如减少按发包价 0.6</w:t>
      </w:r>
    </w:p>
    <w:p>
      <w:pPr>
        <w:spacing w:before="182"/>
        <w:ind w:left="961" w:right="0" w:firstLine="0"/>
        <w:jc w:val="left"/>
        <w:rPr>
          <w:rFonts w:ascii="微软雅黑" w:eastAsia="微软雅黑" w:hAnsi="微软雅黑" w:hint="eastAsia"/>
          <w:b/>
          <w:sz w:val="24"/>
        </w:rPr>
      </w:pPr>
      <w:r>
        <w:rPr>
          <w:rFonts w:ascii="微软雅黑" w:eastAsia="微软雅黑" w:hAnsi="微软雅黑" w:hint="eastAsia"/>
          <w:b/>
          <w:sz w:val="24"/>
        </w:rPr>
        <w:t>元/㎡·月相应扣除。</w:t>
      </w:r>
    </w:p>
    <w:p>
      <w:pPr>
        <w:pStyle w:val="BodyText"/>
        <w:spacing w:before="6"/>
        <w:rPr>
          <w:rFonts w:ascii="微软雅黑"/>
          <w:b/>
          <w:sz w:val="20"/>
        </w:rPr>
      </w:pPr>
    </w:p>
    <w:p>
      <w:pPr>
        <w:pStyle w:val="Heading5"/>
        <w:spacing w:before="1"/>
      </w:pPr>
      <w:r>
        <w:t>（三）投标文件的编写</w:t>
      </w:r>
    </w:p>
    <w:p>
      <w:pPr>
        <w:pStyle w:val="BodyText"/>
        <w:spacing w:before="11"/>
        <w:rPr>
          <w:sz w:val="27"/>
        </w:rPr>
      </w:pPr>
    </w:p>
    <w:p>
      <w:pPr>
        <w:pStyle w:val="Heading6"/>
        <w:numPr>
          <w:ilvl w:val="0"/>
          <w:numId w:val="6"/>
        </w:numPr>
        <w:tabs>
          <w:tab w:val="left" w:pos="1741"/>
        </w:tabs>
        <w:spacing w:before="0" w:after="0" w:line="240" w:lineRule="auto"/>
        <w:ind w:left="1741" w:right="0" w:hanging="300"/>
        <w:jc w:val="both"/>
      </w:pPr>
      <w:r>
        <w:t>投标文件的组成</w:t>
      </w:r>
    </w:p>
    <w:p>
      <w:pPr>
        <w:pStyle w:val="BodyText"/>
        <w:spacing w:before="9"/>
        <w:rPr>
          <w:rFonts w:ascii="微软雅黑"/>
          <w:b/>
          <w:sz w:val="22"/>
        </w:rPr>
      </w:pPr>
    </w:p>
    <w:p>
      <w:pPr>
        <w:pStyle w:val="ListParagraph"/>
        <w:numPr>
          <w:ilvl w:val="1"/>
          <w:numId w:val="6"/>
        </w:numPr>
        <w:tabs>
          <w:tab w:val="left" w:pos="1981"/>
        </w:tabs>
        <w:spacing w:before="0" w:after="0" w:line="487" w:lineRule="auto"/>
        <w:ind w:left="961" w:right="979" w:firstLine="480"/>
        <w:jc w:val="both"/>
        <w:rPr>
          <w:sz w:val="24"/>
        </w:rPr>
      </w:pPr>
      <w:r>
        <w:rPr>
          <w:spacing w:val="-4"/>
          <w:sz w:val="24"/>
        </w:rPr>
        <w:t>投标文件须按招标文件提供的统壹格式填写(格式中的所有表格，均可视</w:t>
      </w:r>
      <w:r>
        <w:rPr>
          <w:sz w:val="24"/>
        </w:rPr>
        <w:t>内容扩展)，包括完整地填写投标函，中文打字且装订成册。</w:t>
      </w:r>
    </w:p>
    <w:p>
      <w:pPr>
        <w:pStyle w:val="ListParagraph"/>
        <w:numPr>
          <w:ilvl w:val="1"/>
          <w:numId w:val="6"/>
        </w:numPr>
        <w:tabs>
          <w:tab w:val="left" w:pos="1981"/>
        </w:tabs>
        <w:spacing w:before="156" w:after="0" w:line="240" w:lineRule="auto"/>
        <w:ind w:left="1981" w:right="0" w:hanging="540"/>
        <w:jc w:val="both"/>
        <w:rPr>
          <w:sz w:val="24"/>
        </w:rPr>
      </w:pPr>
      <w:r>
        <w:rPr>
          <w:sz w:val="24"/>
        </w:rPr>
        <w:t>投标文件由下列内容组成。</w:t>
      </w:r>
    </w:p>
    <w:p>
      <w:pPr>
        <w:pStyle w:val="BodyText"/>
        <w:spacing w:before="11"/>
        <w:rPr>
          <w:sz w:val="36"/>
        </w:rPr>
      </w:pPr>
    </w:p>
    <w:p>
      <w:pPr>
        <w:pStyle w:val="ListParagraph"/>
        <w:numPr>
          <w:ilvl w:val="0"/>
          <w:numId w:val="5"/>
        </w:numPr>
        <w:tabs>
          <w:tab w:val="left" w:pos="2042"/>
        </w:tabs>
        <w:spacing w:before="0" w:after="0" w:line="240" w:lineRule="auto"/>
        <w:ind w:left="2042" w:right="0" w:hanging="601"/>
        <w:jc w:val="left"/>
        <w:rPr>
          <w:sz w:val="22"/>
        </w:rPr>
      </w:pPr>
      <w:r>
        <w:rPr>
          <w:sz w:val="24"/>
        </w:rPr>
        <w:t>投标承诺函</w:t>
      </w:r>
    </w:p>
    <w:p>
      <w:pPr>
        <w:spacing w:after="0" w:line="240" w:lineRule="auto"/>
        <w:jc w:val="left"/>
        <w:rPr>
          <w:sz w:val="22"/>
        </w:rPr>
        <w:sectPr>
          <w:pgSz w:w="11910" w:h="16840"/>
          <w:pgMar w:top="1480" w:right="720" w:bottom="280" w:left="740" w:header="708" w:footer="708"/>
          <w:pgNumType w:start="11"/>
          <w:cols w:space="708"/>
        </w:sectPr>
      </w:pPr>
    </w:p>
    <w:p>
      <w:pPr>
        <w:pStyle w:val="ListParagraph"/>
        <w:numPr>
          <w:ilvl w:val="0"/>
          <w:numId w:val="5"/>
        </w:numPr>
        <w:tabs>
          <w:tab w:val="left" w:pos="2042"/>
        </w:tabs>
        <w:spacing w:before="76" w:after="0" w:line="240" w:lineRule="auto"/>
        <w:ind w:left="2042" w:right="0" w:hanging="601"/>
        <w:jc w:val="left"/>
        <w:rPr>
          <w:sz w:val="22"/>
        </w:rPr>
      </w:pPr>
      <w:r>
        <w:rPr>
          <w:sz w:val="24"/>
        </w:rPr>
        <w:t>营业执照副本复印件</w:t>
      </w:r>
    </w:p>
    <w:p>
      <w:pPr>
        <w:pStyle w:val="BodyText"/>
        <w:spacing w:before="8"/>
      </w:pPr>
    </w:p>
    <w:p>
      <w:pPr>
        <w:pStyle w:val="ListParagraph"/>
        <w:numPr>
          <w:ilvl w:val="0"/>
          <w:numId w:val="5"/>
        </w:numPr>
        <w:tabs>
          <w:tab w:val="left" w:pos="2042"/>
        </w:tabs>
        <w:spacing w:before="1" w:after="0" w:line="240" w:lineRule="auto"/>
        <w:ind w:left="2042" w:right="0" w:hanging="601"/>
        <w:jc w:val="left"/>
        <w:rPr>
          <w:sz w:val="22"/>
        </w:rPr>
      </w:pPr>
      <w:r>
        <w:rPr>
          <w:sz w:val="24"/>
        </w:rPr>
        <w:t>资质证书副本复印件</w:t>
      </w:r>
    </w:p>
    <w:p>
      <w:pPr>
        <w:pStyle w:val="BodyText"/>
        <w:spacing w:before="8"/>
      </w:pPr>
    </w:p>
    <w:p>
      <w:pPr>
        <w:pStyle w:val="ListParagraph"/>
        <w:numPr>
          <w:ilvl w:val="0"/>
          <w:numId w:val="5"/>
        </w:numPr>
        <w:tabs>
          <w:tab w:val="left" w:pos="2042"/>
        </w:tabs>
        <w:spacing w:before="1" w:after="0" w:line="240" w:lineRule="auto"/>
        <w:ind w:left="2042" w:right="0" w:hanging="601"/>
        <w:jc w:val="left"/>
        <w:rPr>
          <w:sz w:val="22"/>
        </w:rPr>
      </w:pPr>
      <w:r>
        <w:rPr>
          <w:sz w:val="24"/>
        </w:rPr>
        <w:t>注册建造师执业证书（含临时）及安全生产考核合格证复印件</w:t>
      </w:r>
    </w:p>
    <w:p>
      <w:pPr>
        <w:pStyle w:val="BodyText"/>
        <w:spacing w:before="8"/>
      </w:pPr>
    </w:p>
    <w:p>
      <w:pPr>
        <w:pStyle w:val="ListParagraph"/>
        <w:numPr>
          <w:ilvl w:val="0"/>
          <w:numId w:val="5"/>
        </w:numPr>
        <w:tabs>
          <w:tab w:val="left" w:pos="2042"/>
        </w:tabs>
        <w:spacing w:before="1" w:after="0" w:line="240" w:lineRule="auto"/>
        <w:ind w:left="2042" w:right="0" w:hanging="601"/>
        <w:jc w:val="left"/>
        <w:rPr>
          <w:sz w:val="22"/>
        </w:rPr>
      </w:pPr>
      <w:r>
        <w:rPr>
          <w:sz w:val="24"/>
        </w:rPr>
        <w:t>安全生产许可证复印件</w:t>
      </w:r>
    </w:p>
    <w:p>
      <w:pPr>
        <w:pStyle w:val="BodyText"/>
        <w:spacing w:before="8"/>
      </w:pPr>
    </w:p>
    <w:p>
      <w:pPr>
        <w:pStyle w:val="ListParagraph"/>
        <w:numPr>
          <w:ilvl w:val="0"/>
          <w:numId w:val="5"/>
        </w:numPr>
        <w:tabs>
          <w:tab w:val="left" w:pos="2042"/>
        </w:tabs>
        <w:spacing w:before="1" w:after="0" w:line="240" w:lineRule="auto"/>
        <w:ind w:left="2041" w:right="0" w:hanging="601"/>
        <w:jc w:val="left"/>
        <w:rPr>
          <w:sz w:val="22"/>
        </w:rPr>
      </w:pPr>
      <w:r>
        <w:rPr>
          <w:sz w:val="24"/>
        </w:rPr>
        <w:t>银行开户许可证（或开户核准通知书）复印件</w:t>
      </w:r>
    </w:p>
    <w:p>
      <w:pPr>
        <w:pStyle w:val="BodyText"/>
        <w:spacing w:before="8"/>
      </w:pPr>
    </w:p>
    <w:p>
      <w:pPr>
        <w:pStyle w:val="ListParagraph"/>
        <w:numPr>
          <w:ilvl w:val="0"/>
          <w:numId w:val="5"/>
        </w:numPr>
        <w:tabs>
          <w:tab w:val="left" w:pos="2042"/>
        </w:tabs>
        <w:spacing w:before="1" w:after="0" w:line="240" w:lineRule="auto"/>
        <w:ind w:left="2042" w:right="0" w:hanging="601"/>
        <w:jc w:val="left"/>
        <w:rPr>
          <w:sz w:val="22"/>
        </w:rPr>
      </w:pPr>
      <w:r>
        <w:rPr>
          <w:sz w:val="24"/>
        </w:rPr>
        <w:t>交纳投标保证金凭证复印件</w:t>
      </w:r>
    </w:p>
    <w:p>
      <w:pPr>
        <w:pStyle w:val="BodyText"/>
        <w:spacing w:before="8"/>
      </w:pPr>
    </w:p>
    <w:p>
      <w:pPr>
        <w:pStyle w:val="ListParagraph"/>
        <w:numPr>
          <w:ilvl w:val="0"/>
          <w:numId w:val="5"/>
        </w:numPr>
        <w:tabs>
          <w:tab w:val="left" w:pos="2042"/>
        </w:tabs>
        <w:spacing w:before="1" w:after="0" w:line="240" w:lineRule="auto"/>
        <w:ind w:left="2042" w:right="0" w:hanging="601"/>
        <w:jc w:val="left"/>
        <w:rPr>
          <w:sz w:val="22"/>
        </w:rPr>
      </w:pPr>
      <w:r>
        <w:rPr>
          <w:sz w:val="24"/>
        </w:rPr>
        <w:t>本项目管理机构人员配备表</w:t>
      </w:r>
    </w:p>
    <w:p>
      <w:pPr>
        <w:pStyle w:val="ListParagraph"/>
        <w:numPr>
          <w:ilvl w:val="0"/>
          <w:numId w:val="5"/>
        </w:numPr>
        <w:tabs>
          <w:tab w:val="left" w:pos="1907"/>
        </w:tabs>
        <w:spacing w:before="180" w:after="0" w:line="240" w:lineRule="auto"/>
        <w:ind w:left="1907" w:right="0" w:hanging="526"/>
        <w:jc w:val="left"/>
        <w:rPr>
          <w:sz w:val="19"/>
        </w:rPr>
      </w:pPr>
      <w:r>
        <w:rPr>
          <w:sz w:val="21"/>
        </w:rPr>
        <w:t>计划投入本项目的主要机械设备表</w:t>
      </w:r>
    </w:p>
    <w:p>
      <w:pPr>
        <w:pStyle w:val="BodyText"/>
        <w:spacing w:before="1"/>
        <w:rPr>
          <w:sz w:val="23"/>
        </w:rPr>
      </w:pPr>
    </w:p>
    <w:p>
      <w:pPr>
        <w:pStyle w:val="Heading5"/>
        <w:spacing w:before="1"/>
      </w:pPr>
      <w:r>
        <w:t>（四）投标文件的递交</w:t>
      </w:r>
    </w:p>
    <w:p>
      <w:pPr>
        <w:pStyle w:val="BodyText"/>
        <w:spacing w:before="11"/>
        <w:rPr>
          <w:sz w:val="27"/>
        </w:rPr>
      </w:pPr>
    </w:p>
    <w:p>
      <w:pPr>
        <w:pStyle w:val="Heading6"/>
        <w:numPr>
          <w:ilvl w:val="0"/>
          <w:numId w:val="6"/>
        </w:numPr>
        <w:tabs>
          <w:tab w:val="left" w:pos="1741"/>
        </w:tabs>
        <w:spacing w:before="0" w:after="0" w:line="240" w:lineRule="auto"/>
        <w:ind w:left="1741" w:right="0" w:hanging="300"/>
        <w:jc w:val="left"/>
      </w:pPr>
      <w:r>
        <w:t>投标文件的密封及标记</w:t>
      </w:r>
    </w:p>
    <w:p>
      <w:pPr>
        <w:pStyle w:val="BodyText"/>
        <w:spacing w:before="9"/>
        <w:rPr>
          <w:rFonts w:ascii="微软雅黑"/>
          <w:b/>
          <w:sz w:val="22"/>
        </w:rPr>
      </w:pPr>
    </w:p>
    <w:p>
      <w:pPr>
        <w:pStyle w:val="BodyText"/>
        <w:spacing w:line="487" w:lineRule="auto"/>
        <w:ind w:left="961" w:right="979" w:firstLine="480"/>
        <w:jc w:val="both"/>
      </w:pPr>
      <w:r>
        <w:t>投标文件（正本壹份、副本三份）应密封完整。外包封上应写明：①招标人名称；②招标编号；③投标人的名称、地址和邮政编码，包封口处应加盖投标人公章，且由法定代表人盖章。</w:t>
      </w:r>
    </w:p>
    <w:p>
      <w:pPr>
        <w:pStyle w:val="Heading6"/>
        <w:numPr>
          <w:ilvl w:val="0"/>
          <w:numId w:val="6"/>
        </w:numPr>
        <w:tabs>
          <w:tab w:val="left" w:pos="1741"/>
        </w:tabs>
        <w:spacing w:before="79" w:after="0" w:line="240" w:lineRule="auto"/>
        <w:ind w:left="1741" w:right="0" w:hanging="300"/>
        <w:jc w:val="left"/>
      </w:pPr>
      <w:r>
        <w:t>投标文件的提交和投标截止时间</w:t>
      </w:r>
    </w:p>
    <w:p>
      <w:pPr>
        <w:pStyle w:val="BodyText"/>
        <w:spacing w:before="8"/>
        <w:rPr>
          <w:rFonts w:ascii="微软雅黑"/>
          <w:b/>
          <w:sz w:val="22"/>
        </w:rPr>
      </w:pPr>
    </w:p>
    <w:p>
      <w:pPr>
        <w:pStyle w:val="ListParagraph"/>
        <w:numPr>
          <w:ilvl w:val="1"/>
          <w:numId w:val="6"/>
        </w:numPr>
        <w:tabs>
          <w:tab w:val="left" w:pos="1501"/>
        </w:tabs>
        <w:spacing w:before="1" w:after="0" w:line="240" w:lineRule="auto"/>
        <w:ind w:left="1501" w:right="0" w:hanging="540"/>
        <w:jc w:val="left"/>
        <w:rPr>
          <w:sz w:val="24"/>
        </w:rPr>
      </w:pPr>
      <w:r>
        <w:rPr>
          <w:spacing w:val="-6"/>
          <w:sz w:val="24"/>
        </w:rPr>
        <w:t xml:space="preserve">投标文件提交截止时间 </w:t>
      </w:r>
      <w:r>
        <w:rPr>
          <w:sz w:val="24"/>
          <w:u w:val="single"/>
        </w:rPr>
        <w:t>2009</w:t>
      </w:r>
      <w:r>
        <w:rPr>
          <w:spacing w:val="-40"/>
          <w:sz w:val="24"/>
        </w:rPr>
        <w:t xml:space="preserve"> 年 </w:t>
      </w:r>
      <w:r>
        <w:rPr>
          <w:sz w:val="24"/>
          <w:u w:val="single"/>
        </w:rPr>
        <w:t>2</w:t>
      </w:r>
      <w:r>
        <w:rPr>
          <w:spacing w:val="-40"/>
          <w:sz w:val="24"/>
        </w:rPr>
        <w:t xml:space="preserve"> 月 </w:t>
      </w:r>
      <w:r>
        <w:rPr>
          <w:sz w:val="24"/>
          <w:u w:val="single"/>
        </w:rPr>
        <w:t>11</w:t>
      </w:r>
      <w:r>
        <w:rPr>
          <w:spacing w:val="-15"/>
          <w:sz w:val="24"/>
        </w:rPr>
        <w:t xml:space="preserve"> 日下午</w:t>
      </w:r>
      <w:r>
        <w:rPr>
          <w:spacing w:val="3"/>
          <w:sz w:val="24"/>
          <w:u w:val="single"/>
        </w:rPr>
        <w:t xml:space="preserve"> </w:t>
      </w:r>
      <w:r>
        <w:rPr>
          <w:sz w:val="24"/>
          <w:u w:val="single"/>
        </w:rPr>
        <w:t>15：30</w:t>
      </w:r>
      <w:r>
        <w:rPr>
          <w:spacing w:val="2"/>
          <w:sz w:val="24"/>
          <w:u w:val="single"/>
        </w:rPr>
        <w:t xml:space="preserve"> </w:t>
      </w:r>
      <w:r>
        <w:rPr>
          <w:sz w:val="24"/>
        </w:rPr>
        <w:t>时，提交投标文件地</w:t>
      </w:r>
    </w:p>
    <w:p>
      <w:pPr>
        <w:pStyle w:val="BodyText"/>
        <w:spacing w:before="4"/>
        <w:rPr>
          <w:sz w:val="17"/>
        </w:rPr>
      </w:pPr>
    </w:p>
    <w:p>
      <w:pPr>
        <w:spacing w:before="94"/>
        <w:ind w:left="961" w:right="0" w:firstLine="0"/>
        <w:jc w:val="left"/>
        <w:rPr>
          <w:sz w:val="24"/>
        </w:rPr>
      </w:pPr>
      <w:r>
        <w:rPr>
          <w:spacing w:val="-9"/>
          <w:sz w:val="24"/>
        </w:rPr>
        <w:t>点为：</w:t>
      </w:r>
      <w:r>
        <w:rPr>
          <w:sz w:val="21"/>
          <w:u w:val="single"/>
        </w:rPr>
        <w:t>仙游县招投标中心（仙游县自来水公司办公楼五层</w:t>
      </w:r>
      <w:r>
        <w:rPr>
          <w:spacing w:val="-105"/>
          <w:sz w:val="21"/>
          <w:u w:val="single"/>
        </w:rPr>
        <w:t>）</w:t>
      </w:r>
      <w:r>
        <w:rPr>
          <w:spacing w:val="-9"/>
          <w:sz w:val="24"/>
        </w:rPr>
        <w:t>；收件人：</w:t>
      </w:r>
      <w:r>
        <w:rPr>
          <w:sz w:val="24"/>
          <w:u w:val="single"/>
        </w:rPr>
        <w:t>福州诺成工程</w:t>
      </w:r>
      <w:r>
        <w:rPr>
          <w:sz w:val="24"/>
        </w:rPr>
        <w:t>项目</w:t>
      </w:r>
    </w:p>
    <w:p>
      <w:pPr>
        <w:pStyle w:val="BodyText"/>
        <w:spacing w:before="5"/>
        <w:rPr>
          <w:sz w:val="17"/>
        </w:rPr>
      </w:pPr>
    </w:p>
    <w:p>
      <w:pPr>
        <w:pStyle w:val="BodyText"/>
        <w:spacing w:before="94"/>
        <w:ind w:left="961"/>
      </w:pPr>
      <w:r>
        <w:t>管理 XX 公司</w:t>
      </w:r>
    </w:p>
    <w:p>
      <w:pPr>
        <w:pStyle w:val="BodyText"/>
        <w:spacing w:before="9"/>
      </w:pPr>
    </w:p>
    <w:p>
      <w:pPr>
        <w:pStyle w:val="ListParagraph"/>
        <w:numPr>
          <w:ilvl w:val="1"/>
          <w:numId w:val="6"/>
        </w:numPr>
        <w:tabs>
          <w:tab w:val="left" w:pos="1501"/>
        </w:tabs>
        <w:spacing w:before="0" w:after="0" w:line="487" w:lineRule="auto"/>
        <w:ind w:left="961" w:right="858" w:firstLine="0"/>
        <w:jc w:val="left"/>
        <w:rPr>
          <w:sz w:val="24"/>
        </w:rPr>
      </w:pPr>
      <w:r>
        <w:rPr>
          <w:sz w:val="24"/>
        </w:rPr>
        <w:t>投标人须随带个人身份证原件、营业执照副本原件、资质证书副本原件、注</w:t>
      </w:r>
      <w:r>
        <w:rPr>
          <w:spacing w:val="-1"/>
          <w:sz w:val="24"/>
        </w:rPr>
        <w:t>册建造师执业证书</w:t>
      </w:r>
      <w:r>
        <w:rPr>
          <w:sz w:val="24"/>
        </w:rPr>
        <w:t>（含临时</w:t>
      </w:r>
      <w:r>
        <w:rPr>
          <w:spacing w:val="-6"/>
          <w:sz w:val="24"/>
        </w:rPr>
        <w:t>）</w:t>
      </w:r>
      <w:r>
        <w:rPr>
          <w:spacing w:val="-2"/>
          <w:sz w:val="24"/>
        </w:rPr>
        <w:t>及安全生产考核合格证原件、安全生产许可证原件、</w:t>
      </w:r>
      <w:r>
        <w:rPr>
          <w:sz w:val="24"/>
        </w:rPr>
        <w:t>银行开户许可证（</w:t>
      </w:r>
      <w:r>
        <w:rPr>
          <w:spacing w:val="1"/>
          <w:sz w:val="24"/>
        </w:rPr>
        <w:t>或开户核准通知书</w:t>
      </w:r>
      <w:r>
        <w:rPr>
          <w:sz w:val="24"/>
        </w:rPr>
        <w:t>）原件、交纳投标保证金凭证、法定代表人资格证明书或法定代表人授权委托书及招标文件要求的其它原件参加开标会。</w:t>
      </w:r>
    </w:p>
    <w:p>
      <w:pPr>
        <w:spacing w:after="0" w:line="487" w:lineRule="auto"/>
        <w:jc w:val="left"/>
        <w:rPr>
          <w:sz w:val="24"/>
        </w:rPr>
        <w:sectPr>
          <w:pgSz w:w="11910" w:h="16840"/>
          <w:pgMar w:top="1480" w:right="720" w:bottom="280" w:left="740" w:header="708" w:footer="708"/>
          <w:pgNumType w:start="12"/>
          <w:cols w:space="708"/>
        </w:sectPr>
      </w:pPr>
    </w:p>
    <w:p>
      <w:pPr>
        <w:pStyle w:val="ListParagraph"/>
        <w:numPr>
          <w:ilvl w:val="1"/>
          <w:numId w:val="6"/>
        </w:numPr>
        <w:tabs>
          <w:tab w:val="left" w:pos="1621"/>
        </w:tabs>
        <w:spacing w:before="76" w:after="0" w:line="240" w:lineRule="auto"/>
        <w:ind w:left="1621" w:right="0" w:hanging="660"/>
        <w:jc w:val="left"/>
        <w:rPr>
          <w:sz w:val="24"/>
        </w:rPr>
      </w:pPr>
      <w:r>
        <w:rPr>
          <w:sz w:val="24"/>
        </w:rPr>
        <w:t>存于下列情形之壹的，招标人不予开启其投标文件且予以退仍：</w:t>
      </w:r>
    </w:p>
    <w:p>
      <w:pPr>
        <w:pStyle w:val="BodyText"/>
        <w:spacing w:before="8"/>
      </w:pPr>
    </w:p>
    <w:p>
      <w:pPr>
        <w:pStyle w:val="ListParagraph"/>
        <w:numPr>
          <w:ilvl w:val="0"/>
          <w:numId w:val="4"/>
        </w:numPr>
        <w:tabs>
          <w:tab w:val="left" w:pos="1562"/>
        </w:tabs>
        <w:spacing w:before="1" w:after="0" w:line="240" w:lineRule="auto"/>
        <w:ind w:left="1562" w:right="0" w:hanging="601"/>
        <w:jc w:val="left"/>
        <w:rPr>
          <w:sz w:val="24"/>
        </w:rPr>
      </w:pPr>
      <w:r>
        <w:rPr>
          <w:sz w:val="24"/>
        </w:rPr>
        <w:t>投标文件逾期送达的；</w:t>
      </w:r>
    </w:p>
    <w:p>
      <w:pPr>
        <w:pStyle w:val="BodyText"/>
        <w:spacing w:before="8"/>
      </w:pPr>
    </w:p>
    <w:p>
      <w:pPr>
        <w:pStyle w:val="ListParagraph"/>
        <w:numPr>
          <w:ilvl w:val="0"/>
          <w:numId w:val="4"/>
        </w:numPr>
        <w:tabs>
          <w:tab w:val="left" w:pos="1562"/>
        </w:tabs>
        <w:spacing w:before="1" w:after="0" w:line="240" w:lineRule="auto"/>
        <w:ind w:left="1562" w:right="0" w:hanging="601"/>
        <w:jc w:val="left"/>
        <w:rPr>
          <w:sz w:val="24"/>
        </w:rPr>
      </w:pPr>
      <w:r>
        <w:rPr>
          <w:sz w:val="24"/>
        </w:rPr>
        <w:t>投标文件外包封未按要求密封或盖章的；</w:t>
      </w:r>
    </w:p>
    <w:p>
      <w:pPr>
        <w:pStyle w:val="BodyText"/>
        <w:spacing w:before="8"/>
      </w:pPr>
    </w:p>
    <w:p>
      <w:pPr>
        <w:pStyle w:val="ListParagraph"/>
        <w:numPr>
          <w:ilvl w:val="0"/>
          <w:numId w:val="4"/>
        </w:numPr>
        <w:tabs>
          <w:tab w:val="left" w:pos="1562"/>
        </w:tabs>
        <w:spacing w:before="1" w:after="0" w:line="240" w:lineRule="auto"/>
        <w:ind w:left="1562" w:right="0" w:hanging="601"/>
        <w:jc w:val="left"/>
        <w:rPr>
          <w:sz w:val="24"/>
        </w:rPr>
      </w:pPr>
      <w:r>
        <w:rPr>
          <w:sz w:val="24"/>
        </w:rPr>
        <w:t>投标人代表未随带有效身份证的；</w:t>
      </w:r>
    </w:p>
    <w:p>
      <w:pPr>
        <w:pStyle w:val="BodyText"/>
        <w:spacing w:before="8"/>
      </w:pPr>
    </w:p>
    <w:p>
      <w:pPr>
        <w:pStyle w:val="ListParagraph"/>
        <w:numPr>
          <w:ilvl w:val="0"/>
          <w:numId w:val="4"/>
        </w:numPr>
        <w:tabs>
          <w:tab w:val="left" w:pos="1562"/>
        </w:tabs>
        <w:spacing w:before="1" w:after="0" w:line="240" w:lineRule="auto"/>
        <w:ind w:left="1562" w:right="0" w:hanging="601"/>
        <w:jc w:val="left"/>
        <w:rPr>
          <w:sz w:val="24"/>
        </w:rPr>
      </w:pPr>
      <w:r>
        <w:rPr>
          <w:sz w:val="24"/>
        </w:rPr>
        <w:t>投标人未提交法定代表人资格证明书或法定代表人授权委托书的；</w:t>
      </w:r>
    </w:p>
    <w:p>
      <w:pPr>
        <w:pStyle w:val="BodyText"/>
        <w:spacing w:before="8"/>
      </w:pPr>
    </w:p>
    <w:p>
      <w:pPr>
        <w:pStyle w:val="ListParagraph"/>
        <w:numPr>
          <w:ilvl w:val="0"/>
          <w:numId w:val="4"/>
        </w:numPr>
        <w:tabs>
          <w:tab w:val="left" w:pos="1562"/>
        </w:tabs>
        <w:spacing w:before="1" w:after="0" w:line="240" w:lineRule="auto"/>
        <w:ind w:left="1562" w:right="0" w:hanging="601"/>
        <w:jc w:val="left"/>
        <w:rPr>
          <w:sz w:val="24"/>
        </w:rPr>
      </w:pPr>
      <w:r>
        <w:rPr>
          <w:sz w:val="24"/>
        </w:rPr>
        <w:t>法定代表人资格证明书或法定代表人授权委托书未按要求签字、盖章的；</w:t>
      </w:r>
    </w:p>
    <w:p>
      <w:pPr>
        <w:pStyle w:val="BodyText"/>
        <w:spacing w:before="8"/>
      </w:pPr>
    </w:p>
    <w:p>
      <w:pPr>
        <w:pStyle w:val="ListParagraph"/>
        <w:numPr>
          <w:ilvl w:val="0"/>
          <w:numId w:val="4"/>
        </w:numPr>
        <w:tabs>
          <w:tab w:val="left" w:pos="1562"/>
        </w:tabs>
        <w:spacing w:before="1" w:after="0" w:line="487" w:lineRule="auto"/>
        <w:ind w:left="961" w:right="979" w:firstLine="0"/>
        <w:jc w:val="left"/>
        <w:rPr>
          <w:sz w:val="24"/>
        </w:rPr>
      </w:pPr>
      <w:r>
        <w:rPr>
          <w:spacing w:val="-1"/>
          <w:sz w:val="24"/>
        </w:rPr>
        <w:t>未按规定交纳投标保证金或投标保证金缴交凭证和指定银行对帐单上均没有</w:t>
      </w:r>
      <w:r>
        <w:rPr>
          <w:sz w:val="24"/>
        </w:rPr>
        <w:t>体现投标人、投标项目名称的；</w:t>
      </w:r>
    </w:p>
    <w:p>
      <w:pPr>
        <w:pStyle w:val="ListParagraph"/>
        <w:numPr>
          <w:ilvl w:val="0"/>
          <w:numId w:val="4"/>
        </w:numPr>
        <w:tabs>
          <w:tab w:val="left" w:pos="1562"/>
        </w:tabs>
        <w:spacing w:before="0" w:after="0" w:line="487" w:lineRule="auto"/>
        <w:ind w:left="961" w:right="978" w:firstLine="0"/>
        <w:jc w:val="both"/>
        <w:rPr>
          <w:sz w:val="24"/>
        </w:rPr>
      </w:pPr>
      <w:r>
        <w:rPr>
          <w:spacing w:val="-3"/>
          <w:sz w:val="24"/>
        </w:rPr>
        <w:t>投标人未提交营业执照副本原件、资质证书副本原件、注册建造师执业证书</w:t>
      </w:r>
      <w:r>
        <w:rPr>
          <w:sz w:val="24"/>
        </w:rPr>
        <w:t>及安全生产考核合格证原件、安全生产许可证原件、银行开户许可证</w:t>
      </w:r>
      <w:r>
        <w:rPr>
          <w:spacing w:val="3"/>
          <w:sz w:val="24"/>
        </w:rPr>
        <w:t>（</w:t>
      </w:r>
      <w:r>
        <w:rPr>
          <w:sz w:val="24"/>
        </w:rPr>
        <w:t>或开户核准通知书）原件、交纳投标保证金凭证原件的。</w:t>
      </w:r>
    </w:p>
    <w:p>
      <w:pPr>
        <w:pStyle w:val="ListParagraph"/>
        <w:numPr>
          <w:ilvl w:val="1"/>
          <w:numId w:val="6"/>
        </w:numPr>
        <w:tabs>
          <w:tab w:val="left" w:pos="1501"/>
        </w:tabs>
        <w:spacing w:before="0" w:after="0" w:line="307" w:lineRule="exact"/>
        <w:ind w:left="1501" w:right="0" w:hanging="540"/>
        <w:jc w:val="left"/>
        <w:rPr>
          <w:sz w:val="24"/>
        </w:rPr>
      </w:pPr>
      <w:r>
        <w:rPr>
          <w:sz w:val="24"/>
        </w:rPr>
        <w:t>届时招标人收到的投标文件少于三家的招标人将依法重新组织招标。</w:t>
      </w:r>
    </w:p>
    <w:p>
      <w:pPr>
        <w:pStyle w:val="BodyText"/>
        <w:spacing w:before="10"/>
        <w:rPr>
          <w:sz w:val="33"/>
        </w:rPr>
      </w:pPr>
    </w:p>
    <w:p>
      <w:pPr>
        <w:pStyle w:val="Heading5"/>
      </w:pPr>
      <w:r>
        <w:t>（五）开标、评标、定标</w:t>
      </w:r>
    </w:p>
    <w:p>
      <w:pPr>
        <w:pStyle w:val="BodyText"/>
        <w:spacing w:before="12"/>
        <w:rPr>
          <w:sz w:val="27"/>
        </w:rPr>
      </w:pPr>
    </w:p>
    <w:p>
      <w:pPr>
        <w:pStyle w:val="Heading6"/>
        <w:numPr>
          <w:ilvl w:val="0"/>
          <w:numId w:val="6"/>
        </w:numPr>
        <w:tabs>
          <w:tab w:val="left" w:pos="1859"/>
        </w:tabs>
        <w:spacing w:before="0" w:after="0" w:line="240" w:lineRule="auto"/>
        <w:ind w:left="1858" w:right="0" w:hanging="301"/>
        <w:jc w:val="left"/>
      </w:pPr>
      <w:r>
        <w:t>开标</w:t>
      </w:r>
    </w:p>
    <w:p>
      <w:pPr>
        <w:pStyle w:val="BodyText"/>
        <w:spacing w:before="8"/>
        <w:rPr>
          <w:rFonts w:ascii="微软雅黑"/>
          <w:b/>
          <w:sz w:val="22"/>
        </w:rPr>
      </w:pPr>
    </w:p>
    <w:p>
      <w:pPr>
        <w:pStyle w:val="BodyText"/>
        <w:spacing w:before="1"/>
        <w:ind w:left="1561"/>
      </w:pPr>
      <w:r>
        <w:t>25.1</w:t>
      </w:r>
      <w:r>
        <w:rPr>
          <w:spacing w:val="-18"/>
        </w:rPr>
        <w:t xml:space="preserve"> 开标会定于 </w:t>
      </w:r>
      <w:r>
        <w:rPr>
          <w:u w:val="single"/>
        </w:rPr>
        <w:t>2009</w:t>
      </w:r>
      <w:r>
        <w:rPr>
          <w:spacing w:val="-40"/>
        </w:rPr>
        <w:t xml:space="preserve"> 年 </w:t>
      </w:r>
      <w:r>
        <w:rPr>
          <w:u w:val="single"/>
        </w:rPr>
        <w:t>2</w:t>
      </w:r>
      <w:r>
        <w:rPr>
          <w:spacing w:val="-40"/>
        </w:rPr>
        <w:t xml:space="preserve"> 月 </w:t>
      </w:r>
      <w:r>
        <w:rPr>
          <w:u w:val="single"/>
        </w:rPr>
        <w:t>11</w:t>
      </w:r>
      <w:r>
        <w:rPr>
          <w:spacing w:val="-15"/>
        </w:rPr>
        <w:t xml:space="preserve"> 日下午</w:t>
      </w:r>
      <w:r>
        <w:rPr>
          <w:u w:val="single"/>
        </w:rPr>
        <w:t xml:space="preserve"> </w:t>
      </w:r>
      <w:r>
        <w:rPr>
          <w:spacing w:val="-12"/>
          <w:u w:val="single"/>
        </w:rPr>
        <w:t>15：30</w:t>
      </w:r>
      <w:r>
        <w:rPr>
          <w:u w:val="single"/>
        </w:rPr>
        <w:t xml:space="preserve"> </w:t>
      </w:r>
      <w:r>
        <w:t>时于</w:t>
      </w:r>
      <w:r>
        <w:rPr>
          <w:spacing w:val="-3"/>
          <w:u w:val="single"/>
        </w:rPr>
        <w:t>仙游县招投标中心</w:t>
      </w:r>
      <w:r>
        <w:rPr>
          <w:u w:val="single"/>
        </w:rPr>
        <w:t>（仙</w:t>
      </w:r>
    </w:p>
    <w:p>
      <w:pPr>
        <w:pStyle w:val="BodyText"/>
        <w:spacing w:before="5"/>
        <w:rPr>
          <w:sz w:val="17"/>
        </w:rPr>
      </w:pPr>
    </w:p>
    <w:p>
      <w:pPr>
        <w:pStyle w:val="BodyText"/>
        <w:spacing w:before="93"/>
        <w:ind w:left="961"/>
      </w:pPr>
      <w:r>
        <w:rPr>
          <w:u w:val="single"/>
        </w:rPr>
        <w:t>游县自来水公司办公楼五层</w:t>
      </w:r>
      <w:r>
        <w:rPr>
          <w:spacing w:val="3"/>
          <w:u w:val="single"/>
        </w:rPr>
        <w:t>）</w:t>
      </w:r>
      <w:r>
        <w:t>进行，开标会由招标人或招标代理机构主持且邀请</w:t>
      </w:r>
    </w:p>
    <w:p>
      <w:pPr>
        <w:pStyle w:val="BodyText"/>
        <w:spacing w:before="5"/>
        <w:rPr>
          <w:sz w:val="17"/>
        </w:rPr>
      </w:pPr>
    </w:p>
    <w:p>
      <w:pPr>
        <w:spacing w:before="17"/>
        <w:ind w:left="961" w:right="0" w:firstLine="0"/>
        <w:jc w:val="left"/>
        <w:rPr>
          <w:rFonts w:ascii="微软雅黑" w:eastAsia="微软雅黑" w:hint="eastAsia"/>
          <w:b/>
          <w:sz w:val="24"/>
        </w:rPr>
      </w:pPr>
      <w:r>
        <w:rPr>
          <w:sz w:val="24"/>
        </w:rPr>
        <w:t>行政监督部门参加，</w:t>
      </w:r>
      <w:r>
        <w:rPr>
          <w:rFonts w:ascii="微软雅黑" w:eastAsia="微软雅黑" w:hint="eastAsia"/>
          <w:b/>
          <w:sz w:val="24"/>
        </w:rPr>
        <w:t>投标人的法定代表人或其委托的代理人必须参加开标会。</w:t>
      </w:r>
    </w:p>
    <w:p>
      <w:pPr>
        <w:pStyle w:val="BodyText"/>
        <w:spacing w:before="9"/>
        <w:rPr>
          <w:rFonts w:ascii="微软雅黑"/>
          <w:b/>
          <w:sz w:val="22"/>
        </w:rPr>
      </w:pPr>
    </w:p>
    <w:p>
      <w:pPr>
        <w:pStyle w:val="BodyText"/>
        <w:ind w:left="961"/>
      </w:pPr>
      <w:r>
        <w:t>24.2 开标程序：</w:t>
      </w:r>
    </w:p>
    <w:p>
      <w:pPr>
        <w:pStyle w:val="BodyText"/>
        <w:spacing w:before="9"/>
      </w:pPr>
    </w:p>
    <w:p>
      <w:pPr>
        <w:pStyle w:val="ListParagraph"/>
        <w:numPr>
          <w:ilvl w:val="0"/>
          <w:numId w:val="3"/>
        </w:numPr>
        <w:tabs>
          <w:tab w:val="left" w:pos="1322"/>
        </w:tabs>
        <w:spacing w:before="0" w:after="0" w:line="240" w:lineRule="auto"/>
        <w:ind w:left="1322" w:right="0" w:hanging="361"/>
        <w:jc w:val="left"/>
        <w:rPr>
          <w:sz w:val="24"/>
        </w:rPr>
      </w:pPr>
      <w:r>
        <w:rPr>
          <w:sz w:val="24"/>
        </w:rPr>
        <w:t>招标人或招标代理机构介绍参加开标会的有关单位；</w:t>
      </w:r>
    </w:p>
    <w:p>
      <w:pPr>
        <w:pStyle w:val="BodyText"/>
        <w:spacing w:before="9"/>
      </w:pPr>
    </w:p>
    <w:p>
      <w:pPr>
        <w:pStyle w:val="ListParagraph"/>
        <w:numPr>
          <w:ilvl w:val="0"/>
          <w:numId w:val="3"/>
        </w:numPr>
        <w:tabs>
          <w:tab w:val="left" w:pos="1322"/>
        </w:tabs>
        <w:spacing w:before="0" w:after="0" w:line="487" w:lineRule="auto"/>
        <w:ind w:left="961" w:right="2164" w:firstLine="0"/>
        <w:jc w:val="left"/>
        <w:rPr>
          <w:sz w:val="24"/>
        </w:rPr>
      </w:pPr>
      <w:r>
        <w:rPr>
          <w:spacing w:val="-1"/>
          <w:sz w:val="24"/>
        </w:rPr>
        <w:t xml:space="preserve">确定进入公开抽取程序的合格投标人名单，且由招标人当场公布； </w:t>
      </w:r>
      <w:r>
        <w:rPr>
          <w:sz w:val="24"/>
        </w:rPr>
        <w:t>(3)随机抽取确定中标人。</w:t>
      </w:r>
    </w:p>
    <w:p>
      <w:pPr>
        <w:spacing w:after="0" w:line="487" w:lineRule="auto"/>
        <w:jc w:val="left"/>
        <w:rPr>
          <w:sz w:val="24"/>
        </w:rPr>
        <w:sectPr>
          <w:pgSz w:w="11910" w:h="16840"/>
          <w:pgMar w:top="1480" w:right="720" w:bottom="280" w:left="740" w:header="708" w:footer="708"/>
          <w:pgNumType w:start="13"/>
          <w:cols w:space="708"/>
        </w:sectPr>
      </w:pPr>
    </w:p>
    <w:p>
      <w:pPr>
        <w:pStyle w:val="ListParagraph"/>
        <w:numPr>
          <w:ilvl w:val="0"/>
          <w:numId w:val="6"/>
        </w:numPr>
        <w:tabs>
          <w:tab w:val="left" w:pos="1261"/>
        </w:tabs>
        <w:spacing w:before="76" w:after="0" w:line="240" w:lineRule="auto"/>
        <w:ind w:left="1261" w:right="0" w:hanging="300"/>
        <w:jc w:val="left"/>
        <w:rPr>
          <w:sz w:val="24"/>
        </w:rPr>
      </w:pPr>
      <w:r>
        <w:rPr>
          <w:sz w:val="24"/>
        </w:rPr>
        <w:t>评标</w:t>
      </w:r>
    </w:p>
    <w:p>
      <w:pPr>
        <w:pStyle w:val="BodyText"/>
        <w:spacing w:before="8"/>
      </w:pPr>
    </w:p>
    <w:p>
      <w:pPr>
        <w:pStyle w:val="ListParagraph"/>
        <w:numPr>
          <w:ilvl w:val="1"/>
          <w:numId w:val="6"/>
        </w:numPr>
        <w:tabs>
          <w:tab w:val="left" w:pos="1524"/>
        </w:tabs>
        <w:spacing w:before="1" w:after="0" w:line="240" w:lineRule="auto"/>
        <w:ind w:left="1523" w:right="0" w:hanging="563"/>
        <w:jc w:val="left"/>
        <w:rPr>
          <w:sz w:val="24"/>
        </w:rPr>
      </w:pPr>
      <w:r>
        <w:rPr>
          <w:spacing w:val="-6"/>
          <w:sz w:val="24"/>
        </w:rPr>
        <w:t>招标人或招标代理机构对投标人的资格、资质和投标文件的有效性进行审查。</w:t>
      </w:r>
    </w:p>
    <w:p>
      <w:pPr>
        <w:pStyle w:val="BodyText"/>
        <w:spacing w:before="9"/>
        <w:rPr>
          <w:sz w:val="18"/>
        </w:rPr>
      </w:pPr>
    </w:p>
    <w:p>
      <w:pPr>
        <w:pStyle w:val="Heading6"/>
        <w:numPr>
          <w:ilvl w:val="1"/>
          <w:numId w:val="6"/>
        </w:numPr>
        <w:tabs>
          <w:tab w:val="left" w:pos="2076"/>
        </w:tabs>
        <w:spacing w:before="0" w:after="0" w:line="338" w:lineRule="auto"/>
        <w:ind w:left="961" w:right="978" w:firstLine="480"/>
        <w:jc w:val="left"/>
      </w:pPr>
      <w:r>
        <w:rPr>
          <w:spacing w:val="-4"/>
        </w:rPr>
        <w:t>投标文件或投标人存于下列情形之壹的，应当作为不合格标处理，不得</w:t>
      </w:r>
      <w:r>
        <w:t>进入随机抽取程序：</w:t>
      </w:r>
    </w:p>
    <w:p>
      <w:pPr>
        <w:pStyle w:val="ListParagraph"/>
        <w:numPr>
          <w:ilvl w:val="2"/>
          <w:numId w:val="2"/>
        </w:numPr>
        <w:tabs>
          <w:tab w:val="left" w:pos="2221"/>
        </w:tabs>
        <w:spacing w:before="77" w:after="0" w:line="487" w:lineRule="auto"/>
        <w:ind w:left="961" w:right="979" w:firstLine="480"/>
        <w:jc w:val="left"/>
        <w:rPr>
          <w:sz w:val="24"/>
        </w:rPr>
      </w:pPr>
      <w:r>
        <w:rPr>
          <w:sz w:val="24"/>
        </w:rPr>
        <w:t>投标人非独立法人资格，不符合规定资质条件或因违法违规被限制参加相应项目投标的潜于投标人；</w:t>
      </w:r>
    </w:p>
    <w:p>
      <w:pPr>
        <w:pStyle w:val="ListParagraph"/>
        <w:numPr>
          <w:ilvl w:val="2"/>
          <w:numId w:val="2"/>
        </w:numPr>
        <w:tabs>
          <w:tab w:val="left" w:pos="2280"/>
        </w:tabs>
        <w:spacing w:before="0" w:after="0" w:line="307" w:lineRule="exact"/>
        <w:ind w:left="2280" w:right="0" w:hanging="780"/>
        <w:jc w:val="left"/>
        <w:rPr>
          <w:sz w:val="24"/>
        </w:rPr>
      </w:pPr>
      <w:r>
        <w:rPr>
          <w:sz w:val="24"/>
        </w:rPr>
        <w:t>投标人的企业资质不符合招标文件要求；</w:t>
      </w:r>
    </w:p>
    <w:p>
      <w:pPr>
        <w:pStyle w:val="BodyText"/>
        <w:spacing w:before="9"/>
      </w:pPr>
    </w:p>
    <w:p>
      <w:pPr>
        <w:pStyle w:val="ListParagraph"/>
        <w:numPr>
          <w:ilvl w:val="2"/>
          <w:numId w:val="2"/>
        </w:numPr>
        <w:tabs>
          <w:tab w:val="left" w:pos="2221"/>
        </w:tabs>
        <w:spacing w:before="0" w:after="0" w:line="240" w:lineRule="auto"/>
        <w:ind w:left="2221" w:right="0" w:hanging="780"/>
        <w:jc w:val="left"/>
        <w:rPr>
          <w:sz w:val="24"/>
        </w:rPr>
      </w:pPr>
      <w:r>
        <w:rPr>
          <w:sz w:val="24"/>
        </w:rPr>
        <w:t>近三年内，曾被县区级之上关联行政监督部门记入不良行为的。</w:t>
      </w:r>
    </w:p>
    <w:p>
      <w:pPr>
        <w:pStyle w:val="BodyText"/>
        <w:spacing w:before="9"/>
      </w:pPr>
    </w:p>
    <w:p>
      <w:pPr>
        <w:pStyle w:val="ListParagraph"/>
        <w:numPr>
          <w:ilvl w:val="2"/>
          <w:numId w:val="2"/>
        </w:numPr>
        <w:tabs>
          <w:tab w:val="left" w:pos="2221"/>
        </w:tabs>
        <w:spacing w:before="0" w:after="0" w:line="240" w:lineRule="auto"/>
        <w:ind w:left="2221" w:right="0" w:hanging="780"/>
        <w:jc w:val="left"/>
        <w:rPr>
          <w:sz w:val="24"/>
        </w:rPr>
      </w:pPr>
      <w:r>
        <w:rPr>
          <w:sz w:val="24"/>
        </w:rPr>
        <w:t>未按招标文件要求提供关联证件原件进行核对的；</w:t>
      </w:r>
    </w:p>
    <w:p>
      <w:pPr>
        <w:pStyle w:val="BodyText"/>
        <w:spacing w:before="9"/>
      </w:pPr>
    </w:p>
    <w:p>
      <w:pPr>
        <w:pStyle w:val="ListParagraph"/>
        <w:numPr>
          <w:ilvl w:val="2"/>
          <w:numId w:val="2"/>
        </w:numPr>
        <w:tabs>
          <w:tab w:val="left" w:pos="2221"/>
        </w:tabs>
        <w:spacing w:before="0" w:after="0" w:line="487" w:lineRule="auto"/>
        <w:ind w:left="961" w:right="979" w:firstLine="480"/>
        <w:jc w:val="left"/>
        <w:rPr>
          <w:sz w:val="24"/>
        </w:rPr>
      </w:pPr>
      <w:r>
        <w:rPr>
          <w:sz w:val="24"/>
        </w:rPr>
        <w:t>投标单位未能按招标文件要求提供证书复印件或复印件未加盖投标人公章的；</w:t>
      </w:r>
    </w:p>
    <w:p>
      <w:pPr>
        <w:pStyle w:val="ListParagraph"/>
        <w:numPr>
          <w:ilvl w:val="2"/>
          <w:numId w:val="2"/>
        </w:numPr>
        <w:tabs>
          <w:tab w:val="left" w:pos="2221"/>
        </w:tabs>
        <w:spacing w:before="0" w:after="0" w:line="307" w:lineRule="exact"/>
        <w:ind w:left="2220" w:right="0" w:hanging="780"/>
        <w:jc w:val="left"/>
        <w:rPr>
          <w:sz w:val="24"/>
        </w:rPr>
      </w:pPr>
      <w:r>
        <w:rPr>
          <w:sz w:val="24"/>
        </w:rPr>
        <w:t>投标承诺函未按要求格式填写或签字、盖章的；</w:t>
      </w:r>
    </w:p>
    <w:p>
      <w:pPr>
        <w:pStyle w:val="BodyText"/>
        <w:spacing w:before="9"/>
      </w:pPr>
    </w:p>
    <w:p>
      <w:pPr>
        <w:pStyle w:val="ListParagraph"/>
        <w:numPr>
          <w:ilvl w:val="2"/>
          <w:numId w:val="2"/>
        </w:numPr>
        <w:tabs>
          <w:tab w:val="left" w:pos="2221"/>
        </w:tabs>
        <w:spacing w:before="0" w:after="0" w:line="240" w:lineRule="auto"/>
        <w:ind w:left="2221" w:right="0" w:hanging="780"/>
        <w:jc w:val="left"/>
        <w:rPr>
          <w:sz w:val="24"/>
        </w:rPr>
      </w:pPr>
      <w:r>
        <w:rPr>
          <w:sz w:val="24"/>
        </w:rPr>
        <w:t>投标人的承诺不满足招标文件要求的；</w:t>
      </w:r>
    </w:p>
    <w:p>
      <w:pPr>
        <w:pStyle w:val="BodyText"/>
        <w:spacing w:before="9"/>
        <w:rPr>
          <w:sz w:val="18"/>
        </w:rPr>
      </w:pPr>
    </w:p>
    <w:p>
      <w:pPr>
        <w:pStyle w:val="Heading6"/>
        <w:numPr>
          <w:ilvl w:val="2"/>
          <w:numId w:val="2"/>
        </w:numPr>
        <w:tabs>
          <w:tab w:val="left" w:pos="2221"/>
        </w:tabs>
        <w:spacing w:before="0" w:after="0" w:line="338" w:lineRule="auto"/>
        <w:ind w:left="961" w:right="997" w:firstLine="480"/>
        <w:jc w:val="left"/>
      </w:pPr>
      <w:r>
        <w:t>投标人提交的原件需年检而没有有效年检的、提交的原件和复印件不相符的。</w:t>
      </w:r>
    </w:p>
    <w:p>
      <w:pPr>
        <w:pStyle w:val="ListParagraph"/>
        <w:numPr>
          <w:ilvl w:val="0"/>
          <w:numId w:val="6"/>
        </w:numPr>
        <w:tabs>
          <w:tab w:val="left" w:pos="1741"/>
        </w:tabs>
        <w:spacing w:before="1" w:after="0" w:line="240" w:lineRule="auto"/>
        <w:ind w:left="1740" w:right="0" w:hanging="300"/>
        <w:jc w:val="left"/>
        <w:rPr>
          <w:rFonts w:ascii="微软雅黑" w:eastAsia="微软雅黑" w:hint="eastAsia"/>
          <w:sz w:val="24"/>
        </w:rPr>
      </w:pPr>
      <w:r>
        <w:rPr>
          <w:sz w:val="24"/>
        </w:rPr>
        <w:t>确定中标人</w:t>
      </w:r>
    </w:p>
    <w:p>
      <w:pPr>
        <w:pStyle w:val="Heading6"/>
        <w:numPr>
          <w:ilvl w:val="1"/>
          <w:numId w:val="6"/>
        </w:numPr>
        <w:tabs>
          <w:tab w:val="left" w:pos="1981"/>
        </w:tabs>
        <w:spacing w:before="181" w:after="0" w:line="240" w:lineRule="auto"/>
        <w:ind w:left="1980" w:right="0" w:hanging="540"/>
        <w:jc w:val="left"/>
      </w:pPr>
      <w:r>
        <w:t>从审查合格的投标人中随机抽取壹家中标人。</w:t>
      </w:r>
    </w:p>
    <w:p>
      <w:pPr>
        <w:pStyle w:val="ListParagraph"/>
        <w:numPr>
          <w:ilvl w:val="2"/>
          <w:numId w:val="6"/>
        </w:numPr>
        <w:tabs>
          <w:tab w:val="left" w:pos="2221"/>
        </w:tabs>
        <w:spacing w:before="182" w:after="0" w:line="240" w:lineRule="auto"/>
        <w:ind w:left="2220" w:right="0" w:hanging="780"/>
        <w:jc w:val="left"/>
        <w:rPr>
          <w:rFonts w:ascii="微软雅黑" w:eastAsia="微软雅黑" w:hint="eastAsia"/>
          <w:b/>
          <w:sz w:val="24"/>
        </w:rPr>
      </w:pPr>
      <w:r>
        <w:rPr>
          <w:rFonts w:ascii="微软雅黑" w:eastAsia="微软雅黑" w:hint="eastAsia"/>
          <w:b/>
          <w:sz w:val="24"/>
        </w:rPr>
        <w:t>招标人或招标代理机构宣布抽取规则；</w:t>
      </w:r>
    </w:p>
    <w:p>
      <w:pPr>
        <w:pStyle w:val="Heading6"/>
        <w:numPr>
          <w:ilvl w:val="2"/>
          <w:numId w:val="6"/>
        </w:numPr>
        <w:tabs>
          <w:tab w:val="left" w:pos="2221"/>
        </w:tabs>
        <w:spacing w:before="181" w:after="0" w:line="338" w:lineRule="auto"/>
        <w:ind w:left="961" w:right="979" w:firstLine="480"/>
        <w:jc w:val="left"/>
      </w:pPr>
      <w:r>
        <w:t>按提交投标文件的顺序，由每个审查合格的投标人公开抽取、登记代表该投标人号码，且当众公布每个号码所对应的投标人；</w:t>
      </w:r>
    </w:p>
    <w:p>
      <w:pPr>
        <w:pStyle w:val="ListParagraph"/>
        <w:numPr>
          <w:ilvl w:val="2"/>
          <w:numId w:val="6"/>
        </w:numPr>
        <w:tabs>
          <w:tab w:val="left" w:pos="2221"/>
        </w:tabs>
        <w:spacing w:before="1" w:after="0" w:line="338" w:lineRule="auto"/>
        <w:ind w:left="961" w:right="979" w:firstLine="480"/>
        <w:jc w:val="left"/>
        <w:rPr>
          <w:rFonts w:ascii="微软雅黑" w:eastAsia="微软雅黑" w:hint="eastAsia"/>
          <w:b/>
          <w:sz w:val="24"/>
        </w:rPr>
      </w:pPr>
      <w:r>
        <w:rPr>
          <w:rFonts w:ascii="微软雅黑" w:eastAsia="微软雅黑" w:hint="eastAsia"/>
          <w:b/>
          <w:sz w:val="24"/>
        </w:rPr>
        <w:t>招标人公开随机抽取其中壹个号码，该号码所对应的投标人即为中标人；</w:t>
      </w:r>
    </w:p>
    <w:p>
      <w:pPr>
        <w:spacing w:after="0" w:line="338" w:lineRule="auto"/>
        <w:jc w:val="left"/>
        <w:rPr>
          <w:rFonts w:ascii="微软雅黑" w:eastAsia="微软雅黑" w:hint="eastAsia"/>
          <w:sz w:val="24"/>
        </w:rPr>
        <w:sectPr>
          <w:pgSz w:w="11910" w:h="16840"/>
          <w:pgMar w:top="1480" w:right="720" w:bottom="280" w:left="740" w:header="708" w:footer="708"/>
          <w:pgNumType w:start="14"/>
          <w:cols w:space="708"/>
        </w:sectPr>
      </w:pPr>
    </w:p>
    <w:p>
      <w:pPr>
        <w:pStyle w:val="ListParagraph"/>
        <w:numPr>
          <w:ilvl w:val="1"/>
          <w:numId w:val="6"/>
        </w:numPr>
        <w:tabs>
          <w:tab w:val="left" w:pos="1981"/>
        </w:tabs>
        <w:spacing w:before="76" w:after="0" w:line="487" w:lineRule="auto"/>
        <w:ind w:left="961" w:right="979" w:firstLine="480"/>
        <w:jc w:val="left"/>
        <w:rPr>
          <w:sz w:val="24"/>
        </w:rPr>
      </w:pPr>
      <w:r>
        <w:rPr>
          <w:sz w:val="24"/>
        </w:rPr>
        <w:t>招标人或招标代理机构撰写开标情况方案，由招标人、招标代理机构及关联行政监督部门签字确认后入档。</w:t>
      </w:r>
    </w:p>
    <w:p>
      <w:pPr>
        <w:pStyle w:val="ListParagraph"/>
        <w:numPr>
          <w:ilvl w:val="1"/>
          <w:numId w:val="6"/>
        </w:numPr>
        <w:tabs>
          <w:tab w:val="left" w:pos="1981"/>
        </w:tabs>
        <w:spacing w:before="155" w:after="0" w:line="487" w:lineRule="auto"/>
        <w:ind w:left="961" w:right="979" w:firstLine="480"/>
        <w:jc w:val="left"/>
        <w:rPr>
          <w:sz w:val="24"/>
        </w:rPr>
      </w:pPr>
      <w:r>
        <w:rPr>
          <w:sz w:val="24"/>
        </w:rPr>
        <w:t>经过审查，只有壹家合格投标人的，招标人能够直接指定该投标人为中标人。</w:t>
      </w:r>
    </w:p>
    <w:p>
      <w:pPr>
        <w:pStyle w:val="ListParagraph"/>
        <w:numPr>
          <w:ilvl w:val="1"/>
          <w:numId w:val="6"/>
        </w:numPr>
        <w:tabs>
          <w:tab w:val="left" w:pos="1981"/>
        </w:tabs>
        <w:spacing w:before="156" w:after="0" w:line="487" w:lineRule="auto"/>
        <w:ind w:left="961" w:right="979" w:firstLine="480"/>
        <w:jc w:val="left"/>
        <w:rPr>
          <w:sz w:val="24"/>
        </w:rPr>
      </w:pPr>
      <w:r>
        <w:rPr>
          <w:sz w:val="24"/>
        </w:rPr>
        <w:t>招标人应当自确定中标人之日起，将招标项目名称、中标人名称及其中标金额于仙游县招投标中心网站和招标人所于单位公示。</w:t>
      </w:r>
    </w:p>
    <w:p>
      <w:pPr>
        <w:pStyle w:val="Heading6"/>
        <w:numPr>
          <w:ilvl w:val="0"/>
          <w:numId w:val="6"/>
        </w:numPr>
        <w:tabs>
          <w:tab w:val="left" w:pos="1741"/>
        </w:tabs>
        <w:spacing w:before="79" w:after="0" w:line="240" w:lineRule="auto"/>
        <w:ind w:left="1741" w:right="0" w:hanging="300"/>
        <w:jc w:val="left"/>
      </w:pPr>
      <w:r>
        <w:t>中标通知</w:t>
      </w:r>
    </w:p>
    <w:p>
      <w:pPr>
        <w:pStyle w:val="BodyText"/>
        <w:spacing w:before="8"/>
        <w:rPr>
          <w:rFonts w:ascii="微软雅黑"/>
          <w:b/>
          <w:sz w:val="22"/>
        </w:rPr>
      </w:pPr>
    </w:p>
    <w:p>
      <w:pPr>
        <w:pStyle w:val="BodyText"/>
        <w:spacing w:line="487" w:lineRule="auto"/>
        <w:ind w:left="961" w:right="957" w:firstLine="480"/>
      </w:pPr>
      <w:r>
        <w:t>于公示期满后 2 日内根据中标结果，招标人以“中标通知书”的形式通知中标人。</w:t>
      </w:r>
    </w:p>
    <w:p>
      <w:pPr>
        <w:pStyle w:val="Heading5"/>
        <w:spacing w:before="117"/>
      </w:pPr>
      <w:r>
        <w:t>（六）授予合同</w:t>
      </w:r>
    </w:p>
    <w:p>
      <w:pPr>
        <w:pStyle w:val="BodyText"/>
        <w:spacing w:before="12"/>
        <w:rPr>
          <w:sz w:val="27"/>
        </w:rPr>
      </w:pPr>
    </w:p>
    <w:p>
      <w:pPr>
        <w:pStyle w:val="Heading6"/>
        <w:numPr>
          <w:ilvl w:val="0"/>
          <w:numId w:val="6"/>
        </w:numPr>
        <w:tabs>
          <w:tab w:val="left" w:pos="1741"/>
        </w:tabs>
        <w:spacing w:before="0" w:after="0" w:line="240" w:lineRule="auto"/>
        <w:ind w:left="1741" w:right="0" w:hanging="300"/>
        <w:jc w:val="left"/>
      </w:pPr>
      <w:r>
        <w:t>签订合同</w:t>
      </w:r>
    </w:p>
    <w:p>
      <w:pPr>
        <w:pStyle w:val="BodyText"/>
        <w:spacing w:before="9"/>
        <w:rPr>
          <w:rFonts w:ascii="微软雅黑"/>
          <w:b/>
          <w:sz w:val="22"/>
        </w:rPr>
      </w:pPr>
    </w:p>
    <w:p>
      <w:pPr>
        <w:pStyle w:val="ListParagraph"/>
        <w:numPr>
          <w:ilvl w:val="1"/>
          <w:numId w:val="6"/>
        </w:numPr>
        <w:tabs>
          <w:tab w:val="left" w:pos="1981"/>
        </w:tabs>
        <w:spacing w:before="0" w:after="0" w:line="487" w:lineRule="auto"/>
        <w:ind w:left="961" w:right="979" w:firstLine="480"/>
        <w:jc w:val="both"/>
        <w:rPr>
          <w:sz w:val="24"/>
        </w:rPr>
      </w:pPr>
      <w:r>
        <w:rPr>
          <w:spacing w:val="-3"/>
          <w:sz w:val="24"/>
        </w:rPr>
        <w:t xml:space="preserve">招标人和中标人应于中标通知书发出之日起 </w:t>
      </w:r>
      <w:r>
        <w:rPr>
          <w:sz w:val="24"/>
        </w:rPr>
        <w:t>5</w:t>
      </w:r>
      <w:r>
        <w:rPr>
          <w:spacing w:val="-8"/>
          <w:sz w:val="24"/>
        </w:rPr>
        <w:t xml:space="preserve"> 日内，按照中标通知书、</w:t>
      </w:r>
      <w:r>
        <w:rPr>
          <w:sz w:val="24"/>
        </w:rPr>
        <w:t>招标文件和中标人的投标文件签订养管合同。双方不得再进行订立背离合同实质性内容的其他协议。</w:t>
      </w:r>
    </w:p>
    <w:p>
      <w:pPr>
        <w:pStyle w:val="ListParagraph"/>
        <w:numPr>
          <w:ilvl w:val="1"/>
          <w:numId w:val="6"/>
        </w:numPr>
        <w:tabs>
          <w:tab w:val="left" w:pos="1981"/>
        </w:tabs>
        <w:spacing w:before="155" w:after="0" w:line="487" w:lineRule="auto"/>
        <w:ind w:left="961" w:right="979" w:firstLine="480"/>
        <w:jc w:val="both"/>
        <w:rPr>
          <w:sz w:val="24"/>
        </w:rPr>
      </w:pPr>
      <w:r>
        <w:rPr>
          <w:sz w:val="24"/>
        </w:rPr>
        <w:t>招标人应于签订养管合同后十五日内将养管合同原件提交关联行政监督部门备案。</w:t>
      </w:r>
    </w:p>
    <w:p>
      <w:pPr>
        <w:pStyle w:val="Heading6"/>
        <w:numPr>
          <w:ilvl w:val="1"/>
          <w:numId w:val="6"/>
        </w:numPr>
        <w:tabs>
          <w:tab w:val="left" w:pos="1981"/>
        </w:tabs>
        <w:spacing w:before="79" w:after="0" w:line="338" w:lineRule="auto"/>
        <w:ind w:left="961" w:right="979" w:firstLine="480"/>
        <w:jc w:val="both"/>
        <w:rPr>
          <w:rFonts w:ascii="宋体" w:eastAsia="宋体" w:hint="eastAsia"/>
        </w:rPr>
      </w:pPr>
      <w:r>
        <w:t>中标单位逾期不和招标人签订养管合同的，取消中标单位的中标资格， 投标保证金不予退仍。</w:t>
      </w:r>
    </w:p>
    <w:p>
      <w:pPr>
        <w:pStyle w:val="ListParagraph"/>
        <w:numPr>
          <w:ilvl w:val="0"/>
          <w:numId w:val="6"/>
        </w:numPr>
        <w:tabs>
          <w:tab w:val="left" w:pos="1741"/>
        </w:tabs>
        <w:spacing w:before="156" w:after="0" w:line="240" w:lineRule="auto"/>
        <w:ind w:left="1741" w:right="0" w:hanging="300"/>
        <w:jc w:val="left"/>
        <w:rPr>
          <w:rFonts w:ascii="微软雅黑" w:eastAsia="微软雅黑" w:hint="eastAsia"/>
          <w:b/>
          <w:sz w:val="24"/>
        </w:rPr>
      </w:pPr>
      <w:r>
        <w:rPr>
          <w:rFonts w:ascii="微软雅黑" w:eastAsia="微软雅黑" w:hint="eastAsia"/>
          <w:b/>
          <w:sz w:val="24"/>
        </w:rPr>
        <w:t>履约担保</w:t>
      </w:r>
    </w:p>
    <w:p>
      <w:pPr>
        <w:spacing w:after="0" w:line="240" w:lineRule="auto"/>
        <w:jc w:val="left"/>
        <w:rPr>
          <w:rFonts w:ascii="微软雅黑" w:eastAsia="微软雅黑" w:hint="eastAsia"/>
          <w:sz w:val="24"/>
        </w:rPr>
        <w:sectPr>
          <w:pgSz w:w="11910" w:h="16840"/>
          <w:pgMar w:top="1480" w:right="720" w:bottom="280" w:left="740" w:header="708" w:footer="708"/>
          <w:pgNumType w:start="15"/>
          <w:cols w:space="708"/>
        </w:sectPr>
      </w:pPr>
    </w:p>
    <w:p>
      <w:pPr>
        <w:pStyle w:val="BodyText"/>
        <w:spacing w:before="76" w:line="487" w:lineRule="auto"/>
        <w:ind w:left="961" w:right="979" w:firstLine="480"/>
      </w:pPr>
      <w:r>
        <w:t>中标人于签订施工合同时，应向招标人提交履约保证金，履约保证金数额为年养护费的 10%。履约保证金必须用现金汇入招标人的指定账户。</w:t>
      </w:r>
    </w:p>
    <w:p>
      <w:pPr>
        <w:spacing w:before="105"/>
        <w:ind w:left="3985" w:right="0" w:firstLine="0"/>
        <w:jc w:val="left"/>
        <w:rPr>
          <w:rFonts w:ascii="微软雅黑" w:eastAsia="微软雅黑" w:hint="eastAsia"/>
          <w:b/>
          <w:sz w:val="32"/>
        </w:rPr>
      </w:pPr>
      <w:r>
        <w:rPr>
          <w:rFonts w:ascii="微软雅黑" w:eastAsia="微软雅黑" w:hint="eastAsia"/>
          <w:b/>
          <w:sz w:val="32"/>
        </w:rPr>
        <w:t>第二部分合同</w:t>
      </w:r>
    </w:p>
    <w:p>
      <w:pPr>
        <w:pStyle w:val="BodyText"/>
        <w:spacing w:before="6"/>
        <w:rPr>
          <w:rFonts w:ascii="微软雅黑"/>
          <w:b/>
        </w:rPr>
      </w:pPr>
    </w:p>
    <w:p>
      <w:pPr>
        <w:pStyle w:val="BodyText"/>
        <w:tabs>
          <w:tab w:val="left" w:pos="7307"/>
        </w:tabs>
        <w:ind w:left="4613"/>
        <w:rPr>
          <w:rFonts w:ascii="Times New Roman" w:eastAsia="Times New Roman"/>
        </w:rPr>
      </w:pPr>
      <w:r>
        <w:t>合同编号：</w:t>
      </w:r>
      <w:r>
        <w:rPr>
          <w:rFonts w:ascii="Times New Roman" w:eastAsia="Times New Roman"/>
          <w:u w:val="single"/>
        </w:rPr>
        <w:t xml:space="preserve"> </w:t>
        <w:tab/>
      </w:r>
    </w:p>
    <w:p>
      <w:pPr>
        <w:pStyle w:val="Heading1"/>
        <w:spacing w:before="124"/>
      </w:pPr>
      <w:r>
        <w:t>仙游县城区绿化养护管理合同</w:t>
      </w:r>
    </w:p>
    <w:p>
      <w:pPr>
        <w:tabs>
          <w:tab w:val="left" w:pos="8150"/>
        </w:tabs>
        <w:spacing w:before="101"/>
        <w:ind w:left="1761" w:right="0" w:hanging="160"/>
        <w:jc w:val="left"/>
        <w:rPr>
          <w:sz w:val="32"/>
        </w:rPr>
      </w:pPr>
      <w:r>
        <w:rPr>
          <w:sz w:val="32"/>
        </w:rPr>
        <w:t>项目名称:</w:t>
      </w:r>
      <w:r>
        <w:rPr>
          <w:sz w:val="32"/>
          <w:u w:val="single"/>
        </w:rPr>
        <w:t xml:space="preserve"> </w:t>
        <w:tab/>
      </w:r>
    </w:p>
    <w:p>
      <w:pPr>
        <w:tabs>
          <w:tab w:val="left" w:pos="8155"/>
          <w:tab w:val="left" w:pos="8235"/>
        </w:tabs>
        <w:spacing w:before="214" w:line="304" w:lineRule="auto"/>
        <w:ind w:left="1761" w:right="2209" w:firstLine="0"/>
        <w:jc w:val="left"/>
        <w:rPr>
          <w:rFonts w:ascii="Times New Roman" w:eastAsia="Times New Roman"/>
          <w:b/>
          <w:sz w:val="32"/>
        </w:rPr>
      </w:pPr>
      <w:r>
        <w:rPr>
          <w:sz w:val="32"/>
        </w:rPr>
        <w:t>发包人：</w:t>
      </w:r>
      <w:r>
        <w:rPr>
          <w:rFonts w:ascii="Times New Roman" w:eastAsia="Times New Roman"/>
          <w:sz w:val="32"/>
          <w:u w:val="single"/>
        </w:rPr>
        <w:t xml:space="preserve"> </w:t>
        <w:tab/>
        <w:t xml:space="preserve"> </w:t>
      </w:r>
      <w:r>
        <w:rPr>
          <w:sz w:val="32"/>
        </w:rPr>
        <w:t>承包人</w:t>
      </w:r>
      <w:r>
        <w:rPr>
          <w:rFonts w:ascii="微软雅黑" w:eastAsia="微软雅黑" w:hint="eastAsia"/>
          <w:b/>
          <w:sz w:val="32"/>
        </w:rPr>
        <w:t>：</w:t>
      </w:r>
      <w:r>
        <w:rPr>
          <w:rFonts w:ascii="Times New Roman" w:eastAsia="Times New Roman"/>
          <w:b/>
          <w:sz w:val="32"/>
          <w:u w:val="thick"/>
        </w:rPr>
        <w:t xml:space="preserve"> </w:t>
        <w:tab/>
        <w:tab/>
      </w:r>
    </w:p>
    <w:p>
      <w:pPr>
        <w:pStyle w:val="Heading4"/>
        <w:spacing w:line="466" w:lineRule="exact"/>
        <w:ind w:left="4113"/>
      </w:pPr>
      <w:r>
        <w:t>年月日</w:t>
      </w:r>
    </w:p>
    <w:p>
      <w:pPr>
        <w:pStyle w:val="BodyText"/>
        <w:tabs>
          <w:tab w:val="left" w:pos="6655"/>
        </w:tabs>
        <w:spacing w:before="188"/>
        <w:ind w:left="961"/>
        <w:rPr>
          <w:rFonts w:ascii="Times New Roman" w:eastAsia="Times New Roman"/>
        </w:rPr>
      </w:pPr>
      <w:r>
        <w:t>发包人（全称）：</w:t>
      </w:r>
      <w:r>
        <w:rPr>
          <w:rFonts w:ascii="Times New Roman" w:eastAsia="Times New Roman"/>
          <w:u w:val="single"/>
        </w:rPr>
        <w:t xml:space="preserve"> </w:t>
        <w:tab/>
      </w:r>
    </w:p>
    <w:p>
      <w:pPr>
        <w:pStyle w:val="BodyText"/>
        <w:spacing w:before="5"/>
        <w:rPr>
          <w:rFonts w:ascii="Times New Roman"/>
          <w:sz w:val="19"/>
        </w:rPr>
      </w:pPr>
    </w:p>
    <w:p>
      <w:pPr>
        <w:pStyle w:val="BodyText"/>
        <w:tabs>
          <w:tab w:val="left" w:pos="6655"/>
        </w:tabs>
        <w:spacing w:before="93"/>
        <w:ind w:left="961"/>
        <w:rPr>
          <w:rFonts w:ascii="Times New Roman" w:eastAsia="Times New Roman"/>
        </w:rPr>
      </w:pPr>
      <w:r>
        <w:t>承包人（全称）：</w:t>
      </w:r>
      <w:r>
        <w:rPr>
          <w:rFonts w:ascii="Times New Roman" w:eastAsia="Times New Roman"/>
          <w:u w:val="single"/>
        </w:rPr>
        <w:t xml:space="preserve"> </w:t>
        <w:tab/>
      </w:r>
    </w:p>
    <w:p>
      <w:pPr>
        <w:pStyle w:val="BodyText"/>
        <w:spacing w:before="5"/>
        <w:rPr>
          <w:rFonts w:ascii="Times New Roman"/>
          <w:sz w:val="19"/>
        </w:rPr>
      </w:pPr>
    </w:p>
    <w:p>
      <w:pPr>
        <w:pStyle w:val="BodyText"/>
        <w:spacing w:before="93" w:line="487" w:lineRule="auto"/>
        <w:ind w:left="961" w:right="979" w:firstLine="480"/>
        <w:jc w:val="both"/>
      </w:pPr>
      <w:r>
        <w:t>依照《中华人民共和国合同法》及其他有关法律、行政法规，遵循平等、自愿、公平和诚实信用的原则，承发包人就本绿化养护管理事项协商壹致，订立本合同。</w:t>
      </w:r>
    </w:p>
    <w:p>
      <w:pPr>
        <w:pStyle w:val="BodyText"/>
        <w:spacing w:line="487" w:lineRule="auto"/>
        <w:ind w:left="1441" w:right="7564"/>
      </w:pPr>
      <w:r>
        <w:rPr>
          <w:spacing w:val="-4"/>
        </w:rPr>
        <w:t>壹、项目简介</w:t>
      </w:r>
      <w:r>
        <w:t>项目名称： 项目地点：</w:t>
      </w:r>
    </w:p>
    <w:p>
      <w:pPr>
        <w:pStyle w:val="BodyText"/>
        <w:spacing w:line="487" w:lineRule="auto"/>
        <w:ind w:left="961" w:right="979" w:firstLine="478"/>
      </w:pPr>
      <w:r>
        <w:t>项目工作内容：包括松土除草、修剪、抹芽、浇水、中耕施肥、病虫害防 治、抗旱防涝、缺株补植、清除枯枝、卫生保洁、清理垃圾、树木绑扎、树干刷白、草坪切边、加土扶正、立架加固、防风防汛、抗灾抢险、设施维护、防人为破坏及安全保护等壹切养管工作总承包。</w:t>
      </w:r>
    </w:p>
    <w:p>
      <w:pPr>
        <w:spacing w:after="0" w:line="487" w:lineRule="auto"/>
        <w:sectPr>
          <w:pgSz w:w="11910" w:h="16840"/>
          <w:pgMar w:top="1480" w:right="720" w:bottom="280" w:left="740" w:header="708" w:footer="708"/>
          <w:pgNumType w:start="16"/>
          <w:cols w:space="708"/>
        </w:sectPr>
      </w:pPr>
    </w:p>
    <w:p>
      <w:pPr>
        <w:pStyle w:val="BodyText"/>
        <w:spacing w:before="76"/>
        <w:ind w:left="1441"/>
      </w:pPr>
      <w:r>
        <w:t>资金来源：财政拨款。</w:t>
      </w:r>
    </w:p>
    <w:p>
      <w:pPr>
        <w:pStyle w:val="BodyText"/>
        <w:spacing w:before="8"/>
      </w:pPr>
    </w:p>
    <w:p>
      <w:pPr>
        <w:pStyle w:val="BodyText"/>
        <w:spacing w:before="1"/>
        <w:ind w:left="1441"/>
      </w:pPr>
      <w:r>
        <w:t>二、合同承包期：叁年，自通知开工之日起算。</w:t>
      </w:r>
    </w:p>
    <w:p>
      <w:pPr>
        <w:pStyle w:val="BodyText"/>
        <w:spacing w:before="8"/>
      </w:pPr>
    </w:p>
    <w:p>
      <w:pPr>
        <w:pStyle w:val="BodyText"/>
        <w:spacing w:before="1" w:line="487" w:lineRule="auto"/>
        <w:ind w:left="961" w:right="814" w:firstLine="480"/>
      </w:pPr>
      <w:r>
        <w:rPr>
          <w:spacing w:val="-2"/>
        </w:rPr>
        <w:t xml:space="preserve">三、养护管理标准、考核办法、考核评分细则、修剪要求:见附件 </w:t>
      </w:r>
      <w:r>
        <w:t>1《仙游县</w:t>
      </w:r>
      <w:r>
        <w:rPr>
          <w:spacing w:val="-23"/>
        </w:rPr>
        <w:t xml:space="preserve">园林绿地养护管理标准》、附件 </w:t>
      </w:r>
      <w:r>
        <w:t>2</w:t>
      </w:r>
      <w:r>
        <w:rPr>
          <w:spacing w:val="-18"/>
        </w:rPr>
        <w:t xml:space="preserve">《仙游县园林绿地养护管理考核办法》、附件 </w:t>
      </w:r>
      <w:r>
        <w:t>3《仙</w:t>
      </w:r>
      <w:r>
        <w:rPr>
          <w:spacing w:val="-13"/>
        </w:rPr>
        <w:t>游县园林绿地养护管理考核评分细则》、附件</w:t>
      </w:r>
      <w:r>
        <w:t>4</w:t>
      </w:r>
      <w:r>
        <w:rPr>
          <w:spacing w:val="-9"/>
        </w:rPr>
        <w:t>《仙游县城区行道树修剪技术要求》。</w:t>
      </w:r>
    </w:p>
    <w:p>
      <w:pPr>
        <w:pStyle w:val="BodyText"/>
        <w:spacing w:line="307" w:lineRule="exact"/>
        <w:ind w:left="1439"/>
      </w:pPr>
      <w:r>
        <w:t>四、月养护综合单价:</w:t>
      </w:r>
    </w:p>
    <w:p>
      <w:pPr>
        <w:pStyle w:val="BodyText"/>
        <w:spacing w:before="8"/>
      </w:pPr>
    </w:p>
    <w:p>
      <w:pPr>
        <w:pStyle w:val="BodyText"/>
        <w:spacing w:before="1" w:line="487" w:lineRule="auto"/>
        <w:ind w:left="961" w:right="858" w:firstLine="480"/>
      </w:pPr>
      <w:r>
        <w:rPr>
          <w:spacing w:val="-2"/>
        </w:rPr>
        <w:t xml:space="preserve">本合同采用固定合同价包干，发包月养护综合单价 </w:t>
      </w:r>
      <w:r>
        <w:t>0.6</w:t>
      </w:r>
      <w:r>
        <w:rPr>
          <w:spacing w:val="-40"/>
        </w:rPr>
        <w:t xml:space="preserve"> 元</w:t>
      </w:r>
      <w:r>
        <w:t>/</w:t>
      </w:r>
      <w:r>
        <w:rPr>
          <w:spacing w:val="3"/>
        </w:rPr>
        <w:t>㎡</w:t>
      </w:r>
      <w:r>
        <w:rPr>
          <w:spacing w:val="3"/>
          <w:w w:val="90"/>
        </w:rPr>
        <w:t>·</w:t>
      </w:r>
      <w:r>
        <w:rPr>
          <w:spacing w:val="2"/>
        </w:rPr>
        <w:t>月，包括项目</w:t>
      </w:r>
      <w:r>
        <w:t>工作内容操作所需的人员工资及养护工具、农药、化肥、洒水车、垃圾清运等原</w:t>
      </w:r>
      <w:r>
        <w:rPr>
          <w:spacing w:val="-3"/>
        </w:rPr>
        <w:t>料、设备，以及不可抗力因素外任何原因</w:t>
      </w:r>
      <w:r>
        <w:t>（</w:t>
      </w:r>
      <w:r>
        <w:rPr>
          <w:spacing w:val="-4"/>
        </w:rPr>
        <w:t>含暴雨、交通肇事、偷盗、人为破坏、</w:t>
      </w:r>
      <w:r>
        <w:t>人为践踏等</w:t>
      </w:r>
      <w:r>
        <w:rPr>
          <w:spacing w:val="3"/>
        </w:rPr>
        <w:t>）</w:t>
      </w:r>
      <w:r>
        <w:t>造成的缺陷修复、死缺购苗木及补植、项目养护范围内的配套设施</w:t>
      </w:r>
      <w:r>
        <w:rPr>
          <w:spacing w:val="-4"/>
        </w:rPr>
        <w:t>破损、缺失所购材料及修补、维护管理、水电费、垃圾运弃费、安全保险、利润、</w:t>
      </w:r>
      <w:r>
        <w:t>风险、义务等或隐含的壹切责任的综合包干价格。养护综合单价不因劳力、材料或其他可能影响合同实施成本的事项发生价格变动而进行调整。</w:t>
      </w:r>
    </w:p>
    <w:p>
      <w:pPr>
        <w:pStyle w:val="BodyText"/>
        <w:spacing w:line="306" w:lineRule="exact"/>
        <w:ind w:left="1441"/>
      </w:pPr>
      <w:r>
        <w:t>五、月发包价结算和付款方式：</w:t>
      </w:r>
    </w:p>
    <w:p>
      <w:pPr>
        <w:pStyle w:val="BodyText"/>
        <w:spacing w:before="8"/>
      </w:pPr>
    </w:p>
    <w:p>
      <w:pPr>
        <w:pStyle w:val="BodyText"/>
        <w:spacing w:before="1"/>
        <w:ind w:left="1441"/>
      </w:pPr>
      <w:r>
        <w:t>(壹)月付养护款计算方法：月付养护款=实际养护管理面积*发包月综合单价</w:t>
      </w:r>
    </w:p>
    <w:p>
      <w:pPr>
        <w:pStyle w:val="BodyText"/>
        <w:spacing w:before="8"/>
      </w:pPr>
    </w:p>
    <w:p>
      <w:pPr>
        <w:pStyle w:val="BodyText"/>
        <w:spacing w:before="1"/>
        <w:ind w:left="961"/>
      </w:pPr>
      <w:r>
        <w:t>（0.6 元/㎡·月）*考核得分对应百分比。工程量清单作为合同文本的附件。</w:t>
      </w:r>
    </w:p>
    <w:p>
      <w:pPr>
        <w:pStyle w:val="BodyText"/>
        <w:spacing w:before="8"/>
      </w:pPr>
    </w:p>
    <w:p>
      <w:pPr>
        <w:pStyle w:val="BodyText"/>
        <w:spacing w:before="1"/>
        <w:ind w:left="1321"/>
      </w:pPr>
      <w:r>
        <w:t>(二)付款方式:</w:t>
      </w:r>
    </w:p>
    <w:p>
      <w:pPr>
        <w:pStyle w:val="BodyText"/>
        <w:spacing w:before="8"/>
      </w:pPr>
    </w:p>
    <w:p>
      <w:pPr>
        <w:pStyle w:val="BodyText"/>
        <w:spacing w:before="1" w:line="487" w:lineRule="auto"/>
        <w:ind w:left="961" w:right="964" w:firstLine="480"/>
        <w:jc w:val="both"/>
      </w:pPr>
      <w:r>
        <w:t>1</w:t>
      </w:r>
      <w:r>
        <w:rPr>
          <w:spacing w:val="-3"/>
        </w:rPr>
        <w:t xml:space="preserve">、本养护项目无预付款，养护款按月结算,于次月 </w:t>
      </w:r>
      <w:r>
        <w:t>10</w:t>
      </w:r>
      <w:r>
        <w:rPr>
          <w:spacing w:val="-9"/>
        </w:rPr>
        <w:t xml:space="preserve"> 日结算上个月养护款， </w:t>
      </w:r>
      <w:r>
        <w:t>月付养护款和养护质量挂勾。因承包人原因造成结算材料不能及时上报而影响付款时限的责任由承包人承担。</w:t>
      </w:r>
    </w:p>
    <w:p>
      <w:pPr>
        <w:pStyle w:val="BodyText"/>
        <w:spacing w:line="487" w:lineRule="auto"/>
        <w:ind w:left="961" w:right="934" w:firstLine="480"/>
      </w:pPr>
      <w:r>
        <w:t>2、月养护款结算时，承包人必须提供当地税务部门开据的绿化养护项目的税务发票、验收评分表、养护费结算表等结算材料；</w:t>
      </w:r>
    </w:p>
    <w:p>
      <w:pPr>
        <w:spacing w:after="0" w:line="487" w:lineRule="auto"/>
        <w:sectPr>
          <w:pgSz w:w="11910" w:h="16840"/>
          <w:pgMar w:top="1480" w:right="720" w:bottom="280" w:left="740" w:header="708" w:footer="708"/>
          <w:pgNumType w:start="17"/>
          <w:cols w:space="708"/>
        </w:sectPr>
      </w:pPr>
    </w:p>
    <w:p>
      <w:pPr>
        <w:pStyle w:val="BodyText"/>
        <w:spacing w:before="76" w:line="487" w:lineRule="auto"/>
        <w:ind w:left="961" w:right="979" w:firstLine="480"/>
        <w:jc w:val="both"/>
      </w:pPr>
      <w:r>
        <w:t>3</w:t>
      </w:r>
      <w:r>
        <w:rPr>
          <w:spacing w:val="-1"/>
        </w:rPr>
        <w:t xml:space="preserve">、最后壹个月养护款及履约保证金待承包人合同期满后 </w:t>
      </w:r>
      <w:r>
        <w:t>10</w:t>
      </w:r>
      <w:r>
        <w:rPr>
          <w:spacing w:val="-7"/>
        </w:rPr>
        <w:t xml:space="preserve"> 天之内向发包人</w:t>
      </w:r>
      <w:r>
        <w:t>移交全部资料，经发包人验收且按考核、鉴定情况进行结算，如有缺失，承包人</w:t>
      </w:r>
      <w:r>
        <w:rPr>
          <w:spacing w:val="-19"/>
        </w:rPr>
        <w:t xml:space="preserve">须于 </w:t>
      </w:r>
      <w:r>
        <w:t>7</w:t>
      </w:r>
      <w:r>
        <w:rPr>
          <w:spacing w:val="-7"/>
        </w:rPr>
        <w:t xml:space="preserve"> 天内按原品种及合同期满该苗木正常生长的规格修复补齐，否则，发包人</w:t>
      </w:r>
      <w:r>
        <w:t>将对该缺失的修复费用做出估算且处于承包人该修复费用的三倍罚款，从最后壹个月养护款和履约保证金中抵扣后壹个月内支付。</w:t>
      </w:r>
    </w:p>
    <w:p>
      <w:pPr>
        <w:pStyle w:val="BodyText"/>
        <w:spacing w:line="306" w:lineRule="exact"/>
        <w:ind w:left="1441"/>
      </w:pPr>
      <w:r>
        <w:t>六、履约保证金</w:t>
      </w:r>
    </w:p>
    <w:p>
      <w:pPr>
        <w:pStyle w:val="BodyText"/>
        <w:spacing w:before="8"/>
      </w:pPr>
    </w:p>
    <w:p>
      <w:pPr>
        <w:pStyle w:val="BodyText"/>
        <w:spacing w:before="1" w:line="487" w:lineRule="auto"/>
        <w:ind w:left="962" w:right="979" w:firstLine="480"/>
        <w:jc w:val="both"/>
      </w:pPr>
      <w:r>
        <w:rPr>
          <w:spacing w:val="2"/>
        </w:rPr>
        <w:t>于签订合同之前，承包人应向发包人提交合同履约保证金，履约保证金数额</w:t>
      </w:r>
      <w:r>
        <w:rPr>
          <w:spacing w:val="-9"/>
        </w:rPr>
        <w:t xml:space="preserve">为年养管费的 </w:t>
      </w:r>
      <w:r>
        <w:t>10%</w:t>
      </w:r>
      <w:r>
        <w:rPr>
          <w:spacing w:val="-10"/>
        </w:rPr>
        <w:t>。履约保证金必须用现金汇入发包人的指定账户。合同期满承包</w:t>
      </w:r>
      <w:r>
        <w:t>人凭项目质量验收合格证明书申请退仍履约保证金。</w:t>
      </w:r>
    </w:p>
    <w:p>
      <w:pPr>
        <w:pStyle w:val="BodyText"/>
        <w:spacing w:line="487" w:lineRule="auto"/>
        <w:ind w:left="961" w:right="859" w:firstLine="478"/>
      </w:pPr>
      <w:r>
        <w:t>七、承包人的风险：合同期内，人员伤亡和财产损失（包括造成第三方人员伤亡和财产损失</w:t>
      </w:r>
      <w:r>
        <w:rPr>
          <w:spacing w:val="-5"/>
        </w:rPr>
        <w:t>）</w:t>
      </w:r>
      <w:r>
        <w:rPr>
          <w:spacing w:val="-4"/>
        </w:rPr>
        <w:t xml:space="preserve">以及养护的花草树木、园林设施、设备、材料等的缺失和损坏， </w:t>
      </w:r>
      <w:r>
        <w:t>均为承包人的风险。承包人应根据本管养的工作的特点投保，保险费隐含于包干综合单价中。</w:t>
      </w:r>
    </w:p>
    <w:p>
      <w:pPr>
        <w:pStyle w:val="BodyText"/>
        <w:spacing w:line="487" w:lineRule="auto"/>
        <w:ind w:left="961" w:right="979" w:firstLine="460"/>
      </w:pPr>
      <w:r>
        <w:rPr>
          <w:spacing w:val="-12"/>
        </w:rPr>
        <w:t>八、合同养护款变更：合同履行中因城市建设需要增减养护面积的，经双方现</w:t>
      </w:r>
      <w:r>
        <w:t>场确认，按计算合同承包价的方法增减合同养护款。增加单块养护面积 5</w:t>
      </w:r>
      <w:r>
        <w:rPr>
          <w:spacing w:val="-18"/>
        </w:rPr>
        <w:t xml:space="preserve"> 公顷以</w:t>
      </w:r>
    </w:p>
    <w:p>
      <w:pPr>
        <w:pStyle w:val="BodyText"/>
        <w:spacing w:line="307" w:lineRule="exact"/>
        <w:ind w:right="979"/>
        <w:jc w:val="right"/>
      </w:pPr>
      <w:r>
        <w:rPr>
          <w:spacing w:val="3"/>
        </w:rPr>
        <w:t>下（</w:t>
      </w:r>
      <w:r>
        <w:rPr>
          <w:spacing w:val="-29"/>
        </w:rPr>
        <w:t xml:space="preserve">含 </w:t>
      </w:r>
      <w:r>
        <w:t>5</w:t>
      </w:r>
      <w:r>
        <w:rPr>
          <w:spacing w:val="-19"/>
        </w:rPr>
        <w:t xml:space="preserve"> 公顷</w:t>
      </w:r>
      <w:r>
        <w:rPr>
          <w:spacing w:val="3"/>
        </w:rPr>
        <w:t>）</w:t>
      </w:r>
      <w:r>
        <w:rPr>
          <w:spacing w:val="2"/>
        </w:rPr>
        <w:t>的，要求承包人按原发包月综合单价负责养护管理，最终承包人</w:t>
      </w:r>
    </w:p>
    <w:p>
      <w:pPr>
        <w:pStyle w:val="BodyText"/>
        <w:spacing w:before="7"/>
      </w:pPr>
    </w:p>
    <w:p>
      <w:pPr>
        <w:pStyle w:val="BodyText"/>
        <w:spacing w:line="487" w:lineRule="auto"/>
        <w:ind w:left="1429" w:right="2764" w:hanging="468"/>
      </w:pPr>
      <w:r>
        <w:rPr>
          <w:spacing w:val="-5"/>
        </w:rPr>
        <w:t xml:space="preserve">应无条件接受。单块面积大于 </w:t>
      </w:r>
      <w:r>
        <w:t>5</w:t>
      </w:r>
      <w:r>
        <w:rPr>
          <w:spacing w:val="-9"/>
        </w:rPr>
        <w:t xml:space="preserve"> 公顷的于接管前进行公开招标。</w:t>
      </w:r>
      <w:r>
        <w:t>九、发包人的责任和义务：</w:t>
      </w:r>
    </w:p>
    <w:p>
      <w:pPr>
        <w:pStyle w:val="BodyText"/>
        <w:spacing w:line="487" w:lineRule="auto"/>
        <w:ind w:left="961" w:right="979" w:firstLine="468"/>
      </w:pPr>
      <w:r>
        <w:t>(壹)合同签订后第 5 天做好承包区域绿化养护管理和保洁区的养护工作量移交工作；</w:t>
      </w:r>
    </w:p>
    <w:p>
      <w:pPr>
        <w:pStyle w:val="BodyText"/>
        <w:spacing w:line="307" w:lineRule="exact"/>
        <w:ind w:right="979"/>
        <w:jc w:val="right"/>
      </w:pPr>
      <w:r>
        <w:rPr>
          <w:spacing w:val="-21"/>
        </w:rPr>
        <w:t xml:space="preserve">(二)全面监督、指导、检查、验收承包人工作。发包人按考核标准每月组织 </w:t>
      </w:r>
      <w:r>
        <w:t>3-5</w:t>
      </w:r>
    </w:p>
    <w:p>
      <w:pPr>
        <w:pStyle w:val="BodyText"/>
        <w:spacing w:before="8"/>
      </w:pPr>
    </w:p>
    <w:p>
      <w:pPr>
        <w:pStyle w:val="BodyText"/>
        <w:spacing w:before="1"/>
        <w:ind w:left="961"/>
      </w:pPr>
      <w:r>
        <w:rPr>
          <w:spacing w:val="-4"/>
        </w:rPr>
        <w:t xml:space="preserve">次日常考核，月考核于 </w:t>
      </w:r>
      <w:r>
        <w:t>20-30</w:t>
      </w:r>
      <w:r>
        <w:rPr>
          <w:spacing w:val="-6"/>
        </w:rPr>
        <w:t xml:space="preserve"> 日间进行。因发包人不组织人员现场考核的，考核</w:t>
      </w:r>
    </w:p>
    <w:p>
      <w:pPr>
        <w:spacing w:after="0"/>
        <w:sectPr>
          <w:pgSz w:w="11910" w:h="16840"/>
          <w:pgMar w:top="1480" w:right="720" w:bottom="280" w:left="740" w:header="708" w:footer="708"/>
          <w:pgNumType w:start="18"/>
          <w:cols w:space="708"/>
        </w:sectPr>
      </w:pPr>
    </w:p>
    <w:p>
      <w:pPr>
        <w:pStyle w:val="BodyText"/>
        <w:spacing w:before="76"/>
        <w:ind w:left="961"/>
      </w:pPr>
      <w:r>
        <w:t>得分按默认满分算；</w:t>
      </w:r>
    </w:p>
    <w:p>
      <w:pPr>
        <w:pStyle w:val="BodyText"/>
        <w:spacing w:before="8"/>
      </w:pPr>
    </w:p>
    <w:p>
      <w:pPr>
        <w:pStyle w:val="BodyText"/>
        <w:spacing w:before="1" w:line="487" w:lineRule="auto"/>
        <w:ind w:left="961" w:right="979" w:firstLine="468"/>
      </w:pPr>
      <w:r>
        <w:t>(三)于检查时如发现有不合格之处，以“质量整改通知书”的形式书面通知承包人；</w:t>
      </w:r>
    </w:p>
    <w:p>
      <w:pPr>
        <w:pStyle w:val="BodyText"/>
        <w:spacing w:line="487" w:lineRule="auto"/>
        <w:ind w:left="961" w:right="979" w:firstLine="468"/>
      </w:pPr>
      <w:r>
        <w:t>(四)发包人向承包人承诺按照合同约定的期限和方式支付合同养护款及其他应当支付的款项。</w:t>
      </w:r>
    </w:p>
    <w:p>
      <w:pPr>
        <w:pStyle w:val="BodyText"/>
        <w:spacing w:line="307" w:lineRule="exact"/>
        <w:ind w:left="1441"/>
      </w:pPr>
      <w:r>
        <w:t>十、承包人责任和义务：</w:t>
      </w:r>
    </w:p>
    <w:p>
      <w:pPr>
        <w:pStyle w:val="BodyText"/>
        <w:spacing w:before="8"/>
      </w:pPr>
    </w:p>
    <w:p>
      <w:pPr>
        <w:pStyle w:val="BodyText"/>
        <w:spacing w:line="487" w:lineRule="auto"/>
        <w:ind w:left="962" w:right="979" w:firstLine="480"/>
        <w:jc w:val="both"/>
      </w:pPr>
      <w:r>
        <w:t>(壹)中签后承包人应于签订合同起壹个月内根据发包人抽签当日提供的养护</w:t>
      </w:r>
      <w:r>
        <w:rPr>
          <w:spacing w:val="-3"/>
        </w:rPr>
        <w:t xml:space="preserve">量清单进行自行核实。若误差值于 </w:t>
      </w:r>
      <w:r>
        <w:t>3%范围内，则以发包人提供的养护量为准；承</w:t>
      </w:r>
      <w:r>
        <w:rPr>
          <w:spacing w:val="-2"/>
        </w:rPr>
        <w:t xml:space="preserve">包人于核实中若认为养护量误差值超过 </w:t>
      </w:r>
      <w:r>
        <w:t>3%，则由承发包双方对有争议的绿化地段</w:t>
      </w:r>
      <w:r>
        <w:rPr>
          <w:spacing w:val="-2"/>
        </w:rPr>
        <w:t xml:space="preserve">进行重新核实，以双方现场确认的实际养护量为准，经双方核实误差值于 </w:t>
      </w:r>
      <w:r>
        <w:t>3%范围内核实过程中所需的壹切费用由承包人承当；</w:t>
      </w:r>
    </w:p>
    <w:p>
      <w:pPr>
        <w:pStyle w:val="BodyText"/>
        <w:spacing w:line="487" w:lineRule="auto"/>
        <w:ind w:left="961" w:right="849" w:firstLine="480"/>
      </w:pPr>
      <w:r>
        <w:t>（二）合同签订前承包人须做好绿地养护管理接收前的各养护路段上场人员、主要机械设备及管理机构配备等准备工作。合同签订时将发包人要求配备的建造师、技术管理人员和各路段养护操作人员及使用主要机械设备（规格、型号、标准、品牌）情况以书面材料报发包人批准、备案，且保持相对稳定。建造师、技术管理人员非发包人要求不得随意更换直至承包期满，要求每 4000㎡至少配备 1 名养护工人；</w:t>
      </w:r>
    </w:p>
    <w:p>
      <w:pPr>
        <w:pStyle w:val="BodyText"/>
        <w:spacing w:line="487" w:lineRule="auto"/>
        <w:ind w:left="961" w:right="979" w:firstLine="480"/>
        <w:jc w:val="both"/>
      </w:pPr>
      <w:r>
        <w:t>(三)根据项目的实际情况，设置完善的组织结构，制定部门岗位职责以及各种岗位规范、作业指导书、管理制度等，且按发包人要求，处理和撤换违反有关作业指导书的人员；</w:t>
      </w:r>
    </w:p>
    <w:p>
      <w:pPr>
        <w:pStyle w:val="BodyText"/>
        <w:spacing w:line="487" w:lineRule="auto"/>
        <w:ind w:left="961" w:right="939" w:firstLine="240"/>
      </w:pPr>
      <w:r>
        <w:t>(四)于合同签订前必须给养护工人投保,且制定安全生产措施报县建设局安全站批准、备案；</w:t>
      </w:r>
    </w:p>
    <w:p>
      <w:pPr>
        <w:spacing w:after="0" w:line="487" w:lineRule="auto"/>
        <w:sectPr>
          <w:pgSz w:w="11910" w:h="16840"/>
          <w:pgMar w:top="1480" w:right="720" w:bottom="280" w:left="740" w:header="708" w:footer="708"/>
          <w:pgNumType w:start="19"/>
          <w:cols w:space="708"/>
        </w:sectPr>
      </w:pPr>
    </w:p>
    <w:p>
      <w:pPr>
        <w:pStyle w:val="BodyText"/>
        <w:spacing w:before="76" w:line="487" w:lineRule="auto"/>
        <w:ind w:left="961" w:right="979" w:firstLine="360"/>
      </w:pPr>
      <w:r>
        <w:t>（五</w:t>
      </w:r>
      <w:r>
        <w:rPr>
          <w:spacing w:val="-17"/>
        </w:rPr>
        <w:t>）</w:t>
      </w:r>
      <w:r>
        <w:rPr>
          <w:spacing w:val="-9"/>
        </w:rPr>
        <w:t xml:space="preserve">合同签订后第 </w:t>
      </w:r>
      <w:r>
        <w:t>5</w:t>
      </w:r>
      <w:r>
        <w:rPr>
          <w:spacing w:val="-9"/>
        </w:rPr>
        <w:t xml:space="preserve"> 天做好承包区域绿化养护管理和保洁区的养护工作量移</w:t>
      </w:r>
      <w:r>
        <w:t>交接收工作；</w:t>
      </w:r>
    </w:p>
    <w:p>
      <w:pPr>
        <w:pStyle w:val="BodyText"/>
        <w:spacing w:line="487" w:lineRule="auto"/>
        <w:ind w:left="961" w:right="933" w:firstLine="360"/>
      </w:pPr>
      <w:r>
        <w:t>（六）熟悉和掌握各类绿化和周边道路、地坪及其设施、建筑的整体面貌融合情况；</w:t>
      </w:r>
    </w:p>
    <w:p>
      <w:pPr>
        <w:pStyle w:val="BodyText"/>
        <w:spacing w:line="487" w:lineRule="auto"/>
        <w:ind w:left="961" w:right="964" w:firstLine="360"/>
        <w:jc w:val="both"/>
      </w:pPr>
      <w:r>
        <w:t>（七）</w:t>
      </w:r>
      <w:r>
        <w:rPr>
          <w:spacing w:val="-1"/>
        </w:rPr>
        <w:t xml:space="preserve">负责承包区域内各类苗木、设施的日常巡视检查及养护、保洁等工作， </w:t>
      </w:r>
      <w:r>
        <w:t>发现各类苗木、设施有缺失、损坏时，当天和业主沟通且采取措施三天内按原品种及同等规格进行补缺恢复</w:t>
      </w:r>
      <w:r>
        <w:rPr>
          <w:spacing w:val="3"/>
        </w:rPr>
        <w:t>（</w:t>
      </w:r>
      <w:r>
        <w:t>于特殊情况下无法按原品种或规格补植，以其它品种或规格替换时须得到发包人的确认，如补植品种或规格优于原品种所增费用由承包人承但，低于原品种或规格的发包人按俩种苗木当时市场价差于当月养护费中予以扣除</w:t>
      </w:r>
      <w:r>
        <w:rPr>
          <w:spacing w:val="-120"/>
        </w:rPr>
        <w:t>）</w:t>
      </w:r>
      <w:r>
        <w:rPr>
          <w:spacing w:val="-4"/>
        </w:rPr>
        <w:t>；发现歪、倒苗木当天扶正，及时处理交通障碍；发现苗木断枝当天</w:t>
      </w:r>
      <w:r>
        <w:t>处理；做好节日布置、上级督查等突击任务；养护质量要严格按照仙游县园林绿化养护管理标准执行；</w:t>
      </w:r>
    </w:p>
    <w:p>
      <w:pPr>
        <w:pStyle w:val="BodyText"/>
        <w:spacing w:line="487" w:lineRule="auto"/>
        <w:ind w:left="961" w:right="859" w:firstLine="360"/>
      </w:pPr>
      <w:r>
        <w:t>（八</w:t>
      </w:r>
      <w:r>
        <w:rPr>
          <w:spacing w:val="-4"/>
        </w:rPr>
        <w:t>）根据季节的变化合理安排、检查养护工作，向发包人提供年、季、月度</w:t>
      </w:r>
      <w:r>
        <w:t>养护管理方案及相应进度统计报表。制定壹年化肥、农药物耗计划</w:t>
      </w:r>
      <w:r>
        <w:rPr>
          <w:spacing w:val="3"/>
        </w:rPr>
        <w:t>（</w:t>
      </w:r>
      <w:r>
        <w:t>标明施用范</w:t>
      </w:r>
      <w:r>
        <w:rPr>
          <w:spacing w:val="-3"/>
        </w:rPr>
        <w:t>围、品种、总用量</w:t>
      </w:r>
      <w:r>
        <w:rPr>
          <w:spacing w:val="-4"/>
        </w:rPr>
        <w:t>）</w:t>
      </w:r>
      <w:r>
        <w:rPr>
          <w:spacing w:val="-3"/>
        </w:rPr>
        <w:t xml:space="preserve">报发包人确认、备案，于施用前壹天以书面形式通知发包人， </w:t>
      </w:r>
      <w:r>
        <w:t>发包人派人督促指导且以书面形式确认，出具化肥、农药物耗确认单；</w:t>
      </w:r>
    </w:p>
    <w:p>
      <w:pPr>
        <w:pStyle w:val="BodyText"/>
        <w:spacing w:line="487" w:lineRule="auto"/>
        <w:ind w:left="961" w:right="933" w:firstLine="360"/>
      </w:pPr>
      <w:r>
        <w:t>（九）建立和健全养护管理档案，对养护管理项目中采集的各种信息、资料数据应及时反馈给业主，且做好分析整理和归档保存工作；</w:t>
      </w:r>
    </w:p>
    <w:p>
      <w:pPr>
        <w:pStyle w:val="BodyText"/>
        <w:spacing w:line="487" w:lineRule="auto"/>
        <w:ind w:left="961" w:right="979" w:firstLine="360"/>
        <w:jc w:val="both"/>
      </w:pPr>
      <w:r>
        <w:t>（十</w:t>
      </w:r>
      <w:r>
        <w:rPr>
          <w:spacing w:val="-8"/>
        </w:rPr>
        <w:t>）</w:t>
      </w:r>
      <w:r>
        <w:rPr>
          <w:spacing w:val="-1"/>
        </w:rPr>
        <w:t>无条件地配合发包人对绿地或中间绿化带的改造</w:t>
      </w:r>
      <w:r>
        <w:t>（</w:t>
      </w:r>
      <w:r>
        <w:rPr>
          <w:spacing w:val="-2"/>
        </w:rPr>
        <w:t>如路沿石改造苗木迁</w:t>
      </w:r>
      <w:r>
        <w:t>移等</w:t>
      </w:r>
      <w:r>
        <w:rPr>
          <w:spacing w:val="-120"/>
        </w:rPr>
        <w:t>）</w:t>
      </w:r>
      <w:r>
        <w:rPr>
          <w:spacing w:val="-5"/>
        </w:rPr>
        <w:t>，及时对由于改造所引起的苗木缺损进行补植，补植的苗木费用由发包人承</w:t>
      </w:r>
      <w:r>
        <w:t>担，其它费用由承包人承担。</w:t>
      </w:r>
    </w:p>
    <w:p>
      <w:pPr>
        <w:pStyle w:val="BodyText"/>
        <w:spacing w:line="307" w:lineRule="exact"/>
        <w:ind w:left="984" w:right="644"/>
        <w:jc w:val="center"/>
      </w:pPr>
      <w:r>
        <w:t>（十壹）根据发包人对绿化调整的要求，法合实际，及时做好绿地的局部调整</w:t>
      </w:r>
    </w:p>
    <w:p>
      <w:pPr>
        <w:spacing w:after="0" w:line="307" w:lineRule="exact"/>
        <w:jc w:val="center"/>
        <w:sectPr>
          <w:pgSz w:w="11910" w:h="16840"/>
          <w:pgMar w:top="1480" w:right="720" w:bottom="280" w:left="740" w:header="708" w:footer="708"/>
          <w:pgNumType w:start="20"/>
          <w:cols w:space="708"/>
        </w:sectPr>
      </w:pPr>
    </w:p>
    <w:p>
      <w:pPr>
        <w:pStyle w:val="BodyText"/>
        <w:spacing w:before="76"/>
        <w:ind w:left="961"/>
      </w:pPr>
      <w:r>
        <w:t>工作保证绿化观赏整体性。</w:t>
      </w:r>
    </w:p>
    <w:p>
      <w:pPr>
        <w:pStyle w:val="BodyText"/>
        <w:spacing w:before="8"/>
      </w:pPr>
    </w:p>
    <w:p>
      <w:pPr>
        <w:pStyle w:val="BodyText"/>
        <w:spacing w:before="1" w:line="487" w:lineRule="auto"/>
        <w:ind w:left="961" w:right="934" w:firstLine="360"/>
      </w:pPr>
      <w:r>
        <w:t>（十二）无条件地接受发包人的管理、监督、检查和考核，对发包人发出的整改通知，应认真、及时整改,整改时限不超过三天；</w:t>
      </w:r>
    </w:p>
    <w:p>
      <w:pPr>
        <w:pStyle w:val="BodyText"/>
        <w:spacing w:line="487" w:lineRule="auto"/>
        <w:ind w:left="961" w:right="934" w:firstLine="360"/>
      </w:pPr>
      <w:r>
        <w:t>（十三）遵守有关主管部门对养护场地交通、施工噪音以及环境保护和安全生产等的管理制度；</w:t>
      </w:r>
    </w:p>
    <w:p>
      <w:pPr>
        <w:pStyle w:val="BodyText"/>
        <w:spacing w:line="307" w:lineRule="exact"/>
        <w:ind w:left="1321"/>
      </w:pPr>
      <w:r>
        <w:t>（十四）做好承包地块内地下管线和设施、建筑物、构筑物的保护工作；</w:t>
      </w:r>
    </w:p>
    <w:p>
      <w:pPr>
        <w:pStyle w:val="BodyText"/>
        <w:spacing w:before="8"/>
      </w:pPr>
    </w:p>
    <w:p>
      <w:pPr>
        <w:pStyle w:val="BodyText"/>
        <w:spacing w:line="487" w:lineRule="auto"/>
        <w:ind w:left="961" w:right="979" w:firstLine="360"/>
        <w:jc w:val="both"/>
      </w:pPr>
      <w:r>
        <w:rPr>
          <w:spacing w:val="3"/>
        </w:rPr>
        <w:t>（十五）</w:t>
      </w:r>
      <w:r>
        <w:rPr>
          <w:spacing w:val="-4"/>
        </w:rPr>
        <w:t xml:space="preserve">承包人应成立不少于 </w:t>
      </w:r>
      <w:r>
        <w:t>10</w:t>
      </w:r>
      <w:r>
        <w:rPr>
          <w:spacing w:val="-6"/>
        </w:rPr>
        <w:t xml:space="preserve"> 人紧急抢险队伍，制定应急预案，报发包人</w:t>
      </w:r>
      <w:r>
        <w:t>批准，发生本预案适用范围内的抗台防汛及重特大安全事故后，应立即启动应急预案执行绿化养护抢险救灾任务,且承当所需费用；</w:t>
      </w:r>
    </w:p>
    <w:p>
      <w:pPr>
        <w:pStyle w:val="BodyText"/>
        <w:spacing w:line="487" w:lineRule="auto"/>
        <w:ind w:left="961" w:right="979" w:firstLine="360"/>
        <w:jc w:val="both"/>
      </w:pPr>
      <w:r>
        <w:t>（十六</w:t>
      </w:r>
      <w:r>
        <w:rPr>
          <w:spacing w:val="-3"/>
        </w:rPr>
        <w:t>）</w:t>
      </w:r>
      <w:r>
        <w:rPr>
          <w:spacing w:val="-4"/>
        </w:rPr>
        <w:t>承包人不得擅自砍伐、迁移、遗弃所养护的苗木。砍伐、迁移、遗弃</w:t>
      </w:r>
      <w:r>
        <w:t>苗木行为壹经发包人发现，承包人将被处以原苗木评估价三倍罚款后再按原品种及同等规格补植恢复；</w:t>
      </w:r>
    </w:p>
    <w:p>
      <w:pPr>
        <w:pStyle w:val="BodyText"/>
        <w:spacing w:line="487" w:lineRule="auto"/>
        <w:ind w:left="961" w:right="979" w:firstLine="360"/>
        <w:jc w:val="both"/>
      </w:pPr>
      <w:r>
        <w:t>（十七</w:t>
      </w:r>
      <w:r>
        <w:rPr>
          <w:spacing w:val="-8"/>
        </w:rPr>
        <w:t>）</w:t>
      </w:r>
      <w:r>
        <w:rPr>
          <w:spacing w:val="-2"/>
        </w:rPr>
        <w:t>承包单位应于养护管理承包期满时，负责将养护管理的所有资料及绿</w:t>
      </w:r>
      <w:r>
        <w:t>地中的各类植物按签定养护合同时承发包人确认的养护的品种、数量及合同期满</w:t>
      </w:r>
      <w:r>
        <w:rPr>
          <w:spacing w:val="4"/>
        </w:rPr>
        <w:t>苗木正常生长的规格等养护量完好地移交给发包人,且于办理交接手续之前不得擅自停止养护工作；</w:t>
      </w:r>
    </w:p>
    <w:p>
      <w:pPr>
        <w:pStyle w:val="BodyText"/>
        <w:spacing w:line="307" w:lineRule="exact"/>
        <w:ind w:left="1321"/>
      </w:pPr>
      <w:r>
        <w:t>（十八）承包人应做的其它工作；</w:t>
      </w:r>
    </w:p>
    <w:p>
      <w:pPr>
        <w:pStyle w:val="BodyText"/>
        <w:spacing w:before="8"/>
      </w:pPr>
    </w:p>
    <w:p>
      <w:pPr>
        <w:pStyle w:val="BodyText"/>
        <w:spacing w:line="487" w:lineRule="auto"/>
        <w:ind w:left="961" w:right="933" w:firstLine="360"/>
      </w:pPr>
      <w:r>
        <w:t>（十九）承包人未能履行上款各项责任，造成发包人损失的，承包人三倍赔偿发包人有关损失。</w:t>
      </w:r>
    </w:p>
    <w:p>
      <w:pPr>
        <w:pStyle w:val="BodyText"/>
        <w:spacing w:line="307" w:lineRule="exact"/>
        <w:ind w:left="1441"/>
      </w:pPr>
      <w:r>
        <w:t>十壹、安全生产责任</w:t>
      </w:r>
    </w:p>
    <w:p>
      <w:pPr>
        <w:pStyle w:val="BodyText"/>
        <w:spacing w:before="9"/>
      </w:pPr>
    </w:p>
    <w:p>
      <w:pPr>
        <w:pStyle w:val="BodyText"/>
        <w:spacing w:line="487" w:lineRule="auto"/>
        <w:ind w:left="961" w:right="979" w:firstLine="480"/>
      </w:pPr>
      <w:r>
        <w:t>(壹)承包人应对其于养护场地的工作人员进行安全教育，且负壹切安全事故责任。</w:t>
      </w:r>
    </w:p>
    <w:p>
      <w:pPr>
        <w:spacing w:after="0" w:line="487" w:lineRule="auto"/>
      </w:pPr>
      <w:r>
        <w:br/>
      </w:r>
      <w: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https://d.book118.com/668046115046006044</w:t>
        </w:r>
      </w:hyperlink>
    </w:p>
    <w:p>
      <w:pPr>
        <w:spacing w:after="0" w:line="487" w:lineRule="auto"/>
      </w:pPr>
    </w:p>
    <w:sectPr>
      <w:pgSz w:w="11910" w:h="16840"/>
      <w:pgMar w:top="1480" w:right="720" w:bottom="280" w:left="740" w:header="708" w:footer="708"/>
      <w:pgNumType w:start="21"/>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70EB3"/>
    <w:multiLevelType w:val="hybridMultilevel"/>
    <w:tmpl w:val="00000000"/>
    <w:lvl w:ilvl="0">
      <w:start w:val="1"/>
      <w:numFmt w:val="decimal"/>
      <w:lvlText w:val="%1"/>
      <w:lvlJc w:val="left"/>
      <w:pPr>
        <w:ind w:left="1861" w:hanging="420"/>
        <w:jc w:val="left"/>
      </w:pPr>
      <w:rPr>
        <w:rFonts w:hint="default"/>
        <w:lang w:val="en-US" w:eastAsia="zh-CN" w:bidi="ar-SA"/>
      </w:rPr>
    </w:lvl>
    <w:lvl w:ilvl="1">
      <w:start w:val="4"/>
      <w:numFmt w:val="decimal"/>
      <w:lvlText w:val="%1.%2"/>
      <w:lvlJc w:val="left"/>
      <w:pPr>
        <w:ind w:left="1861" w:hanging="420"/>
        <w:jc w:val="left"/>
      </w:pPr>
      <w:rPr>
        <w:rFonts w:ascii="宋体" w:eastAsia="宋体" w:hAnsi="宋体" w:cs="宋体" w:hint="default"/>
        <w:w w:val="100"/>
        <w:sz w:val="24"/>
        <w:szCs w:val="24"/>
        <w:lang w:val="en-US" w:eastAsia="zh-CN" w:bidi="ar-SA"/>
      </w:rPr>
    </w:lvl>
    <w:lvl w:ilvl="2">
      <w:start w:val="0"/>
      <w:numFmt w:val="bullet"/>
      <w:lvlText w:val="•"/>
      <w:lvlJc w:val="left"/>
      <w:pPr>
        <w:ind w:left="3577" w:hanging="420"/>
      </w:pPr>
      <w:rPr>
        <w:rFonts w:hint="default"/>
        <w:lang w:val="en-US" w:eastAsia="zh-CN" w:bidi="ar-SA"/>
      </w:rPr>
    </w:lvl>
    <w:lvl w:ilvl="3">
      <w:start w:val="0"/>
      <w:numFmt w:val="bullet"/>
      <w:lvlText w:val="•"/>
      <w:lvlJc w:val="left"/>
      <w:pPr>
        <w:ind w:left="4435" w:hanging="420"/>
      </w:pPr>
      <w:rPr>
        <w:rFonts w:hint="default"/>
        <w:lang w:val="en-US" w:eastAsia="zh-CN" w:bidi="ar-SA"/>
      </w:rPr>
    </w:lvl>
    <w:lvl w:ilvl="4">
      <w:start w:val="0"/>
      <w:numFmt w:val="bullet"/>
      <w:lvlText w:val="•"/>
      <w:lvlJc w:val="left"/>
      <w:pPr>
        <w:ind w:left="5294" w:hanging="420"/>
      </w:pPr>
      <w:rPr>
        <w:rFonts w:hint="default"/>
        <w:lang w:val="en-US" w:eastAsia="zh-CN" w:bidi="ar-SA"/>
      </w:rPr>
    </w:lvl>
    <w:lvl w:ilvl="5">
      <w:start w:val="0"/>
      <w:numFmt w:val="bullet"/>
      <w:lvlText w:val="•"/>
      <w:lvlJc w:val="left"/>
      <w:pPr>
        <w:ind w:left="6153" w:hanging="420"/>
      </w:pPr>
      <w:rPr>
        <w:rFonts w:hint="default"/>
        <w:lang w:val="en-US" w:eastAsia="zh-CN" w:bidi="ar-SA"/>
      </w:rPr>
    </w:lvl>
    <w:lvl w:ilvl="6">
      <w:start w:val="0"/>
      <w:numFmt w:val="bullet"/>
      <w:lvlText w:val="•"/>
      <w:lvlJc w:val="left"/>
      <w:pPr>
        <w:ind w:left="7011" w:hanging="420"/>
      </w:pPr>
      <w:rPr>
        <w:rFonts w:hint="default"/>
        <w:lang w:val="en-US" w:eastAsia="zh-CN" w:bidi="ar-SA"/>
      </w:rPr>
    </w:lvl>
    <w:lvl w:ilvl="7">
      <w:start w:val="0"/>
      <w:numFmt w:val="bullet"/>
      <w:lvlText w:val="•"/>
      <w:lvlJc w:val="left"/>
      <w:pPr>
        <w:ind w:left="7870" w:hanging="420"/>
      </w:pPr>
      <w:rPr>
        <w:rFonts w:hint="default"/>
        <w:lang w:val="en-US" w:eastAsia="zh-CN" w:bidi="ar-SA"/>
      </w:rPr>
    </w:lvl>
    <w:lvl w:ilvl="8">
      <w:start w:val="0"/>
      <w:numFmt w:val="bullet"/>
      <w:lvlText w:val="•"/>
      <w:lvlJc w:val="left"/>
      <w:pPr>
        <w:ind w:left="8728" w:hanging="420"/>
      </w:pPr>
      <w:rPr>
        <w:rFonts w:hint="default"/>
        <w:lang w:val="en-US" w:eastAsia="zh-CN" w:bidi="ar-SA"/>
      </w:rPr>
    </w:lvl>
  </w:abstractNum>
  <w:abstractNum w:abstractNumId="1">
    <w:nsid w:val="26FE28B4"/>
    <w:multiLevelType w:val="hybridMultilevel"/>
    <w:tmpl w:val="00000000"/>
    <w:lvl w:ilvl="0">
      <w:start w:val="1"/>
      <w:numFmt w:val="decimal"/>
      <w:lvlText w:val="%1"/>
      <w:lvlJc w:val="left"/>
      <w:pPr>
        <w:ind w:left="1621" w:hanging="180"/>
        <w:jc w:val="left"/>
      </w:pPr>
      <w:rPr>
        <w:rFonts w:ascii="微软雅黑" w:eastAsia="微软雅黑" w:hAnsi="微软雅黑" w:cs="微软雅黑" w:hint="default"/>
        <w:b/>
        <w:bCs/>
        <w:w w:val="81"/>
        <w:sz w:val="24"/>
        <w:szCs w:val="24"/>
        <w:lang w:val="en-US" w:eastAsia="zh-CN" w:bidi="ar-SA"/>
      </w:rPr>
    </w:lvl>
    <w:lvl w:ilvl="1">
      <w:start w:val="1"/>
      <w:numFmt w:val="decimal"/>
      <w:lvlText w:val="%1.%2"/>
      <w:lvlJc w:val="left"/>
      <w:pPr>
        <w:ind w:left="1981" w:hanging="540"/>
        <w:jc w:val="left"/>
      </w:pPr>
      <w:rPr>
        <w:rFonts w:hint="default"/>
        <w:b/>
        <w:bCs/>
        <w:w w:val="93"/>
        <w:lang w:val="en-US" w:eastAsia="zh-CN" w:bidi="ar-SA"/>
      </w:rPr>
    </w:lvl>
    <w:lvl w:ilvl="2">
      <w:start w:val="1"/>
      <w:numFmt w:val="decimal"/>
      <w:lvlText w:val="(%3)"/>
      <w:lvlJc w:val="left"/>
      <w:pPr>
        <w:ind w:left="1561" w:hanging="540"/>
        <w:jc w:val="left"/>
      </w:pPr>
      <w:rPr>
        <w:rFonts w:ascii="宋体" w:eastAsia="宋体" w:hAnsi="宋体" w:cs="宋体" w:hint="default"/>
        <w:w w:val="100"/>
        <w:sz w:val="22"/>
        <w:szCs w:val="22"/>
        <w:lang w:val="en-US" w:eastAsia="zh-CN" w:bidi="ar-SA"/>
      </w:rPr>
    </w:lvl>
    <w:lvl w:ilvl="3">
      <w:start w:val="0"/>
      <w:numFmt w:val="bullet"/>
      <w:lvlText w:val="•"/>
      <w:lvlJc w:val="left"/>
      <w:pPr>
        <w:ind w:left="1860" w:hanging="540"/>
      </w:pPr>
      <w:rPr>
        <w:rFonts w:hint="default"/>
        <w:lang w:val="en-US" w:eastAsia="zh-CN" w:bidi="ar-SA"/>
      </w:rPr>
    </w:lvl>
    <w:lvl w:ilvl="4">
      <w:start w:val="0"/>
      <w:numFmt w:val="bullet"/>
      <w:lvlText w:val="•"/>
      <w:lvlJc w:val="left"/>
      <w:pPr>
        <w:ind w:left="1980" w:hanging="540"/>
      </w:pPr>
      <w:rPr>
        <w:rFonts w:hint="default"/>
        <w:lang w:val="en-US" w:eastAsia="zh-CN" w:bidi="ar-SA"/>
      </w:rPr>
    </w:lvl>
    <w:lvl w:ilvl="5">
      <w:start w:val="0"/>
      <w:numFmt w:val="bullet"/>
      <w:lvlText w:val="•"/>
      <w:lvlJc w:val="left"/>
      <w:pPr>
        <w:ind w:left="3391" w:hanging="540"/>
      </w:pPr>
      <w:rPr>
        <w:rFonts w:hint="default"/>
        <w:lang w:val="en-US" w:eastAsia="zh-CN" w:bidi="ar-SA"/>
      </w:rPr>
    </w:lvl>
    <w:lvl w:ilvl="6">
      <w:start w:val="0"/>
      <w:numFmt w:val="bullet"/>
      <w:lvlText w:val="•"/>
      <w:lvlJc w:val="left"/>
      <w:pPr>
        <w:ind w:left="4802" w:hanging="540"/>
      </w:pPr>
      <w:rPr>
        <w:rFonts w:hint="default"/>
        <w:lang w:val="en-US" w:eastAsia="zh-CN" w:bidi="ar-SA"/>
      </w:rPr>
    </w:lvl>
    <w:lvl w:ilvl="7">
      <w:start w:val="0"/>
      <w:numFmt w:val="bullet"/>
      <w:lvlText w:val="•"/>
      <w:lvlJc w:val="left"/>
      <w:pPr>
        <w:ind w:left="6213" w:hanging="540"/>
      </w:pPr>
      <w:rPr>
        <w:rFonts w:hint="default"/>
        <w:lang w:val="en-US" w:eastAsia="zh-CN" w:bidi="ar-SA"/>
      </w:rPr>
    </w:lvl>
    <w:lvl w:ilvl="8">
      <w:start w:val="0"/>
      <w:numFmt w:val="bullet"/>
      <w:lvlText w:val="•"/>
      <w:lvlJc w:val="left"/>
      <w:pPr>
        <w:ind w:left="7624" w:hanging="540"/>
      </w:pPr>
      <w:rPr>
        <w:rFonts w:hint="default"/>
        <w:lang w:val="en-US" w:eastAsia="zh-CN" w:bidi="ar-SA"/>
      </w:rPr>
    </w:lvl>
  </w:abstractNum>
  <w:abstractNum w:abstractNumId="2">
    <w:nsid w:val="275F2685"/>
    <w:multiLevelType w:val="hybridMultilevel"/>
    <w:tmpl w:val="00000000"/>
    <w:lvl w:ilvl="0">
      <w:start w:val="25"/>
      <w:numFmt w:val="decimal"/>
      <w:lvlText w:val="%1"/>
      <w:lvlJc w:val="left"/>
      <w:pPr>
        <w:ind w:left="961" w:hanging="780"/>
        <w:jc w:val="left"/>
      </w:pPr>
      <w:rPr>
        <w:rFonts w:hint="default"/>
        <w:lang w:val="en-US" w:eastAsia="zh-CN" w:bidi="ar-SA"/>
      </w:rPr>
    </w:lvl>
    <w:lvl w:ilvl="1">
      <w:start w:val="2"/>
      <w:numFmt w:val="decimal"/>
      <w:lvlText w:val="%1.%2"/>
      <w:lvlJc w:val="left"/>
      <w:pPr>
        <w:ind w:left="961" w:hanging="780"/>
        <w:jc w:val="left"/>
      </w:pPr>
      <w:rPr>
        <w:rFonts w:hint="default"/>
        <w:lang w:val="en-US" w:eastAsia="zh-CN" w:bidi="ar-SA"/>
      </w:rPr>
    </w:lvl>
    <w:lvl w:ilvl="2">
      <w:start w:val="1"/>
      <w:numFmt w:val="decimal"/>
      <w:lvlText w:val="%1.%2.%3"/>
      <w:lvlJc w:val="left"/>
      <w:pPr>
        <w:ind w:left="961" w:hanging="780"/>
        <w:jc w:val="left"/>
      </w:pPr>
      <w:rPr>
        <w:rFonts w:hint="default"/>
        <w:w w:val="100"/>
        <w:lang w:val="en-US" w:eastAsia="zh-CN" w:bidi="ar-SA"/>
      </w:rPr>
    </w:lvl>
    <w:lvl w:ilvl="3">
      <w:start w:val="0"/>
      <w:numFmt w:val="bullet"/>
      <w:lvlText w:val="•"/>
      <w:lvlJc w:val="left"/>
      <w:pPr>
        <w:ind w:left="3805" w:hanging="780"/>
      </w:pPr>
      <w:rPr>
        <w:rFonts w:hint="default"/>
        <w:lang w:val="en-US" w:eastAsia="zh-CN" w:bidi="ar-SA"/>
      </w:rPr>
    </w:lvl>
    <w:lvl w:ilvl="4">
      <w:start w:val="0"/>
      <w:numFmt w:val="bullet"/>
      <w:lvlText w:val="•"/>
      <w:lvlJc w:val="left"/>
      <w:pPr>
        <w:ind w:left="4754" w:hanging="780"/>
      </w:pPr>
      <w:rPr>
        <w:rFonts w:hint="default"/>
        <w:lang w:val="en-US" w:eastAsia="zh-CN" w:bidi="ar-SA"/>
      </w:rPr>
    </w:lvl>
    <w:lvl w:ilvl="5">
      <w:start w:val="0"/>
      <w:numFmt w:val="bullet"/>
      <w:lvlText w:val="•"/>
      <w:lvlJc w:val="left"/>
      <w:pPr>
        <w:ind w:left="5703" w:hanging="780"/>
      </w:pPr>
      <w:rPr>
        <w:rFonts w:hint="default"/>
        <w:lang w:val="en-US" w:eastAsia="zh-CN" w:bidi="ar-SA"/>
      </w:rPr>
    </w:lvl>
    <w:lvl w:ilvl="6">
      <w:start w:val="0"/>
      <w:numFmt w:val="bullet"/>
      <w:lvlText w:val="•"/>
      <w:lvlJc w:val="left"/>
      <w:pPr>
        <w:ind w:left="6651" w:hanging="780"/>
      </w:pPr>
      <w:rPr>
        <w:rFonts w:hint="default"/>
        <w:lang w:val="en-US" w:eastAsia="zh-CN" w:bidi="ar-SA"/>
      </w:rPr>
    </w:lvl>
    <w:lvl w:ilvl="7">
      <w:start w:val="0"/>
      <w:numFmt w:val="bullet"/>
      <w:lvlText w:val="•"/>
      <w:lvlJc w:val="left"/>
      <w:pPr>
        <w:ind w:left="7600" w:hanging="780"/>
      </w:pPr>
      <w:rPr>
        <w:rFonts w:hint="default"/>
        <w:lang w:val="en-US" w:eastAsia="zh-CN" w:bidi="ar-SA"/>
      </w:rPr>
    </w:lvl>
    <w:lvl w:ilvl="8">
      <w:start w:val="0"/>
      <w:numFmt w:val="bullet"/>
      <w:lvlText w:val="•"/>
      <w:lvlJc w:val="left"/>
      <w:pPr>
        <w:ind w:left="8548" w:hanging="780"/>
      </w:pPr>
      <w:rPr>
        <w:rFonts w:hint="default"/>
        <w:lang w:val="en-US" w:eastAsia="zh-CN" w:bidi="ar-SA"/>
      </w:rPr>
    </w:lvl>
  </w:abstractNum>
  <w:abstractNum w:abstractNumId="3">
    <w:nsid w:val="36B6FD5C"/>
    <w:multiLevelType w:val="hybridMultilevel"/>
    <w:tmpl w:val="00000000"/>
    <w:lvl w:ilvl="0">
      <w:start w:val="1"/>
      <w:numFmt w:val="decimal"/>
      <w:lvlText w:val="（%1）"/>
      <w:lvlJc w:val="left"/>
      <w:pPr>
        <w:ind w:left="2042" w:hanging="601"/>
        <w:jc w:val="left"/>
      </w:pPr>
      <w:rPr>
        <w:rFonts w:hint="default"/>
        <w:w w:val="100"/>
        <w:lang w:val="en-US" w:eastAsia="zh-CN" w:bidi="ar-SA"/>
      </w:rPr>
    </w:lvl>
    <w:lvl w:ilvl="1">
      <w:start w:val="0"/>
      <w:numFmt w:val="bullet"/>
      <w:lvlText w:val="•"/>
      <w:lvlJc w:val="left"/>
      <w:pPr>
        <w:ind w:left="2880" w:hanging="601"/>
      </w:pPr>
      <w:rPr>
        <w:rFonts w:hint="default"/>
        <w:lang w:val="en-US" w:eastAsia="zh-CN" w:bidi="ar-SA"/>
      </w:rPr>
    </w:lvl>
    <w:lvl w:ilvl="2">
      <w:start w:val="0"/>
      <w:numFmt w:val="bullet"/>
      <w:lvlText w:val="•"/>
      <w:lvlJc w:val="left"/>
      <w:pPr>
        <w:ind w:left="3721" w:hanging="601"/>
      </w:pPr>
      <w:rPr>
        <w:rFonts w:hint="default"/>
        <w:lang w:val="en-US" w:eastAsia="zh-CN" w:bidi="ar-SA"/>
      </w:rPr>
    </w:lvl>
    <w:lvl w:ilvl="3">
      <w:start w:val="0"/>
      <w:numFmt w:val="bullet"/>
      <w:lvlText w:val="•"/>
      <w:lvlJc w:val="left"/>
      <w:pPr>
        <w:ind w:left="4561" w:hanging="601"/>
      </w:pPr>
      <w:rPr>
        <w:rFonts w:hint="default"/>
        <w:lang w:val="en-US" w:eastAsia="zh-CN" w:bidi="ar-SA"/>
      </w:rPr>
    </w:lvl>
    <w:lvl w:ilvl="4">
      <w:start w:val="0"/>
      <w:numFmt w:val="bullet"/>
      <w:lvlText w:val="•"/>
      <w:lvlJc w:val="left"/>
      <w:pPr>
        <w:ind w:left="5402" w:hanging="601"/>
      </w:pPr>
      <w:rPr>
        <w:rFonts w:hint="default"/>
        <w:lang w:val="en-US" w:eastAsia="zh-CN" w:bidi="ar-SA"/>
      </w:rPr>
    </w:lvl>
    <w:lvl w:ilvl="5">
      <w:start w:val="0"/>
      <w:numFmt w:val="bullet"/>
      <w:lvlText w:val="•"/>
      <w:lvlJc w:val="left"/>
      <w:pPr>
        <w:ind w:left="6243" w:hanging="601"/>
      </w:pPr>
      <w:rPr>
        <w:rFonts w:hint="default"/>
        <w:lang w:val="en-US" w:eastAsia="zh-CN" w:bidi="ar-SA"/>
      </w:rPr>
    </w:lvl>
    <w:lvl w:ilvl="6">
      <w:start w:val="0"/>
      <w:numFmt w:val="bullet"/>
      <w:lvlText w:val="•"/>
      <w:lvlJc w:val="left"/>
      <w:pPr>
        <w:ind w:left="7083" w:hanging="601"/>
      </w:pPr>
      <w:rPr>
        <w:rFonts w:hint="default"/>
        <w:lang w:val="en-US" w:eastAsia="zh-CN" w:bidi="ar-SA"/>
      </w:rPr>
    </w:lvl>
    <w:lvl w:ilvl="7">
      <w:start w:val="0"/>
      <w:numFmt w:val="bullet"/>
      <w:lvlText w:val="•"/>
      <w:lvlJc w:val="left"/>
      <w:pPr>
        <w:ind w:left="7924" w:hanging="601"/>
      </w:pPr>
      <w:rPr>
        <w:rFonts w:hint="default"/>
        <w:lang w:val="en-US" w:eastAsia="zh-CN" w:bidi="ar-SA"/>
      </w:rPr>
    </w:lvl>
    <w:lvl w:ilvl="8">
      <w:start w:val="0"/>
      <w:numFmt w:val="bullet"/>
      <w:lvlText w:val="•"/>
      <w:lvlJc w:val="left"/>
      <w:pPr>
        <w:ind w:left="8764" w:hanging="601"/>
      </w:pPr>
      <w:rPr>
        <w:rFonts w:hint="default"/>
        <w:lang w:val="en-US" w:eastAsia="zh-CN" w:bidi="ar-SA"/>
      </w:rPr>
    </w:lvl>
  </w:abstractNum>
  <w:abstractNum w:abstractNumId="4">
    <w:nsid w:val="36BC9474"/>
    <w:multiLevelType w:val="hybridMultilevel"/>
    <w:tmpl w:val="00000000"/>
    <w:lvl w:ilvl="0">
      <w:start w:val="1"/>
      <w:numFmt w:val="decimal"/>
      <w:lvlText w:val="%1"/>
      <w:lvlJc w:val="left"/>
      <w:pPr>
        <w:ind w:left="1621" w:hanging="180"/>
        <w:jc w:val="left"/>
      </w:pPr>
      <w:rPr>
        <w:rFonts w:ascii="微软雅黑" w:eastAsia="微软雅黑" w:hAnsi="微软雅黑" w:cs="微软雅黑" w:hint="default"/>
        <w:b/>
        <w:bCs/>
        <w:w w:val="81"/>
        <w:sz w:val="24"/>
        <w:szCs w:val="24"/>
        <w:lang w:val="en-US" w:eastAsia="zh-CN" w:bidi="ar-SA"/>
      </w:rPr>
    </w:lvl>
    <w:lvl w:ilvl="1">
      <w:start w:val="1"/>
      <w:numFmt w:val="decimal"/>
      <w:lvlText w:val="%1.%2"/>
      <w:lvlJc w:val="left"/>
      <w:pPr>
        <w:ind w:left="1981" w:hanging="540"/>
        <w:jc w:val="left"/>
      </w:pPr>
      <w:rPr>
        <w:rFonts w:hint="default"/>
        <w:b/>
        <w:bCs/>
        <w:w w:val="93"/>
        <w:lang w:val="en-US" w:eastAsia="zh-CN" w:bidi="ar-SA"/>
      </w:rPr>
    </w:lvl>
    <w:lvl w:ilvl="2">
      <w:start w:val="1"/>
      <w:numFmt w:val="decimal"/>
      <w:lvlText w:val="(%3)"/>
      <w:lvlJc w:val="left"/>
      <w:pPr>
        <w:ind w:left="1561" w:hanging="540"/>
        <w:jc w:val="left"/>
      </w:pPr>
      <w:rPr>
        <w:rFonts w:ascii="宋体" w:eastAsia="宋体" w:hAnsi="宋体" w:cs="宋体" w:hint="default"/>
        <w:w w:val="100"/>
        <w:sz w:val="22"/>
        <w:szCs w:val="22"/>
        <w:lang w:val="en-US" w:eastAsia="zh-CN" w:bidi="ar-SA"/>
      </w:rPr>
    </w:lvl>
    <w:lvl w:ilvl="3">
      <w:start w:val="0"/>
      <w:numFmt w:val="bullet"/>
      <w:lvlText w:val="•"/>
      <w:lvlJc w:val="left"/>
      <w:pPr>
        <w:ind w:left="1860" w:hanging="540"/>
      </w:pPr>
      <w:rPr>
        <w:rFonts w:hint="default"/>
        <w:lang w:val="en-US" w:eastAsia="zh-CN" w:bidi="ar-SA"/>
      </w:rPr>
    </w:lvl>
    <w:lvl w:ilvl="4">
      <w:start w:val="0"/>
      <w:numFmt w:val="bullet"/>
      <w:lvlText w:val="•"/>
      <w:lvlJc w:val="left"/>
      <w:pPr>
        <w:ind w:left="1980" w:hanging="540"/>
      </w:pPr>
      <w:rPr>
        <w:rFonts w:hint="default"/>
        <w:lang w:val="en-US" w:eastAsia="zh-CN" w:bidi="ar-SA"/>
      </w:rPr>
    </w:lvl>
    <w:lvl w:ilvl="5">
      <w:start w:val="0"/>
      <w:numFmt w:val="bullet"/>
      <w:lvlText w:val="•"/>
      <w:lvlJc w:val="left"/>
      <w:pPr>
        <w:ind w:left="3391" w:hanging="540"/>
      </w:pPr>
      <w:rPr>
        <w:rFonts w:hint="default"/>
        <w:lang w:val="en-US" w:eastAsia="zh-CN" w:bidi="ar-SA"/>
      </w:rPr>
    </w:lvl>
    <w:lvl w:ilvl="6">
      <w:start w:val="0"/>
      <w:numFmt w:val="bullet"/>
      <w:lvlText w:val="•"/>
      <w:lvlJc w:val="left"/>
      <w:pPr>
        <w:ind w:left="4802" w:hanging="540"/>
      </w:pPr>
      <w:rPr>
        <w:rFonts w:hint="default"/>
        <w:lang w:val="en-US" w:eastAsia="zh-CN" w:bidi="ar-SA"/>
      </w:rPr>
    </w:lvl>
    <w:lvl w:ilvl="7">
      <w:start w:val="0"/>
      <w:numFmt w:val="bullet"/>
      <w:lvlText w:val="•"/>
      <w:lvlJc w:val="left"/>
      <w:pPr>
        <w:ind w:left="6213" w:hanging="540"/>
      </w:pPr>
      <w:rPr>
        <w:rFonts w:hint="default"/>
        <w:lang w:val="en-US" w:eastAsia="zh-CN" w:bidi="ar-SA"/>
      </w:rPr>
    </w:lvl>
    <w:lvl w:ilvl="8">
      <w:start w:val="0"/>
      <w:numFmt w:val="bullet"/>
      <w:lvlText w:val="•"/>
      <w:lvlJc w:val="left"/>
      <w:pPr>
        <w:ind w:left="7624" w:hanging="540"/>
      </w:pPr>
      <w:rPr>
        <w:rFonts w:hint="default"/>
        <w:lang w:val="en-US" w:eastAsia="zh-CN" w:bidi="ar-SA"/>
      </w:rPr>
    </w:lvl>
  </w:abstractNum>
  <w:abstractNum w:abstractNumId="5">
    <w:nsid w:val="5E06B45C"/>
    <w:multiLevelType w:val="hybridMultilevel"/>
    <w:tmpl w:val="00000000"/>
    <w:lvl w:ilvl="0">
      <w:start w:val="21"/>
      <w:numFmt w:val="decimal"/>
      <w:lvlText w:val="%1"/>
      <w:lvlJc w:val="left"/>
      <w:pPr>
        <w:ind w:left="1741" w:hanging="300"/>
        <w:jc w:val="right"/>
      </w:pPr>
      <w:rPr>
        <w:rFonts w:hint="default"/>
        <w:b/>
        <w:bCs/>
        <w:w w:val="81"/>
        <w:lang w:val="en-US" w:eastAsia="zh-CN" w:bidi="ar-SA"/>
      </w:rPr>
    </w:lvl>
    <w:lvl w:ilvl="1">
      <w:start w:val="1"/>
      <w:numFmt w:val="decimal"/>
      <w:lvlText w:val="%1.%2"/>
      <w:lvlJc w:val="left"/>
      <w:pPr>
        <w:ind w:left="961" w:hanging="540"/>
        <w:jc w:val="left"/>
      </w:pPr>
      <w:rPr>
        <w:rFonts w:hint="default"/>
        <w:w w:val="100"/>
        <w:lang w:val="en-US" w:eastAsia="zh-CN" w:bidi="ar-SA"/>
      </w:rPr>
    </w:lvl>
    <w:lvl w:ilvl="2">
      <w:start w:val="1"/>
      <w:numFmt w:val="decimal"/>
      <w:lvlText w:val="%1.%2.%3"/>
      <w:lvlJc w:val="left"/>
      <w:pPr>
        <w:ind w:left="2220" w:hanging="540"/>
        <w:jc w:val="left"/>
      </w:pPr>
      <w:rPr>
        <w:rFonts w:ascii="微软雅黑" w:eastAsia="微软雅黑" w:hAnsi="微软雅黑" w:cs="微软雅黑" w:hint="default"/>
        <w:b/>
        <w:bCs/>
        <w:w w:val="98"/>
        <w:sz w:val="24"/>
        <w:szCs w:val="24"/>
        <w:lang w:val="en-US" w:eastAsia="zh-CN" w:bidi="ar-SA"/>
      </w:rPr>
    </w:lvl>
    <w:lvl w:ilvl="3">
      <w:start w:val="0"/>
      <w:numFmt w:val="bullet"/>
      <w:lvlText w:val="•"/>
      <w:lvlJc w:val="left"/>
      <w:pPr>
        <w:ind w:left="1740" w:hanging="540"/>
      </w:pPr>
      <w:rPr>
        <w:rFonts w:hint="default"/>
        <w:lang w:val="en-US" w:eastAsia="zh-CN" w:bidi="ar-SA"/>
      </w:rPr>
    </w:lvl>
    <w:lvl w:ilvl="4">
      <w:start w:val="0"/>
      <w:numFmt w:val="bullet"/>
      <w:lvlText w:val="•"/>
      <w:lvlJc w:val="left"/>
      <w:pPr>
        <w:ind w:left="1980" w:hanging="540"/>
      </w:pPr>
      <w:rPr>
        <w:rFonts w:hint="default"/>
        <w:lang w:val="en-US" w:eastAsia="zh-CN" w:bidi="ar-SA"/>
      </w:rPr>
    </w:lvl>
    <w:lvl w:ilvl="5">
      <w:start w:val="0"/>
      <w:numFmt w:val="bullet"/>
      <w:lvlText w:val="•"/>
      <w:lvlJc w:val="left"/>
      <w:pPr>
        <w:ind w:left="2220" w:hanging="540"/>
      </w:pPr>
      <w:rPr>
        <w:rFonts w:hint="default"/>
        <w:lang w:val="en-US" w:eastAsia="zh-CN" w:bidi="ar-SA"/>
      </w:rPr>
    </w:lvl>
    <w:lvl w:ilvl="6">
      <w:start w:val="0"/>
      <w:numFmt w:val="bullet"/>
      <w:lvlText w:val="•"/>
      <w:lvlJc w:val="left"/>
      <w:pPr>
        <w:ind w:left="3865" w:hanging="540"/>
      </w:pPr>
      <w:rPr>
        <w:rFonts w:hint="default"/>
        <w:lang w:val="en-US" w:eastAsia="zh-CN" w:bidi="ar-SA"/>
      </w:rPr>
    </w:lvl>
    <w:lvl w:ilvl="7">
      <w:start w:val="0"/>
      <w:numFmt w:val="bullet"/>
      <w:lvlText w:val="•"/>
      <w:lvlJc w:val="left"/>
      <w:pPr>
        <w:ind w:left="5510" w:hanging="540"/>
      </w:pPr>
      <w:rPr>
        <w:rFonts w:hint="default"/>
        <w:lang w:val="en-US" w:eastAsia="zh-CN" w:bidi="ar-SA"/>
      </w:rPr>
    </w:lvl>
    <w:lvl w:ilvl="8">
      <w:start w:val="0"/>
      <w:numFmt w:val="bullet"/>
      <w:lvlText w:val="•"/>
      <w:lvlJc w:val="left"/>
      <w:pPr>
        <w:ind w:left="7155" w:hanging="540"/>
      </w:pPr>
      <w:rPr>
        <w:rFonts w:hint="default"/>
        <w:lang w:val="en-US" w:eastAsia="zh-CN" w:bidi="ar-SA"/>
      </w:rPr>
    </w:lvl>
  </w:abstractNum>
  <w:abstractNum w:abstractNumId="6">
    <w:nsid w:val="674F6A1E"/>
    <w:multiLevelType w:val="hybridMultilevel"/>
    <w:tmpl w:val="00000000"/>
    <w:lvl w:ilvl="0">
      <w:start w:val="1"/>
      <w:numFmt w:val="decimal"/>
      <w:lvlText w:val="（%1）"/>
      <w:lvlJc w:val="left"/>
      <w:pPr>
        <w:ind w:left="1562" w:hanging="601"/>
        <w:jc w:val="left"/>
      </w:pPr>
      <w:rPr>
        <w:rFonts w:ascii="宋体" w:eastAsia="宋体" w:hAnsi="宋体" w:cs="宋体" w:hint="default"/>
        <w:w w:val="100"/>
        <w:sz w:val="22"/>
        <w:szCs w:val="22"/>
        <w:lang w:val="en-US" w:eastAsia="zh-CN" w:bidi="ar-SA"/>
      </w:rPr>
    </w:lvl>
    <w:lvl w:ilvl="1">
      <w:start w:val="0"/>
      <w:numFmt w:val="bullet"/>
      <w:lvlText w:val="•"/>
      <w:lvlJc w:val="left"/>
      <w:pPr>
        <w:ind w:left="2448" w:hanging="601"/>
      </w:pPr>
      <w:rPr>
        <w:rFonts w:hint="default"/>
        <w:lang w:val="en-US" w:eastAsia="zh-CN" w:bidi="ar-SA"/>
      </w:rPr>
    </w:lvl>
    <w:lvl w:ilvl="2">
      <w:start w:val="0"/>
      <w:numFmt w:val="bullet"/>
      <w:lvlText w:val="•"/>
      <w:lvlJc w:val="left"/>
      <w:pPr>
        <w:ind w:left="3337" w:hanging="601"/>
      </w:pPr>
      <w:rPr>
        <w:rFonts w:hint="default"/>
        <w:lang w:val="en-US" w:eastAsia="zh-CN" w:bidi="ar-SA"/>
      </w:rPr>
    </w:lvl>
    <w:lvl w:ilvl="3">
      <w:start w:val="0"/>
      <w:numFmt w:val="bullet"/>
      <w:lvlText w:val="•"/>
      <w:lvlJc w:val="left"/>
      <w:pPr>
        <w:ind w:left="4225" w:hanging="601"/>
      </w:pPr>
      <w:rPr>
        <w:rFonts w:hint="default"/>
        <w:lang w:val="en-US" w:eastAsia="zh-CN" w:bidi="ar-SA"/>
      </w:rPr>
    </w:lvl>
    <w:lvl w:ilvl="4">
      <w:start w:val="0"/>
      <w:numFmt w:val="bullet"/>
      <w:lvlText w:val="•"/>
      <w:lvlJc w:val="left"/>
      <w:pPr>
        <w:ind w:left="5114" w:hanging="601"/>
      </w:pPr>
      <w:rPr>
        <w:rFonts w:hint="default"/>
        <w:lang w:val="en-US" w:eastAsia="zh-CN" w:bidi="ar-SA"/>
      </w:rPr>
    </w:lvl>
    <w:lvl w:ilvl="5">
      <w:start w:val="0"/>
      <w:numFmt w:val="bullet"/>
      <w:lvlText w:val="•"/>
      <w:lvlJc w:val="left"/>
      <w:pPr>
        <w:ind w:left="6003" w:hanging="601"/>
      </w:pPr>
      <w:rPr>
        <w:rFonts w:hint="default"/>
        <w:lang w:val="en-US" w:eastAsia="zh-CN" w:bidi="ar-SA"/>
      </w:rPr>
    </w:lvl>
    <w:lvl w:ilvl="6">
      <w:start w:val="0"/>
      <w:numFmt w:val="bullet"/>
      <w:lvlText w:val="•"/>
      <w:lvlJc w:val="left"/>
      <w:pPr>
        <w:ind w:left="6891" w:hanging="601"/>
      </w:pPr>
      <w:rPr>
        <w:rFonts w:hint="default"/>
        <w:lang w:val="en-US" w:eastAsia="zh-CN" w:bidi="ar-SA"/>
      </w:rPr>
    </w:lvl>
    <w:lvl w:ilvl="7">
      <w:start w:val="0"/>
      <w:numFmt w:val="bullet"/>
      <w:lvlText w:val="•"/>
      <w:lvlJc w:val="left"/>
      <w:pPr>
        <w:ind w:left="7780" w:hanging="601"/>
      </w:pPr>
      <w:rPr>
        <w:rFonts w:hint="default"/>
        <w:lang w:val="en-US" w:eastAsia="zh-CN" w:bidi="ar-SA"/>
      </w:rPr>
    </w:lvl>
    <w:lvl w:ilvl="8">
      <w:start w:val="0"/>
      <w:numFmt w:val="bullet"/>
      <w:lvlText w:val="•"/>
      <w:lvlJc w:val="left"/>
      <w:pPr>
        <w:ind w:left="8668" w:hanging="601"/>
      </w:pPr>
      <w:rPr>
        <w:rFonts w:hint="default"/>
        <w:lang w:val="en-US" w:eastAsia="zh-CN" w:bidi="ar-SA"/>
      </w:rPr>
    </w:lvl>
  </w:abstractNum>
  <w:abstractNum w:abstractNumId="7">
    <w:nsid w:val="6EEF2CA4"/>
    <w:multiLevelType w:val="hybridMultilevel"/>
    <w:tmpl w:val="00000000"/>
    <w:lvl w:ilvl="0">
      <w:start w:val="1"/>
      <w:numFmt w:val="decimal"/>
      <w:lvlText w:val="(%1)"/>
      <w:lvlJc w:val="left"/>
      <w:pPr>
        <w:ind w:left="1322" w:hanging="361"/>
        <w:jc w:val="left"/>
      </w:pPr>
      <w:rPr>
        <w:rFonts w:ascii="宋体" w:eastAsia="宋体" w:hAnsi="宋体" w:cs="宋体" w:hint="default"/>
        <w:w w:val="100"/>
        <w:sz w:val="22"/>
        <w:szCs w:val="22"/>
        <w:lang w:val="en-US" w:eastAsia="zh-CN" w:bidi="ar-SA"/>
      </w:rPr>
    </w:lvl>
    <w:lvl w:ilvl="1">
      <w:start w:val="0"/>
      <w:numFmt w:val="bullet"/>
      <w:lvlText w:val="•"/>
      <w:lvlJc w:val="left"/>
      <w:pPr>
        <w:ind w:left="2232" w:hanging="361"/>
      </w:pPr>
      <w:rPr>
        <w:rFonts w:hint="default"/>
        <w:lang w:val="en-US" w:eastAsia="zh-CN" w:bidi="ar-SA"/>
      </w:rPr>
    </w:lvl>
    <w:lvl w:ilvl="2">
      <w:start w:val="0"/>
      <w:numFmt w:val="bullet"/>
      <w:lvlText w:val="•"/>
      <w:lvlJc w:val="left"/>
      <w:pPr>
        <w:ind w:left="3145" w:hanging="361"/>
      </w:pPr>
      <w:rPr>
        <w:rFonts w:hint="default"/>
        <w:lang w:val="en-US" w:eastAsia="zh-CN" w:bidi="ar-SA"/>
      </w:rPr>
    </w:lvl>
    <w:lvl w:ilvl="3">
      <w:start w:val="0"/>
      <w:numFmt w:val="bullet"/>
      <w:lvlText w:val="•"/>
      <w:lvlJc w:val="left"/>
      <w:pPr>
        <w:ind w:left="4057" w:hanging="361"/>
      </w:pPr>
      <w:rPr>
        <w:rFonts w:hint="default"/>
        <w:lang w:val="en-US" w:eastAsia="zh-CN" w:bidi="ar-SA"/>
      </w:rPr>
    </w:lvl>
    <w:lvl w:ilvl="4">
      <w:start w:val="0"/>
      <w:numFmt w:val="bullet"/>
      <w:lvlText w:val="•"/>
      <w:lvlJc w:val="left"/>
      <w:pPr>
        <w:ind w:left="4970" w:hanging="361"/>
      </w:pPr>
      <w:rPr>
        <w:rFonts w:hint="default"/>
        <w:lang w:val="en-US" w:eastAsia="zh-CN" w:bidi="ar-SA"/>
      </w:rPr>
    </w:lvl>
    <w:lvl w:ilvl="5">
      <w:start w:val="0"/>
      <w:numFmt w:val="bullet"/>
      <w:lvlText w:val="•"/>
      <w:lvlJc w:val="left"/>
      <w:pPr>
        <w:ind w:left="5883" w:hanging="361"/>
      </w:pPr>
      <w:rPr>
        <w:rFonts w:hint="default"/>
        <w:lang w:val="en-US" w:eastAsia="zh-CN" w:bidi="ar-SA"/>
      </w:rPr>
    </w:lvl>
    <w:lvl w:ilvl="6">
      <w:start w:val="0"/>
      <w:numFmt w:val="bullet"/>
      <w:lvlText w:val="•"/>
      <w:lvlJc w:val="left"/>
      <w:pPr>
        <w:ind w:left="6795" w:hanging="361"/>
      </w:pPr>
      <w:rPr>
        <w:rFonts w:hint="default"/>
        <w:lang w:val="en-US" w:eastAsia="zh-CN" w:bidi="ar-SA"/>
      </w:rPr>
    </w:lvl>
    <w:lvl w:ilvl="7">
      <w:start w:val="0"/>
      <w:numFmt w:val="bullet"/>
      <w:lvlText w:val="•"/>
      <w:lvlJc w:val="left"/>
      <w:pPr>
        <w:ind w:left="7708" w:hanging="361"/>
      </w:pPr>
      <w:rPr>
        <w:rFonts w:hint="default"/>
        <w:lang w:val="en-US" w:eastAsia="zh-CN" w:bidi="ar-SA"/>
      </w:rPr>
    </w:lvl>
    <w:lvl w:ilvl="8">
      <w:start w:val="0"/>
      <w:numFmt w:val="bullet"/>
      <w:lvlText w:val="•"/>
      <w:lvlJc w:val="left"/>
      <w:pPr>
        <w:ind w:left="8620" w:hanging="361"/>
      </w:pPr>
      <w:rPr>
        <w:rFonts w:hint="default"/>
        <w:lang w:val="en-US" w:eastAsia="zh-CN" w:bidi="ar-SA"/>
      </w:rPr>
    </w:lvl>
  </w:abstractNum>
  <w:abstractNum w:abstractNumId="8">
    <w:nsid w:val="76DA8B4C"/>
    <w:multiLevelType w:val="hybridMultilevel"/>
    <w:tmpl w:val="00000000"/>
    <w:lvl w:ilvl="0">
      <w:start w:val="1"/>
      <w:numFmt w:val="decimal"/>
      <w:lvlText w:val="（%1）"/>
      <w:lvlJc w:val="left"/>
      <w:pPr>
        <w:ind w:left="1662" w:hanging="701"/>
        <w:jc w:val="left"/>
      </w:pPr>
      <w:rPr>
        <w:rFonts w:ascii="微软雅黑" w:eastAsia="微软雅黑" w:hAnsi="微软雅黑" w:cs="微软雅黑" w:hint="default"/>
        <w:b/>
        <w:bCs/>
        <w:w w:val="81"/>
        <w:sz w:val="26"/>
        <w:szCs w:val="26"/>
        <w:lang w:val="en-US" w:eastAsia="zh-CN" w:bidi="ar-SA"/>
      </w:rPr>
    </w:lvl>
    <w:lvl w:ilvl="1">
      <w:start w:val="0"/>
      <w:numFmt w:val="bullet"/>
      <w:lvlText w:val="•"/>
      <w:lvlJc w:val="left"/>
      <w:pPr>
        <w:ind w:left="2538" w:hanging="701"/>
      </w:pPr>
      <w:rPr>
        <w:rFonts w:hint="default"/>
        <w:lang w:val="en-US" w:eastAsia="zh-CN" w:bidi="ar-SA"/>
      </w:rPr>
    </w:lvl>
    <w:lvl w:ilvl="2">
      <w:start w:val="0"/>
      <w:numFmt w:val="bullet"/>
      <w:lvlText w:val="•"/>
      <w:lvlJc w:val="left"/>
      <w:pPr>
        <w:ind w:left="3417" w:hanging="701"/>
      </w:pPr>
      <w:rPr>
        <w:rFonts w:hint="default"/>
        <w:lang w:val="en-US" w:eastAsia="zh-CN" w:bidi="ar-SA"/>
      </w:rPr>
    </w:lvl>
    <w:lvl w:ilvl="3">
      <w:start w:val="0"/>
      <w:numFmt w:val="bullet"/>
      <w:lvlText w:val="•"/>
      <w:lvlJc w:val="left"/>
      <w:pPr>
        <w:ind w:left="4295" w:hanging="701"/>
      </w:pPr>
      <w:rPr>
        <w:rFonts w:hint="default"/>
        <w:lang w:val="en-US" w:eastAsia="zh-CN" w:bidi="ar-SA"/>
      </w:rPr>
    </w:lvl>
    <w:lvl w:ilvl="4">
      <w:start w:val="0"/>
      <w:numFmt w:val="bullet"/>
      <w:lvlText w:val="•"/>
      <w:lvlJc w:val="left"/>
      <w:pPr>
        <w:ind w:left="5174" w:hanging="701"/>
      </w:pPr>
      <w:rPr>
        <w:rFonts w:hint="default"/>
        <w:lang w:val="en-US" w:eastAsia="zh-CN" w:bidi="ar-SA"/>
      </w:rPr>
    </w:lvl>
    <w:lvl w:ilvl="5">
      <w:start w:val="0"/>
      <w:numFmt w:val="bullet"/>
      <w:lvlText w:val="•"/>
      <w:lvlJc w:val="left"/>
      <w:pPr>
        <w:ind w:left="6053" w:hanging="701"/>
      </w:pPr>
      <w:rPr>
        <w:rFonts w:hint="default"/>
        <w:lang w:val="en-US" w:eastAsia="zh-CN" w:bidi="ar-SA"/>
      </w:rPr>
    </w:lvl>
    <w:lvl w:ilvl="6">
      <w:start w:val="0"/>
      <w:numFmt w:val="bullet"/>
      <w:lvlText w:val="•"/>
      <w:lvlJc w:val="left"/>
      <w:pPr>
        <w:ind w:left="6931" w:hanging="701"/>
      </w:pPr>
      <w:rPr>
        <w:rFonts w:hint="default"/>
        <w:lang w:val="en-US" w:eastAsia="zh-CN" w:bidi="ar-SA"/>
      </w:rPr>
    </w:lvl>
    <w:lvl w:ilvl="7">
      <w:start w:val="0"/>
      <w:numFmt w:val="bullet"/>
      <w:lvlText w:val="•"/>
      <w:lvlJc w:val="left"/>
      <w:pPr>
        <w:ind w:left="7810" w:hanging="701"/>
      </w:pPr>
      <w:rPr>
        <w:rFonts w:hint="default"/>
        <w:lang w:val="en-US" w:eastAsia="zh-CN" w:bidi="ar-SA"/>
      </w:rPr>
    </w:lvl>
    <w:lvl w:ilvl="8">
      <w:start w:val="0"/>
      <w:numFmt w:val="bullet"/>
      <w:lvlText w:val="•"/>
      <w:lvlJc w:val="left"/>
      <w:pPr>
        <w:ind w:left="8688" w:hanging="701"/>
      </w:pPr>
      <w:rPr>
        <w:rFonts w:hint="default"/>
        <w:lang w:val="en-US" w:eastAsia="zh-CN" w:bidi="ar-SA"/>
      </w:rPr>
    </w:lvl>
  </w:abstractNum>
  <w:num w:numId="1">
    <w:abstractNumId w:val="8"/>
  </w:num>
  <w:num w:numId="2">
    <w:abstractNumId w:val="2"/>
  </w:num>
  <w:num w:numId="3">
    <w:abstractNumId w:val="7"/>
  </w:num>
  <w:num w:numId="4">
    <w:abstractNumId w:val="6"/>
  </w:num>
  <w:num w:numId="5">
    <w:abstractNumId w:val="3"/>
  </w:num>
  <w:num w:numId="6">
    <w:abstractNumId w:val="5"/>
  </w:num>
  <w:num w:numId="7">
    <w:abstractNumId w:val="0"/>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ind w:left="625" w:right="644"/>
      <w:jc w:val="center"/>
      <w:outlineLvl w:val="0"/>
    </w:pPr>
    <w:rPr>
      <w:rFonts w:ascii="微软雅黑" w:eastAsia="微软雅黑" w:hAnsi="微软雅黑" w:cs="微软雅黑"/>
      <w:b/>
      <w:bCs/>
      <w:sz w:val="36"/>
      <w:szCs w:val="36"/>
      <w:lang w:val="en-US" w:eastAsia="zh-CN" w:bidi="ar-SA"/>
    </w:rPr>
  </w:style>
  <w:style w:type="paragraph" w:styleId="Heading2">
    <w:name w:val="heading 2"/>
    <w:basedOn w:val="Normal"/>
    <w:uiPriority w:val="1"/>
    <w:qFormat/>
    <w:pPr>
      <w:ind w:left="961"/>
      <w:outlineLvl w:val="1"/>
    </w:pPr>
    <w:rPr>
      <w:rFonts w:ascii="宋体" w:eastAsia="宋体" w:hAnsi="宋体" w:cs="宋体"/>
      <w:sz w:val="36"/>
      <w:szCs w:val="36"/>
      <w:lang w:val="en-US" w:eastAsia="zh-CN" w:bidi="ar-SA"/>
    </w:rPr>
  </w:style>
  <w:style w:type="paragraph" w:styleId="Heading3">
    <w:name w:val="heading 3"/>
    <w:basedOn w:val="Normal"/>
    <w:uiPriority w:val="1"/>
    <w:qFormat/>
    <w:pPr>
      <w:spacing w:before="12"/>
      <w:ind w:left="1600"/>
      <w:outlineLvl w:val="2"/>
    </w:pPr>
    <w:rPr>
      <w:rFonts w:ascii="宋体" w:eastAsia="宋体" w:hAnsi="宋体" w:cs="宋体"/>
      <w:sz w:val="34"/>
      <w:szCs w:val="34"/>
      <w:lang w:val="en-US" w:eastAsia="zh-CN" w:bidi="ar-SA"/>
    </w:rPr>
  </w:style>
  <w:style w:type="paragraph" w:styleId="Heading4">
    <w:name w:val="heading 4"/>
    <w:basedOn w:val="Normal"/>
    <w:uiPriority w:val="1"/>
    <w:qFormat/>
    <w:pPr>
      <w:ind w:left="625"/>
      <w:outlineLvl w:val="3"/>
    </w:pPr>
    <w:rPr>
      <w:rFonts w:ascii="微软雅黑" w:eastAsia="微软雅黑" w:hAnsi="微软雅黑" w:cs="微软雅黑"/>
      <w:b/>
      <w:bCs/>
      <w:sz w:val="32"/>
      <w:szCs w:val="32"/>
      <w:lang w:val="en-US" w:eastAsia="zh-CN" w:bidi="ar-SA"/>
    </w:rPr>
  </w:style>
  <w:style w:type="paragraph" w:styleId="Heading5">
    <w:name w:val="heading 5"/>
    <w:basedOn w:val="Normal"/>
    <w:uiPriority w:val="1"/>
    <w:qFormat/>
    <w:pPr>
      <w:ind w:left="625" w:right="644"/>
      <w:jc w:val="center"/>
      <w:outlineLvl w:val="4"/>
    </w:pPr>
    <w:rPr>
      <w:rFonts w:ascii="宋体" w:eastAsia="宋体" w:hAnsi="宋体" w:cs="宋体"/>
      <w:sz w:val="30"/>
      <w:szCs w:val="30"/>
      <w:lang w:val="en-US" w:eastAsia="zh-CN" w:bidi="ar-SA"/>
    </w:rPr>
  </w:style>
  <w:style w:type="paragraph" w:styleId="Heading6">
    <w:name w:val="heading 6"/>
    <w:basedOn w:val="Normal"/>
    <w:uiPriority w:val="1"/>
    <w:qFormat/>
    <w:pPr>
      <w:ind w:left="961"/>
      <w:outlineLvl w:val="5"/>
    </w:pPr>
    <w:rPr>
      <w:rFonts w:ascii="微软雅黑" w:eastAsia="微软雅黑" w:hAnsi="微软雅黑" w:cs="微软雅黑"/>
      <w:b/>
      <w:bCs/>
      <w:sz w:val="24"/>
      <w:szCs w:val="24"/>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4"/>
      <w:szCs w:val="24"/>
      <w:lang w:val="en-US" w:eastAsia="zh-CN" w:bidi="ar-SA"/>
    </w:rPr>
  </w:style>
  <w:style w:type="paragraph" w:styleId="Title">
    <w:name w:val="Title"/>
    <w:basedOn w:val="Normal"/>
    <w:uiPriority w:val="1"/>
    <w:qFormat/>
    <w:pPr>
      <w:spacing w:before="242"/>
      <w:ind w:left="625" w:right="644"/>
      <w:jc w:val="center"/>
    </w:pPr>
    <w:rPr>
      <w:rFonts w:ascii="宋体" w:eastAsia="宋体" w:hAnsi="宋体" w:cs="宋体"/>
      <w:sz w:val="120"/>
      <w:szCs w:val="120"/>
      <w:lang w:val="en-US" w:eastAsia="zh-CN" w:bidi="ar-SA"/>
    </w:rPr>
  </w:style>
  <w:style w:type="paragraph" w:styleId="ListParagraph">
    <w:name w:val="List Paragraph"/>
    <w:basedOn w:val="Normal"/>
    <w:uiPriority w:val="1"/>
    <w:qFormat/>
    <w:pPr>
      <w:ind w:left="961" w:firstLine="480"/>
    </w:pPr>
    <w:rPr>
      <w:rFonts w:ascii="宋体" w:eastAsia="宋体" w:hAnsi="宋体" w:cs="宋体"/>
      <w:lang w:val="en-US" w:eastAsia="zh-CN" w:bidi="ar-SA"/>
    </w:rPr>
  </w:style>
  <w:style w:type="paragraph" w:customStyle="1" w:styleId="TableParagraph">
    <w:name w:val="Table Paragraph"/>
    <w:basedOn w:val="Normal"/>
    <w:uiPriority w:val="1"/>
    <w:qFormat/>
    <w:rPr>
      <w:rFonts w:ascii="宋体" w:eastAsia="宋体" w:hAnsi="宋体" w:cs="宋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book118.com/668046115046006044"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2024-01-16T18:55:44Z</dcterms:created>
  <dcterms:modified xsi:type="dcterms:W3CDTF">2024-01-16T18:55:44Z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2008-03-24T00:00:00Z</vt:filetime>
  </property>
  <property fmtid="{D5CDD505-2E9C-101B-9397-08002B2CF9AE}" pid="3" name="Creator">
    <vt:lpwstr>Microsoft Office Word</vt:lpwstr>
  </property>
  <property fmtid="{D5CDD505-2E9C-101B-9397-08002B2CF9AE}" pid="4" name="LastSaved">
    <vt:filetime>2024-01-16T00:00:00Z</vt:filetime>
  </property>
</Properties>
</file>