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2"/>
        <w:keepNext w:val="0"/>
        <w:spacing w:before="0" w:after="299"/>
        <w:jc w:val="center"/>
        <w:rPr>
          <w:rFonts w:ascii="Times New Roman" w:eastAsia="Times New Roman" w:hAnsi="Times New Roman" w:cs="Times New Roman"/>
          <w:sz w:val="36"/>
          <w:szCs w:val="36"/>
        </w:rPr>
      </w:pPr>
      <w:r>
        <w:rPr>
          <w:rFonts w:ascii="SimSun" w:eastAsia="SimSun" w:hAnsi="SimSun" w:cs="SimSun"/>
          <w:i w:val="0"/>
          <w:iCs w:val="0"/>
          <w:sz w:val="36"/>
          <w:szCs w:val="36"/>
        </w:rPr>
        <w:t>江西省上饶市德兴新营中学高三生物模拟试题含解析</w:t>
      </w:r>
    </w:p>
    <w:p>
      <w:pPr>
        <w:pStyle w:val="Heading4"/>
        <w:keepNext w:val="0"/>
        <w:spacing w:before="0" w:after="319"/>
        <w:rPr>
          <w:rFonts w:ascii="Times New Roman" w:eastAsia="Times New Roman" w:hAnsi="Times New Roman" w:cs="Times New Roman"/>
        </w:rPr>
      </w:pPr>
      <w:r>
        <w:rPr>
          <w:rFonts w:ascii="SimSun" w:eastAsia="SimSun" w:hAnsi="SimSun" w:cs="SimSun"/>
          <w:sz w:val="24"/>
          <w:szCs w:val="24"/>
        </w:rPr>
        <w:t>一、</w:t>
      </w:r>
      <w:r>
        <w:rPr>
          <w:rFonts w:ascii="Times New Roman" w:eastAsia="Times New Roman" w:hAnsi="Times New Roman" w:cs="Times New Roman"/>
          <w:sz w:val="24"/>
          <w:szCs w:val="24"/>
        </w:rPr>
        <w:t xml:space="preserve"> </w:t>
      </w:r>
      <w:r>
        <w:rPr>
          <w:rFonts w:ascii="SimSun" w:eastAsia="SimSun" w:hAnsi="SimSun" w:cs="SimSun"/>
          <w:sz w:val="24"/>
          <w:szCs w:val="24"/>
        </w:rPr>
        <w:t>选择题（本题共</w:t>
      </w:r>
      <w:r>
        <w:rPr>
          <w:rFonts w:ascii="Times New Roman" w:eastAsia="Times New Roman" w:hAnsi="Times New Roman" w:cs="Times New Roman"/>
          <w:sz w:val="24"/>
          <w:szCs w:val="24"/>
        </w:rPr>
        <w:t>40</w:t>
      </w:r>
      <w:r>
        <w:rPr>
          <w:rFonts w:ascii="SimSun" w:eastAsia="SimSun" w:hAnsi="SimSun" w:cs="SimSun"/>
          <w:sz w:val="24"/>
          <w:szCs w:val="24"/>
        </w:rPr>
        <w:t>小题，每小题</w:t>
      </w:r>
      <w:r>
        <w:rPr>
          <w:rFonts w:ascii="Times New Roman" w:eastAsia="Times New Roman" w:hAnsi="Times New Roman" w:cs="Times New Roman"/>
          <w:sz w:val="24"/>
          <w:szCs w:val="24"/>
        </w:rPr>
        <w:t>1.5</w:t>
      </w:r>
      <w:r>
        <w:rPr>
          <w:rFonts w:ascii="SimSun" w:eastAsia="SimSun" w:hAnsi="SimSun" w:cs="SimSun"/>
          <w:sz w:val="24"/>
          <w:szCs w:val="24"/>
        </w:rPr>
        <w:t>分。在每小题给出的四个选项中，只有一项是符合题目要求的。）</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 </w:t>
      </w:r>
      <w:r>
        <w:rPr>
          <w:rFonts w:ascii="宋体" w:eastAsia="宋体" w:hAnsi="宋体" w:cs="宋体"/>
          <w:sz w:val="22"/>
          <w:szCs w:val="22"/>
        </w:rPr>
        <w:t>下列试管中的内容物加入碘液后变成蓝色的是（    ）</w:t>
      </w:r>
    </w:p>
    <w:tbl>
      <w:tblPr>
        <w:tblStyle w:val="TableNormal"/>
        <w:tblW w:w="5000" w:type="pct"/>
        <w:tblInd w:w="124" w:type="dxa"/>
        <w:tblCellMar>
          <w:top w:w="0" w:type="dxa"/>
          <w:left w:w="0" w:type="dxa"/>
          <w:bottom w:w="0" w:type="dxa"/>
          <w:right w:w="0" w:type="dxa"/>
        </w:tblCellMar>
      </w:tblPr>
      <w:tblGrid>
        <w:gridCol w:w="1851"/>
        <w:gridCol w:w="5075"/>
        <w:gridCol w:w="1946"/>
      </w:tblGrid>
      <w:tr>
        <w:tblPrEx>
          <w:tblW w:w="5000" w:type="pct"/>
          <w:tblInd w:w="124" w:type="dxa"/>
          <w:tblCellMar>
            <w:top w:w="0" w:type="dxa"/>
            <w:left w:w="0" w:type="dxa"/>
            <w:bottom w:w="0" w:type="dxa"/>
            <w:right w:w="0" w:type="dxa"/>
          </w:tblCellMar>
        </w:tblPrEx>
        <w:trPr>
          <w:trHeight w:val="270"/>
        </w:trPr>
        <w:tc>
          <w:tcPr>
            <w:tcW w:w="1596" w:type="dxa"/>
            <w:tcBorders>
              <w:top w:val="single" w:sz="6" w:space="0" w:color="000000"/>
              <w:left w:val="single" w:sz="6" w:space="0" w:color="000000"/>
              <w:bottom w:val="single" w:sz="6" w:space="0" w:color="000000"/>
              <w:right w:val="single" w:sz="6" w:space="0" w:color="000000"/>
            </w:tcBorders>
            <w:noWrap w:val="0"/>
            <w:tcMar>
              <w:top w:w="82" w:type="dxa"/>
              <w:left w:w="116" w:type="dxa"/>
              <w:bottom w:w="82" w:type="dxa"/>
              <w:right w:w="116" w:type="dxa"/>
            </w:tcMar>
            <w:vAlign w:val="center"/>
            <w:hideMark/>
          </w:tcPr>
          <w:p>
            <w:pPr>
              <w:widowControl w:val="0"/>
              <w:spacing w:before="0" w:after="0" w:line="360" w:lineRule="auto"/>
              <w:ind w:left="135"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试管号</w:t>
            </w:r>
          </w:p>
        </w:tc>
        <w:tc>
          <w:tcPr>
            <w:tcW w:w="4378" w:type="dxa"/>
            <w:tcBorders>
              <w:top w:val="single" w:sz="6" w:space="0" w:color="000000"/>
              <w:bottom w:val="single" w:sz="6" w:space="0" w:color="000000"/>
              <w:right w:val="single" w:sz="6" w:space="0" w:color="000000"/>
            </w:tcBorders>
            <w:noWrap w:val="0"/>
            <w:tcMar>
              <w:top w:w="82" w:type="dxa"/>
              <w:left w:w="113" w:type="dxa"/>
              <w:bottom w:w="82" w:type="dxa"/>
              <w:right w:w="116" w:type="dxa"/>
            </w:tcMar>
            <w:vAlign w:val="center"/>
            <w:hideMark/>
          </w:tcPr>
          <w:p>
            <w:pPr>
              <w:widowControl w:val="0"/>
              <w:spacing w:before="0" w:after="0" w:line="360" w:lineRule="auto"/>
              <w:ind w:left="135"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试管中的内容物</w:t>
            </w:r>
          </w:p>
        </w:tc>
        <w:tc>
          <w:tcPr>
            <w:tcW w:w="1679" w:type="dxa"/>
            <w:tcBorders>
              <w:top w:val="single" w:sz="6" w:space="0" w:color="000000"/>
              <w:bottom w:val="single" w:sz="6" w:space="0" w:color="000000"/>
              <w:right w:val="single" w:sz="6" w:space="0" w:color="000000"/>
            </w:tcBorders>
            <w:noWrap w:val="0"/>
            <w:tcMar>
              <w:top w:w="82" w:type="dxa"/>
              <w:left w:w="113" w:type="dxa"/>
              <w:bottom w:w="82" w:type="dxa"/>
              <w:right w:w="116" w:type="dxa"/>
            </w:tcMar>
            <w:vAlign w:val="center"/>
            <w:hideMark/>
          </w:tcPr>
          <w:p>
            <w:pPr>
              <w:widowControl w:val="0"/>
              <w:spacing w:before="0" w:after="0" w:line="360" w:lineRule="auto"/>
              <w:ind w:left="135"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条件</w:t>
            </w:r>
          </w:p>
        </w:tc>
      </w:tr>
      <w:tr>
        <w:tblPrEx>
          <w:tblW w:w="5000" w:type="pct"/>
          <w:tblInd w:w="124" w:type="dxa"/>
          <w:tblCellMar>
            <w:top w:w="0" w:type="dxa"/>
            <w:left w:w="0" w:type="dxa"/>
            <w:bottom w:w="0" w:type="dxa"/>
            <w:right w:w="0" w:type="dxa"/>
          </w:tblCellMar>
        </w:tblPrEx>
        <w:trPr>
          <w:trHeight w:val="300"/>
        </w:trPr>
        <w:tc>
          <w:tcPr>
            <w:tcW w:w="1596" w:type="dxa"/>
            <w:tcBorders>
              <w:left w:val="single" w:sz="6" w:space="0" w:color="000000"/>
              <w:bottom w:val="single" w:sz="6" w:space="0" w:color="000000"/>
              <w:right w:val="single" w:sz="6" w:space="0" w:color="000000"/>
            </w:tcBorders>
            <w:noWrap w:val="0"/>
            <w:tcMar>
              <w:top w:w="80" w:type="dxa"/>
              <w:left w:w="116" w:type="dxa"/>
              <w:bottom w:w="82" w:type="dxa"/>
              <w:right w:w="116" w:type="dxa"/>
            </w:tcMar>
            <w:vAlign w:val="center"/>
            <w:hideMark/>
          </w:tcPr>
          <w:p>
            <w:pPr>
              <w:widowControl w:val="0"/>
              <w:spacing w:before="0" w:after="0" w:line="360" w:lineRule="auto"/>
              <w:ind w:left="135"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1</w:t>
            </w:r>
          </w:p>
        </w:tc>
        <w:tc>
          <w:tcPr>
            <w:tcW w:w="4378" w:type="dxa"/>
            <w:tcBorders>
              <w:bottom w:val="single" w:sz="6" w:space="0" w:color="000000"/>
              <w:right w:val="single" w:sz="6" w:space="0" w:color="000000"/>
            </w:tcBorders>
            <w:noWrap w:val="0"/>
            <w:tcMar>
              <w:top w:w="80" w:type="dxa"/>
              <w:left w:w="113" w:type="dxa"/>
              <w:bottom w:w="82" w:type="dxa"/>
              <w:right w:w="116" w:type="dxa"/>
            </w:tcMar>
            <w:vAlign w:val="center"/>
            <w:hideMark/>
          </w:tcPr>
          <w:p>
            <w:pPr>
              <w:widowControl w:val="0"/>
              <w:spacing w:before="0" w:after="0" w:line="360" w:lineRule="auto"/>
              <w:ind w:left="135"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2mL淀粉溶液+2mL唾液</w:t>
            </w:r>
          </w:p>
        </w:tc>
        <w:tc>
          <w:tcPr>
            <w:tcW w:w="1679" w:type="dxa"/>
            <w:tcBorders>
              <w:bottom w:val="single" w:sz="6" w:space="0" w:color="000000"/>
              <w:right w:val="single" w:sz="6" w:space="0" w:color="000000"/>
            </w:tcBorders>
            <w:noWrap w:val="0"/>
            <w:tcMar>
              <w:top w:w="80" w:type="dxa"/>
              <w:left w:w="113" w:type="dxa"/>
              <w:bottom w:w="82" w:type="dxa"/>
              <w:right w:w="116" w:type="dxa"/>
            </w:tcMar>
            <w:vAlign w:val="center"/>
            <w:hideMark/>
          </w:tcPr>
          <w:p>
            <w:pPr>
              <w:widowControl w:val="0"/>
              <w:spacing w:before="0" w:after="0" w:line="360" w:lineRule="auto"/>
              <w:ind w:left="135"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37℃，5min</w:t>
            </w:r>
          </w:p>
        </w:tc>
      </w:tr>
      <w:tr>
        <w:tblPrEx>
          <w:tblW w:w="5000" w:type="pct"/>
          <w:tblInd w:w="124" w:type="dxa"/>
          <w:tblCellMar>
            <w:top w:w="0" w:type="dxa"/>
            <w:left w:w="0" w:type="dxa"/>
            <w:bottom w:w="0" w:type="dxa"/>
            <w:right w:w="0" w:type="dxa"/>
          </w:tblCellMar>
        </w:tblPrEx>
        <w:trPr>
          <w:trHeight w:val="240"/>
        </w:trPr>
        <w:tc>
          <w:tcPr>
            <w:tcW w:w="1596" w:type="dxa"/>
            <w:tcBorders>
              <w:left w:val="single" w:sz="6" w:space="0" w:color="000000"/>
              <w:bottom w:val="single" w:sz="6" w:space="0" w:color="000000"/>
              <w:right w:val="single" w:sz="6" w:space="0" w:color="000000"/>
            </w:tcBorders>
            <w:noWrap w:val="0"/>
            <w:tcMar>
              <w:top w:w="80" w:type="dxa"/>
              <w:left w:w="116" w:type="dxa"/>
              <w:bottom w:w="82" w:type="dxa"/>
              <w:right w:w="116" w:type="dxa"/>
            </w:tcMar>
            <w:vAlign w:val="center"/>
            <w:hideMark/>
          </w:tcPr>
          <w:p>
            <w:pPr>
              <w:widowControl w:val="0"/>
              <w:spacing w:before="0" w:after="0" w:line="360" w:lineRule="auto"/>
              <w:ind w:left="135"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w:t>
            </w:r>
          </w:p>
        </w:tc>
        <w:tc>
          <w:tcPr>
            <w:tcW w:w="4378" w:type="dxa"/>
            <w:tcBorders>
              <w:bottom w:val="single" w:sz="6" w:space="0" w:color="000000"/>
              <w:right w:val="single" w:sz="6" w:space="0" w:color="000000"/>
            </w:tcBorders>
            <w:noWrap w:val="0"/>
            <w:tcMar>
              <w:top w:w="80" w:type="dxa"/>
              <w:left w:w="113" w:type="dxa"/>
              <w:bottom w:w="82" w:type="dxa"/>
              <w:right w:w="116" w:type="dxa"/>
            </w:tcMar>
            <w:vAlign w:val="center"/>
            <w:hideMark/>
          </w:tcPr>
          <w:p>
            <w:pPr>
              <w:widowControl w:val="0"/>
              <w:spacing w:before="0" w:after="0" w:line="360" w:lineRule="auto"/>
              <w:ind w:left="135"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2mL淀粉溶液+2mL清水</w:t>
            </w:r>
          </w:p>
        </w:tc>
        <w:tc>
          <w:tcPr>
            <w:tcW w:w="1679" w:type="dxa"/>
            <w:tcBorders>
              <w:bottom w:val="single" w:sz="6" w:space="0" w:color="000000"/>
              <w:right w:val="single" w:sz="6" w:space="0" w:color="000000"/>
            </w:tcBorders>
            <w:noWrap w:val="0"/>
            <w:tcMar>
              <w:top w:w="80" w:type="dxa"/>
              <w:left w:w="113" w:type="dxa"/>
              <w:bottom w:w="82" w:type="dxa"/>
              <w:right w:w="116" w:type="dxa"/>
            </w:tcMar>
            <w:vAlign w:val="center"/>
            <w:hideMark/>
          </w:tcPr>
          <w:p>
            <w:pPr>
              <w:widowControl w:val="0"/>
              <w:spacing w:before="0" w:after="0" w:line="360" w:lineRule="auto"/>
              <w:ind w:left="135"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37℃，5min</w:t>
            </w:r>
          </w:p>
        </w:tc>
      </w:tr>
      <w:tr>
        <w:tblPrEx>
          <w:tblW w:w="5000" w:type="pct"/>
          <w:tblInd w:w="124" w:type="dxa"/>
          <w:tblCellMar>
            <w:top w:w="0" w:type="dxa"/>
            <w:left w:w="0" w:type="dxa"/>
            <w:bottom w:w="0" w:type="dxa"/>
            <w:right w:w="0" w:type="dxa"/>
          </w:tblCellMar>
        </w:tblPrEx>
        <w:trPr>
          <w:trHeight w:val="220"/>
        </w:trPr>
        <w:tc>
          <w:tcPr>
            <w:tcW w:w="1596" w:type="dxa"/>
            <w:tcBorders>
              <w:left w:val="single" w:sz="6" w:space="0" w:color="000000"/>
              <w:bottom w:val="single" w:sz="6" w:space="0" w:color="000000"/>
              <w:right w:val="single" w:sz="6" w:space="0" w:color="000000"/>
            </w:tcBorders>
            <w:noWrap w:val="0"/>
            <w:tcMar>
              <w:top w:w="80" w:type="dxa"/>
              <w:left w:w="116" w:type="dxa"/>
              <w:bottom w:w="82" w:type="dxa"/>
              <w:right w:w="116" w:type="dxa"/>
            </w:tcMar>
            <w:vAlign w:val="center"/>
            <w:hideMark/>
          </w:tcPr>
          <w:p>
            <w:pPr>
              <w:widowControl w:val="0"/>
              <w:spacing w:before="0" w:after="0" w:line="360" w:lineRule="auto"/>
              <w:ind w:left="135"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3</w:t>
            </w:r>
          </w:p>
        </w:tc>
        <w:tc>
          <w:tcPr>
            <w:tcW w:w="4378" w:type="dxa"/>
            <w:tcBorders>
              <w:bottom w:val="single" w:sz="6" w:space="0" w:color="000000"/>
              <w:right w:val="single" w:sz="6" w:space="0" w:color="000000"/>
            </w:tcBorders>
            <w:noWrap w:val="0"/>
            <w:tcMar>
              <w:top w:w="80" w:type="dxa"/>
              <w:left w:w="113" w:type="dxa"/>
              <w:bottom w:w="82" w:type="dxa"/>
              <w:right w:w="116" w:type="dxa"/>
            </w:tcMar>
            <w:vAlign w:val="center"/>
            <w:hideMark/>
          </w:tcPr>
          <w:p>
            <w:pPr>
              <w:widowControl w:val="0"/>
              <w:spacing w:before="0" w:after="0" w:line="360" w:lineRule="auto"/>
              <w:ind w:left="135"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2mL淀粉溶液+2mL稀释的唾液</w:t>
            </w:r>
          </w:p>
        </w:tc>
        <w:tc>
          <w:tcPr>
            <w:tcW w:w="1679" w:type="dxa"/>
            <w:tcBorders>
              <w:bottom w:val="single" w:sz="6" w:space="0" w:color="000000"/>
              <w:right w:val="single" w:sz="6" w:space="0" w:color="000000"/>
            </w:tcBorders>
            <w:noWrap w:val="0"/>
            <w:tcMar>
              <w:top w:w="80" w:type="dxa"/>
              <w:left w:w="113" w:type="dxa"/>
              <w:bottom w:w="82" w:type="dxa"/>
              <w:right w:w="116" w:type="dxa"/>
            </w:tcMar>
            <w:vAlign w:val="center"/>
            <w:hideMark/>
          </w:tcPr>
          <w:p>
            <w:pPr>
              <w:widowControl w:val="0"/>
              <w:spacing w:before="0" w:after="0" w:line="360" w:lineRule="auto"/>
              <w:ind w:left="135"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37℃，5min</w:t>
            </w:r>
          </w:p>
        </w:tc>
      </w:tr>
      <w:tr>
        <w:tblPrEx>
          <w:tblW w:w="5000" w:type="pct"/>
          <w:tblInd w:w="124" w:type="dxa"/>
          <w:tblCellMar>
            <w:top w:w="0" w:type="dxa"/>
            <w:left w:w="0" w:type="dxa"/>
            <w:bottom w:w="0" w:type="dxa"/>
            <w:right w:w="0" w:type="dxa"/>
          </w:tblCellMar>
        </w:tblPrEx>
        <w:trPr>
          <w:trHeight w:val="300"/>
        </w:trPr>
        <w:tc>
          <w:tcPr>
            <w:tcW w:w="1596" w:type="dxa"/>
            <w:tcBorders>
              <w:left w:val="single" w:sz="6" w:space="0" w:color="000000"/>
              <w:bottom w:val="single" w:sz="6" w:space="0" w:color="000000"/>
              <w:right w:val="single" w:sz="6" w:space="0" w:color="000000"/>
            </w:tcBorders>
            <w:noWrap w:val="0"/>
            <w:tcMar>
              <w:top w:w="80" w:type="dxa"/>
              <w:left w:w="116" w:type="dxa"/>
              <w:bottom w:w="82" w:type="dxa"/>
              <w:right w:w="116" w:type="dxa"/>
            </w:tcMar>
            <w:vAlign w:val="center"/>
            <w:hideMark/>
          </w:tcPr>
          <w:p>
            <w:pPr>
              <w:widowControl w:val="0"/>
              <w:spacing w:before="0" w:after="0" w:line="360" w:lineRule="auto"/>
              <w:ind w:left="135"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4</w:t>
            </w:r>
          </w:p>
        </w:tc>
        <w:tc>
          <w:tcPr>
            <w:tcW w:w="4378" w:type="dxa"/>
            <w:tcBorders>
              <w:bottom w:val="single" w:sz="6" w:space="0" w:color="000000"/>
              <w:right w:val="single" w:sz="6" w:space="0" w:color="000000"/>
            </w:tcBorders>
            <w:noWrap w:val="0"/>
            <w:tcMar>
              <w:top w:w="80" w:type="dxa"/>
              <w:left w:w="113" w:type="dxa"/>
              <w:bottom w:w="82" w:type="dxa"/>
              <w:right w:w="116" w:type="dxa"/>
            </w:tcMar>
            <w:vAlign w:val="center"/>
            <w:hideMark/>
          </w:tcPr>
          <w:p>
            <w:pPr>
              <w:widowControl w:val="0"/>
              <w:spacing w:before="0" w:after="0" w:line="360" w:lineRule="auto"/>
              <w:ind w:left="135"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2mL淀粉溶液+2mL唾液</w:t>
            </w:r>
          </w:p>
        </w:tc>
        <w:tc>
          <w:tcPr>
            <w:tcW w:w="1679" w:type="dxa"/>
            <w:tcBorders>
              <w:bottom w:val="single" w:sz="6" w:space="0" w:color="000000"/>
              <w:right w:val="single" w:sz="6" w:space="0" w:color="000000"/>
            </w:tcBorders>
            <w:noWrap w:val="0"/>
            <w:tcMar>
              <w:top w:w="80" w:type="dxa"/>
              <w:left w:w="113" w:type="dxa"/>
              <w:bottom w:w="82" w:type="dxa"/>
              <w:right w:w="116" w:type="dxa"/>
            </w:tcMar>
            <w:vAlign w:val="center"/>
            <w:hideMark/>
          </w:tcPr>
          <w:p>
            <w:pPr>
              <w:widowControl w:val="0"/>
              <w:spacing w:before="0" w:after="0" w:line="360" w:lineRule="auto"/>
              <w:ind w:left="135"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95℃，5min</w:t>
            </w:r>
          </w:p>
        </w:tc>
      </w:tr>
      <w:tr>
        <w:tblPrEx>
          <w:tblW w:w="5000" w:type="pct"/>
          <w:tblInd w:w="124" w:type="dxa"/>
          <w:tblCellMar>
            <w:top w:w="0" w:type="dxa"/>
            <w:left w:w="0" w:type="dxa"/>
            <w:bottom w:w="0" w:type="dxa"/>
            <w:right w:w="0" w:type="dxa"/>
          </w:tblCellMar>
        </w:tblPrEx>
        <w:trPr>
          <w:trHeight w:val="225"/>
        </w:trPr>
        <w:tc>
          <w:tcPr>
            <w:tcW w:w="1596" w:type="dxa"/>
            <w:tcBorders>
              <w:left w:val="single" w:sz="6" w:space="0" w:color="000000"/>
              <w:bottom w:val="single" w:sz="6" w:space="0" w:color="000000"/>
              <w:right w:val="single" w:sz="6" w:space="0" w:color="000000"/>
            </w:tcBorders>
            <w:noWrap w:val="0"/>
            <w:tcMar>
              <w:top w:w="80" w:type="dxa"/>
              <w:left w:w="116" w:type="dxa"/>
              <w:bottom w:w="82" w:type="dxa"/>
              <w:right w:w="116" w:type="dxa"/>
            </w:tcMar>
            <w:vAlign w:val="center"/>
            <w:hideMark/>
          </w:tcPr>
          <w:p>
            <w:pPr>
              <w:widowControl w:val="0"/>
              <w:spacing w:before="0" w:after="0" w:line="360" w:lineRule="auto"/>
              <w:ind w:left="135"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5</w:t>
            </w:r>
          </w:p>
        </w:tc>
        <w:tc>
          <w:tcPr>
            <w:tcW w:w="4378" w:type="dxa"/>
            <w:tcBorders>
              <w:bottom w:val="single" w:sz="6" w:space="0" w:color="000000"/>
              <w:right w:val="single" w:sz="6" w:space="0" w:color="000000"/>
            </w:tcBorders>
            <w:noWrap w:val="0"/>
            <w:tcMar>
              <w:top w:w="80" w:type="dxa"/>
              <w:left w:w="113" w:type="dxa"/>
              <w:bottom w:w="82" w:type="dxa"/>
              <w:right w:w="116" w:type="dxa"/>
            </w:tcMar>
            <w:vAlign w:val="center"/>
            <w:hideMark/>
          </w:tcPr>
          <w:p>
            <w:pPr>
              <w:widowControl w:val="0"/>
              <w:spacing w:before="0" w:after="0" w:line="360" w:lineRule="auto"/>
              <w:ind w:left="135"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2mL淀粉溶液+2mL唾液+3滴盐酸</w:t>
            </w:r>
          </w:p>
        </w:tc>
        <w:tc>
          <w:tcPr>
            <w:tcW w:w="1679" w:type="dxa"/>
            <w:tcBorders>
              <w:bottom w:val="single" w:sz="6" w:space="0" w:color="000000"/>
              <w:right w:val="single" w:sz="6" w:space="0" w:color="000000"/>
            </w:tcBorders>
            <w:noWrap w:val="0"/>
            <w:tcMar>
              <w:top w:w="80" w:type="dxa"/>
              <w:left w:w="113" w:type="dxa"/>
              <w:bottom w:w="82" w:type="dxa"/>
              <w:right w:w="116" w:type="dxa"/>
            </w:tcMar>
            <w:vAlign w:val="center"/>
            <w:hideMark/>
          </w:tcPr>
          <w:p>
            <w:pPr>
              <w:widowControl w:val="0"/>
              <w:spacing w:before="0" w:after="0" w:line="360" w:lineRule="auto"/>
              <w:ind w:left="135"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37℃，5min</w:t>
            </w:r>
          </w:p>
        </w:tc>
      </w:tr>
    </w:tbl>
    <w:p>
      <w:pPr>
        <w:widowControl w:val="0"/>
        <w:spacing w:before="0" w:after="0" w:line="360" w:lineRule="auto"/>
        <w:ind w:left="135" w:right="0"/>
        <w:rPr>
          <w:rFonts w:ascii="Times New Roman" w:eastAsia="Times New Roman" w:hAnsi="Times New Roman" w:cs="Times New Roman"/>
          <w:sz w:val="22"/>
          <w:szCs w:val="22"/>
        </w:rPr>
      </w:pPr>
      <w:r>
        <w:rPr>
          <w:rFonts w:ascii="宋体" w:eastAsia="宋体" w:hAnsi="宋体" w:cs="宋体"/>
          <w:sz w:val="22"/>
          <w:szCs w:val="22"/>
        </w:rPr>
        <w:t> </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xml:space="preserve">A. </w:t>
      </w:r>
      <w:r>
        <w:rPr>
          <w:rFonts w:ascii="宋体" w:eastAsia="宋体" w:hAnsi="宋体" w:cs="宋体"/>
          <w:sz w:val="22"/>
          <w:szCs w:val="22"/>
        </w:rPr>
        <w:t>1、2 、3</w:t>
      </w:r>
      <w:r>
        <w:rPr>
          <w:rFonts w:ascii="宋体" w:eastAsia="宋体" w:hAnsi="宋体" w:cs="宋体"/>
          <w:sz w:val="22"/>
          <w:szCs w:val="22"/>
        </w:rPr>
        <w:t xml:space="preserve">    B. </w:t>
      </w:r>
      <w:r>
        <w:rPr>
          <w:rFonts w:ascii="宋体" w:eastAsia="宋体" w:hAnsi="宋体" w:cs="宋体"/>
          <w:sz w:val="22"/>
          <w:szCs w:val="22"/>
        </w:rPr>
        <w:t>2 、3 、4</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xml:space="preserve">C. </w:t>
      </w:r>
      <w:r>
        <w:rPr>
          <w:rFonts w:ascii="宋体" w:eastAsia="宋体" w:hAnsi="宋体" w:cs="宋体"/>
          <w:sz w:val="22"/>
          <w:szCs w:val="22"/>
        </w:rPr>
        <w:t>2 、4 、5</w:t>
      </w:r>
      <w:r>
        <w:rPr>
          <w:rFonts w:ascii="宋体" w:eastAsia="宋体" w:hAnsi="宋体" w:cs="宋体"/>
          <w:sz w:val="22"/>
          <w:szCs w:val="22"/>
        </w:rPr>
        <w:t xml:space="preserve">    D. </w:t>
      </w:r>
      <w:r>
        <w:rPr>
          <w:rFonts w:ascii="宋体" w:eastAsia="宋体" w:hAnsi="宋体" w:cs="宋体"/>
          <w:sz w:val="22"/>
          <w:szCs w:val="22"/>
        </w:rPr>
        <w:t>3 、4 、5</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1</w:t>
      </w:r>
      <w:r>
        <w:rPr>
          <w:rFonts w:ascii="宋体" w:eastAsia="宋体" w:hAnsi="宋体" w:cs="宋体"/>
          <w:sz w:val="22"/>
          <w:szCs w:val="22"/>
        </w:rPr>
        <w:t>号试管温度适宜，且唾液中含有唾液淀粉酶，因此淀粉酶能将淀粉水解，加入碘液后不变蓝；</w:t>
      </w:r>
      <w:r>
        <w:rPr>
          <w:rFonts w:ascii="宋体" w:eastAsia="宋体" w:hAnsi="宋体" w:cs="宋体"/>
          <w:sz w:val="22"/>
          <w:szCs w:val="22"/>
        </w:rPr>
        <w:t>2</w:t>
      </w:r>
      <w:r>
        <w:rPr>
          <w:rFonts w:ascii="宋体" w:eastAsia="宋体" w:hAnsi="宋体" w:cs="宋体"/>
          <w:sz w:val="22"/>
          <w:szCs w:val="22"/>
        </w:rPr>
        <w:t>号试管不含淀粉酶，不能将淀粉水解，因此加入碘液后变蓝；</w:t>
      </w:r>
      <w:r>
        <w:rPr>
          <w:rFonts w:ascii="宋体" w:eastAsia="宋体" w:hAnsi="宋体" w:cs="宋体"/>
          <w:sz w:val="22"/>
          <w:szCs w:val="22"/>
        </w:rPr>
        <w:t xml:space="preserve"> 3</w:t>
      </w:r>
      <w:r>
        <w:rPr>
          <w:rFonts w:ascii="宋体" w:eastAsia="宋体" w:hAnsi="宋体" w:cs="宋体"/>
          <w:sz w:val="22"/>
          <w:szCs w:val="22"/>
        </w:rPr>
        <w:t>号试管虽然加入了</w:t>
      </w:r>
      <w:r>
        <w:rPr>
          <w:rFonts w:ascii="宋体" w:eastAsia="宋体" w:hAnsi="宋体" w:cs="宋体"/>
          <w:sz w:val="22"/>
          <w:szCs w:val="22"/>
        </w:rPr>
        <w:t>2mL</w:t>
      </w:r>
      <w:r>
        <w:rPr>
          <w:rFonts w:ascii="宋体" w:eastAsia="宋体" w:hAnsi="宋体" w:cs="宋体"/>
          <w:sz w:val="22"/>
          <w:szCs w:val="22"/>
        </w:rPr>
        <w:t>稀释的唾液，但由于酶具有高效性，而且温度适宜，所以淀粉酶能将淀粉水解，加入碘液后不变蓝；</w:t>
      </w:r>
      <w:r>
        <w:rPr>
          <w:rFonts w:ascii="宋体" w:eastAsia="宋体" w:hAnsi="宋体" w:cs="宋体"/>
          <w:sz w:val="22"/>
          <w:szCs w:val="22"/>
        </w:rPr>
        <w:t>4</w:t>
      </w:r>
      <w:r>
        <w:rPr>
          <w:rFonts w:ascii="宋体" w:eastAsia="宋体" w:hAnsi="宋体" w:cs="宋体"/>
          <w:sz w:val="22"/>
          <w:szCs w:val="22"/>
        </w:rPr>
        <w:t>号试管虽然含有唾液淀粉酶，但在</w:t>
      </w:r>
      <w:r>
        <w:rPr>
          <w:rFonts w:ascii="宋体" w:eastAsia="宋体" w:hAnsi="宋体" w:cs="宋体"/>
          <w:sz w:val="22"/>
          <w:szCs w:val="22"/>
        </w:rPr>
        <w:t>95</w:t>
      </w:r>
      <w:r>
        <w:rPr>
          <w:rFonts w:ascii="宋体" w:eastAsia="宋体" w:hAnsi="宋体" w:cs="宋体"/>
          <w:sz w:val="22"/>
          <w:szCs w:val="22"/>
        </w:rPr>
        <w:t>℃</w:t>
      </w:r>
      <w:r>
        <w:rPr>
          <w:rFonts w:ascii="宋体" w:eastAsia="宋体" w:hAnsi="宋体" w:cs="宋体"/>
          <w:sz w:val="22"/>
          <w:szCs w:val="22"/>
        </w:rPr>
        <w:t>高温下，酶会变性失活，不能将淀粉水解，所以加入碘液后变蓝；</w:t>
      </w:r>
      <w:r>
        <w:rPr>
          <w:rFonts w:ascii="宋体" w:eastAsia="宋体" w:hAnsi="宋体" w:cs="宋体"/>
          <w:sz w:val="22"/>
          <w:szCs w:val="22"/>
        </w:rPr>
        <w:t>5</w:t>
      </w:r>
      <w:r>
        <w:rPr>
          <w:rFonts w:ascii="宋体" w:eastAsia="宋体" w:hAnsi="宋体" w:cs="宋体"/>
          <w:sz w:val="22"/>
          <w:szCs w:val="22"/>
        </w:rPr>
        <w:t>号试管虽然含有唾液淀粉酶，但在过酸条件下，酶会变性失活，不能将淀粉水解，所以加入碘液后变蓝</w:t>
      </w:r>
      <w:r>
        <w:rPr>
          <w:rFonts w:ascii="宋体" w:eastAsia="宋体" w:hAnsi="宋体" w:cs="宋体"/>
          <w:sz w:val="22"/>
          <w:szCs w:val="22"/>
        </w:rPr>
        <w:t>。</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2. </w:t>
      </w:r>
      <w:r>
        <w:rPr>
          <w:rFonts w:ascii="SimSun" w:eastAsia="SimSun" w:hAnsi="SimSun" w:cs="SimSun"/>
        </w:rPr>
        <w:t>选择</w:t>
      </w:r>
      <w:r>
        <w:rPr>
          <w:rFonts w:ascii="Times New Roman" w:eastAsia="Times New Roman" w:hAnsi="Times New Roman" w:cs="Times New Roman"/>
          <w:lang w:val="en-US" w:eastAsia="en-US"/>
        </w:rPr>
        <w:t>30</w:t>
      </w:r>
      <w:r>
        <w:rPr>
          <w:rFonts w:ascii="SimSun" w:eastAsia="SimSun" w:hAnsi="SimSun" w:cs="SimSun"/>
        </w:rPr>
        <w:t>只生理状况大致相同的健康成年小白鼠，测定鼠单位时间耗氧量的平均值，以代表鼠的物质代谢强度，将其随机分为甲、乙两组，做如下处理</w:t>
      </w:r>
    </w:p>
    <w:p>
      <w:pPr>
        <w:pStyle w:val="MsoNormal"/>
        <w:spacing w:before="240" w:after="240" w:line="360" w:lineRule="auto"/>
        <w:rPr>
          <w:rFonts w:ascii="Times New Roman" w:eastAsia="Times New Roman" w:hAnsi="Times New Roman" w:cs="Times New Roman"/>
        </w:rPr>
        <w:sectPr>
          <w:pgSz w:w="12240" w:h="15840"/>
          <w:pgMar w:top="1440" w:right="1800" w:bottom="1440" w:left="1800" w:header="708" w:footer="708" w:gutter="0"/>
          <w:cols w:space="708"/>
          <w:docGrid w:linePitch="360"/>
        </w:sectPr>
      </w:pPr>
      <w:r>
        <w:rPr>
          <w:rFonts w:ascii="宋体" w:eastAsia="宋体" w:hAnsi="宋体" w:cs="宋体"/>
          <w:lang w:val="en-US" w:eastAsia="en-US"/>
        </w:rPr>
        <w:t> </w:t>
      </w:r>
    </w:p>
    <w:tbl>
      <w:tblPr>
        <w:tblStyle w:val="MsoNormalTable0"/>
        <w:tblpPr w:leftFromText="0" w:rightFromText="0" w:topFromText="0" w:bottomFromText="0" w:vertAnchor="text" w:tblpY="1"/>
        <w:tblOverlap w:val="never"/>
        <w:tblW w:w="8168" w:type="dxa"/>
        <w:tblCellMar>
          <w:top w:w="0" w:type="dxa"/>
          <w:left w:w="0" w:type="dxa"/>
          <w:bottom w:w="0" w:type="dxa"/>
          <w:right w:w="0" w:type="dxa"/>
        </w:tblCellMar>
        <w:tblLook w:val="05E0"/>
      </w:tblPr>
      <w:tblGrid>
        <w:gridCol w:w="716"/>
        <w:gridCol w:w="9231"/>
        <w:gridCol w:w="4791"/>
      </w:tblGrid>
      <w:tr>
        <w:tblPrEx>
          <w:tblW w:w="8168" w:type="dxa"/>
          <w:tblCellMar>
            <w:top w:w="0" w:type="dxa"/>
            <w:left w:w="0" w:type="dxa"/>
            <w:bottom w:w="0" w:type="dxa"/>
            <w:right w:w="0" w:type="dxa"/>
          </w:tblCellMar>
          <w:tblLook w:val="05E0"/>
        </w:tblPrEx>
        <w:tc>
          <w:tcPr>
            <w:tcW w:w="884"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pStyle w:val="MsoNormal"/>
              <w:spacing w:line="360" w:lineRule="auto"/>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rPr>
              <w:t>组别</w:t>
            </w:r>
          </w:p>
        </w:tc>
        <w:tc>
          <w:tcPr>
            <w:tcW w:w="4081" w:type="dxa"/>
            <w:tcBorders>
              <w:top w:val="single" w:sz="8" w:space="0" w:color="000000"/>
              <w:bottom w:val="single" w:sz="8" w:space="0" w:color="000000"/>
              <w:right w:val="single" w:sz="8" w:space="0" w:color="000000"/>
            </w:tcBorders>
            <w:noWrap w:val="0"/>
            <w:tcMar>
              <w:top w:w="10" w:type="dxa"/>
              <w:left w:w="113" w:type="dxa"/>
              <w:bottom w:w="10" w:type="dxa"/>
              <w:right w:w="118" w:type="dxa"/>
            </w:tcMar>
            <w:vAlign w:val="top"/>
            <w:hideMark/>
          </w:tcPr>
          <w:p>
            <w:pPr>
              <w:pStyle w:val="MsoNormal"/>
              <w:spacing w:line="360" w:lineRule="auto"/>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rPr>
              <w:t>实验处理方法</w:t>
            </w:r>
          </w:p>
        </w:tc>
        <w:tc>
          <w:tcPr>
            <w:tcW w:w="3911" w:type="dxa"/>
            <w:tcBorders>
              <w:top w:val="single" w:sz="8" w:space="0" w:color="000000"/>
              <w:bottom w:val="single" w:sz="8" w:space="0" w:color="000000"/>
              <w:right w:val="single" w:sz="8" w:space="0" w:color="000000"/>
            </w:tcBorders>
            <w:noWrap w:val="0"/>
            <w:tcMar>
              <w:top w:w="10" w:type="dxa"/>
              <w:left w:w="113" w:type="dxa"/>
              <w:bottom w:w="10" w:type="dxa"/>
              <w:right w:w="118" w:type="dxa"/>
            </w:tcMar>
            <w:vAlign w:val="top"/>
            <w:hideMark/>
          </w:tcPr>
          <w:p>
            <w:pPr>
              <w:pStyle w:val="MsoNormal"/>
              <w:spacing w:line="360" w:lineRule="auto"/>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rPr>
              <w:t>实验结果</w:t>
            </w:r>
          </w:p>
        </w:tc>
      </w:tr>
      <w:tr>
        <w:tblPrEx>
          <w:tblW w:w="8168" w:type="dxa"/>
          <w:tblCellMar>
            <w:top w:w="0" w:type="dxa"/>
            <w:left w:w="0" w:type="dxa"/>
            <w:bottom w:w="0" w:type="dxa"/>
            <w:right w:w="0" w:type="dxa"/>
          </w:tblCellMar>
          <w:tblLook w:val="05E0"/>
        </w:tblPrEx>
        <w:tc>
          <w:tcPr>
            <w:tcW w:w="884" w:type="dxa"/>
            <w:tcBorders>
              <w:left w:val="single" w:sz="8" w:space="0" w:color="000000"/>
              <w:bottom w:val="single" w:sz="8" w:space="0" w:color="000000"/>
              <w:right w:val="single" w:sz="8" w:space="0" w:color="000000"/>
            </w:tcBorders>
            <w:noWrap w:val="0"/>
            <w:tcMar>
              <w:top w:w="5" w:type="dxa"/>
              <w:left w:w="118" w:type="dxa"/>
              <w:bottom w:w="10" w:type="dxa"/>
              <w:right w:w="118" w:type="dxa"/>
            </w:tcMar>
            <w:vAlign w:val="center"/>
            <w:hideMark/>
          </w:tcPr>
          <w:p>
            <w:pPr>
              <w:pStyle w:val="MsoNormal"/>
              <w:spacing w:line="360" w:lineRule="auto"/>
              <w:jc w:val="center"/>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rPr>
              <w:t>甲</w:t>
            </w:r>
          </w:p>
        </w:tc>
        <w:tc>
          <w:tcPr>
            <w:tcW w:w="4081" w:type="dxa"/>
            <w:tcBorders>
              <w:bottom w:val="single" w:sz="8" w:space="0" w:color="000000"/>
              <w:right w:val="single" w:sz="8" w:space="0" w:color="000000"/>
            </w:tcBorders>
            <w:noWrap w:val="0"/>
            <w:tcMar>
              <w:top w:w="5" w:type="dxa"/>
              <w:left w:w="113" w:type="dxa"/>
              <w:bottom w:w="10" w:type="dxa"/>
              <w:right w:w="118" w:type="dxa"/>
            </w:tcMar>
            <w:vAlign w:val="top"/>
            <w:hideMark/>
          </w:tcPr>
          <w:p>
            <w:pPr>
              <w:pStyle w:val="MsoNormal"/>
              <w:spacing w:line="360" w:lineRule="auto"/>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rPr>
              <w:t>切除小白鼠体内的甲状腺</w:t>
            </w:r>
          </w:p>
        </w:tc>
        <w:tc>
          <w:tcPr>
            <w:tcW w:w="3911" w:type="dxa"/>
            <w:tcBorders>
              <w:bottom w:val="single" w:sz="8" w:space="0" w:color="000000"/>
              <w:right w:val="single" w:sz="8" w:space="0" w:color="000000"/>
            </w:tcBorders>
            <w:noWrap w:val="0"/>
            <w:tcMar>
              <w:top w:w="5" w:type="dxa"/>
              <w:left w:w="113" w:type="dxa"/>
              <w:bottom w:w="10" w:type="dxa"/>
              <w:right w:w="118" w:type="dxa"/>
            </w:tcMar>
            <w:vAlign w:val="top"/>
            <w:hideMark/>
          </w:tcPr>
          <w:p>
            <w:pPr>
              <w:pStyle w:val="MsoNormal"/>
              <w:spacing w:line="360" w:lineRule="auto"/>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rPr>
              <w:t>切除</w:t>
            </w:r>
            <w:r>
              <w:rPr>
                <w:rFonts w:ascii="宋体" w:eastAsia="宋体" w:hAnsi="宋体" w:cs="宋体"/>
                <w:b w:val="0"/>
                <w:bCs w:val="0"/>
                <w:i w:val="0"/>
                <w:iCs w:val="0"/>
                <w:smallCaps w:val="0"/>
                <w:color w:val="000000"/>
                <w:lang w:val="en-US" w:eastAsia="en-US"/>
              </w:rPr>
              <w:t>10</w:t>
            </w:r>
            <w:r>
              <w:rPr>
                <w:rFonts w:ascii="宋体" w:eastAsia="宋体" w:hAnsi="宋体" w:cs="宋体"/>
                <w:b w:val="0"/>
                <w:bCs w:val="0"/>
                <w:i w:val="0"/>
                <w:iCs w:val="0"/>
                <w:smallCaps w:val="0"/>
                <w:color w:val="000000"/>
              </w:rPr>
              <w:t>天后，测得其物质代谢强度大大下降</w:t>
            </w:r>
          </w:p>
        </w:tc>
      </w:tr>
      <w:tr>
        <w:tblPrEx>
          <w:tblW w:w="8168" w:type="dxa"/>
          <w:tblCellMar>
            <w:top w:w="0" w:type="dxa"/>
            <w:left w:w="0" w:type="dxa"/>
            <w:bottom w:w="0" w:type="dxa"/>
            <w:right w:w="0" w:type="dxa"/>
          </w:tblCellMar>
          <w:tblLook w:val="05E0"/>
        </w:tblPrEx>
        <w:tc>
          <w:tcPr>
            <w:tcW w:w="884" w:type="dxa"/>
            <w:tcBorders>
              <w:left w:val="single" w:sz="8" w:space="0" w:color="000000"/>
              <w:bottom w:val="single" w:sz="8" w:space="0" w:color="000000"/>
              <w:right w:val="single" w:sz="8" w:space="0" w:color="000000"/>
            </w:tcBorders>
            <w:noWrap w:val="0"/>
            <w:tcMar>
              <w:top w:w="5" w:type="dxa"/>
              <w:left w:w="118" w:type="dxa"/>
              <w:bottom w:w="10" w:type="dxa"/>
              <w:right w:w="118" w:type="dxa"/>
            </w:tcMar>
            <w:vAlign w:val="center"/>
            <w:hideMark/>
          </w:tcPr>
          <w:p>
            <w:pPr>
              <w:pStyle w:val="MsoNormal"/>
              <w:spacing w:line="360" w:lineRule="auto"/>
              <w:jc w:val="center"/>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rPr>
              <w:t>乙</w:t>
            </w:r>
          </w:p>
        </w:tc>
        <w:tc>
          <w:tcPr>
            <w:tcW w:w="4081" w:type="dxa"/>
            <w:tcBorders>
              <w:bottom w:val="single" w:sz="8" w:space="0" w:color="000000"/>
              <w:right w:val="single" w:sz="8" w:space="0" w:color="000000"/>
            </w:tcBorders>
            <w:noWrap w:val="0"/>
            <w:tcMar>
              <w:top w:w="5" w:type="dxa"/>
              <w:left w:w="113" w:type="dxa"/>
              <w:bottom w:w="10" w:type="dxa"/>
              <w:right w:w="118" w:type="dxa"/>
            </w:tcMar>
            <w:vAlign w:val="top"/>
            <w:hideMark/>
          </w:tcPr>
          <w:p>
            <w:pPr>
              <w:pStyle w:val="MsoNormal"/>
              <w:spacing w:line="360" w:lineRule="auto"/>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rPr>
              <w:t>切除小白鼠体内的甲状腺，</w:t>
            </w:r>
            <w:r>
              <w:rPr>
                <w:rFonts w:ascii="宋体" w:eastAsia="宋体" w:hAnsi="宋体" w:cs="宋体"/>
                <w:b w:val="0"/>
                <w:bCs w:val="0"/>
                <w:i w:val="0"/>
                <w:iCs w:val="0"/>
                <w:smallCaps w:val="0"/>
                <w:color w:val="000000"/>
                <w:lang w:val="en-US" w:eastAsia="en-US"/>
              </w:rPr>
              <w:t>5</w:t>
            </w:r>
            <w:r>
              <w:rPr>
                <w:rFonts w:ascii="宋体" w:eastAsia="宋体" w:hAnsi="宋体" w:cs="宋体"/>
                <w:b w:val="0"/>
                <w:bCs w:val="0"/>
                <w:i w:val="0"/>
                <w:iCs w:val="0"/>
                <w:smallCaps w:val="0"/>
                <w:color w:val="000000"/>
              </w:rPr>
              <w:t>天后，连续给鼠注射一定量溶于某种溶剂中的甲状腺激素</w:t>
            </w:r>
          </w:p>
        </w:tc>
        <w:tc>
          <w:tcPr>
            <w:tcW w:w="3911" w:type="dxa"/>
            <w:tcBorders>
              <w:bottom w:val="single" w:sz="8" w:space="0" w:color="000000"/>
              <w:right w:val="single" w:sz="8" w:space="0" w:color="000000"/>
            </w:tcBorders>
            <w:noWrap w:val="0"/>
            <w:tcMar>
              <w:top w:w="5" w:type="dxa"/>
              <w:left w:w="113" w:type="dxa"/>
              <w:bottom w:w="10" w:type="dxa"/>
              <w:right w:w="118" w:type="dxa"/>
            </w:tcMar>
            <w:vAlign w:val="top"/>
            <w:hideMark/>
          </w:tcPr>
          <w:p>
            <w:pPr>
              <w:pStyle w:val="MsoNormal"/>
              <w:spacing w:line="360" w:lineRule="auto"/>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rPr>
              <w:t>切除</w:t>
            </w:r>
            <w:r>
              <w:rPr>
                <w:rFonts w:ascii="宋体" w:eastAsia="宋体" w:hAnsi="宋体" w:cs="宋体"/>
                <w:b w:val="0"/>
                <w:bCs w:val="0"/>
                <w:i w:val="0"/>
                <w:iCs w:val="0"/>
                <w:smallCaps w:val="0"/>
                <w:color w:val="000000"/>
                <w:lang w:val="en-US" w:eastAsia="en-US"/>
              </w:rPr>
              <w:t>10</w:t>
            </w:r>
            <w:r>
              <w:rPr>
                <w:rFonts w:ascii="宋体" w:eastAsia="宋体" w:hAnsi="宋体" w:cs="宋体"/>
                <w:b w:val="0"/>
                <w:bCs w:val="0"/>
                <w:i w:val="0"/>
                <w:iCs w:val="0"/>
                <w:smallCaps w:val="0"/>
                <w:color w:val="000000"/>
              </w:rPr>
              <w:t>天后，测得其物质代谢强度没有下降</w:t>
            </w:r>
          </w:p>
        </w:tc>
      </w:tr>
    </w:tbl>
    <w:p>
      <w:pPr>
        <w:pStyle w:val="MsoNormal"/>
        <w:spacing w:after="240" w:line="360" w:lineRule="auto"/>
        <w:rPr>
          <w:rFonts w:ascii="Times New Roman" w:eastAsia="Times New Roman" w:hAnsi="Times New Roman" w:cs="Times New Roman"/>
        </w:rPr>
      </w:pPr>
      <w:r>
        <w:rPr>
          <w:rFonts w:ascii="宋体" w:eastAsia="宋体" w:hAnsi="宋体" w:cs="宋体"/>
        </w:rPr>
        <w:t>由此可以推测：甲状腺激素能增强小白鼠的物质代谢能力。为了证明这一推论，要增加下列那项作为对照实验</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．切除甲状腺，注射生理盐水</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B</w:t>
      </w:r>
      <w:r>
        <w:rPr>
          <w:rFonts w:ascii="宋体" w:eastAsia="宋体" w:hAnsi="宋体" w:cs="宋体"/>
        </w:rPr>
        <w:t>．既不切除甲状腺，又不注射甲状腺激素</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C</w:t>
      </w:r>
      <w:r>
        <w:rPr>
          <w:rFonts w:ascii="宋体" w:eastAsia="宋体" w:hAnsi="宋体" w:cs="宋体"/>
        </w:rPr>
        <w:t>．从切除甲状腺后的第</w:t>
      </w:r>
      <w:r>
        <w:rPr>
          <w:rFonts w:ascii="宋体" w:eastAsia="宋体" w:hAnsi="宋体" w:cs="宋体"/>
          <w:lang w:val="en-US" w:eastAsia="en-US"/>
        </w:rPr>
        <w:t>5</w:t>
      </w:r>
      <w:r>
        <w:rPr>
          <w:rFonts w:ascii="宋体" w:eastAsia="宋体" w:hAnsi="宋体" w:cs="宋体"/>
        </w:rPr>
        <w:t>天开始，注射用于该实验的溶剂</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D</w:t>
      </w:r>
      <w:r>
        <w:rPr>
          <w:rFonts w:ascii="宋体" w:eastAsia="宋体" w:hAnsi="宋体" w:cs="宋体"/>
        </w:rPr>
        <w:t>．从切除甲状腺后的第</w:t>
      </w:r>
      <w:r>
        <w:rPr>
          <w:rFonts w:ascii="宋体" w:eastAsia="宋体" w:hAnsi="宋体" w:cs="宋体"/>
          <w:lang w:val="en-US" w:eastAsia="en-US"/>
        </w:rPr>
        <w:t>5</w:t>
      </w:r>
      <w:r>
        <w:rPr>
          <w:rFonts w:ascii="宋体" w:eastAsia="宋体" w:hAnsi="宋体" w:cs="宋体"/>
        </w:rPr>
        <w:t>天开始，注射溶解于另一种溶剂的甲状腺激素</w:t>
      </w:r>
    </w:p>
    <w:p>
      <w:pPr>
        <w:spacing w:after="240"/>
        <w:rPr>
          <w:rFonts w:ascii="Times New Roman" w:eastAsia="Times New Roman" w:hAnsi="Times New Roman" w:cs="Times New Roman"/>
          <w:b/>
          <w:bCs/>
        </w:rPr>
      </w:pPr>
      <w:r>
        <w:rPr>
          <w:rFonts w:ascii="SimSun" w:eastAsia="SimSun" w:hAnsi="SimSun" w:cs="SimSun"/>
          <w:b/>
          <w:bCs/>
        </w:rPr>
        <w:t>参考答案：</w:t>
      </w:r>
    </w:p>
    <w:p w:rsidR="00A77B3E">
      <w:r>
        <w:rPr>
          <w:rFonts w:ascii="Times New Roman" w:eastAsia="Times New Roman" w:hAnsi="Times New Roman" w:cs="Times New Roman"/>
          <w:lang w:val="en-US" w:eastAsia="en-US"/>
        </w:rPr>
        <w:t>C</w:t>
      </w:r>
      <w:r>
        <w:rPr>
          <w:rFonts w:ascii="Times New Roman" w:eastAsia="Times New Roman" w:hAnsi="Times New Roman" w:cs="Times New Roman"/>
          <w:lang w:val="en-US" w:eastAsia="en-US"/>
        </w:rPr>
        <w:t xml:space="preserve"> </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3. </w:t>
      </w:r>
      <w:r>
        <w:rPr>
          <w:rFonts w:ascii="SimSun" w:eastAsia="SimSun" w:hAnsi="SimSun" w:cs="SimSun"/>
        </w:rPr>
        <w:t>格里菲思用肺炎双球菌在小鼠身上进行了著名的转化实验，此实验结果</w:t>
      </w:r>
      <w:r>
        <w:rPr>
          <w:rFonts w:ascii="Times New Roman" w:eastAsia="Times New Roman" w:hAnsi="Times New Roman" w:cs="Times New Roman"/>
          <w:lang w:val="en-US" w:eastAsia="en-US"/>
        </w:rPr>
        <w:t>(</w:t>
      </w:r>
      <w:r>
        <w:rPr>
          <w:rFonts w:ascii="SimSun" w:eastAsia="SimSun" w:hAnsi="SimSun" w:cs="SimSun"/>
        </w:rPr>
        <w:t>　　</w:t>
      </w:r>
      <w:r>
        <w:rPr>
          <w:rFonts w:ascii="Times New Roman" w:eastAsia="Times New Roman" w:hAnsi="Times New Roman" w:cs="Times New Roman"/>
          <w:lang w:val="en-US" w:eastAsia="en-US"/>
        </w:rPr>
        <w:t>)</w:t>
      </w:r>
    </w:p>
    <w:p>
      <w:pPr>
        <w:pStyle w:val="MsoNormal"/>
        <w:spacing w:before="240" w:after="240" w:line="360" w:lineRule="auto"/>
        <w:ind w:firstLine="220"/>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．证明了</w:t>
      </w:r>
      <w:r>
        <w:rPr>
          <w:rFonts w:ascii="宋体" w:eastAsia="宋体" w:hAnsi="宋体" w:cs="宋体"/>
          <w:lang w:val="en-US" w:eastAsia="en-US"/>
        </w:rPr>
        <w:t>DNA</w:t>
      </w:r>
      <w:r>
        <w:rPr>
          <w:rFonts w:ascii="宋体" w:eastAsia="宋体" w:hAnsi="宋体" w:cs="宋体"/>
        </w:rPr>
        <w:t>是遗传物质</w:t>
      </w:r>
      <w:r>
        <w:rPr>
          <w:rFonts w:ascii="宋体" w:eastAsia="宋体" w:hAnsi="宋体" w:cs="宋体"/>
          <w:lang w:val="en-US" w:eastAsia="en-US"/>
        </w:rPr>
        <w:t>        B</w:t>
      </w:r>
      <w:r>
        <w:rPr>
          <w:rFonts w:ascii="宋体" w:eastAsia="宋体" w:hAnsi="宋体" w:cs="宋体"/>
        </w:rPr>
        <w:t>．证明了</w:t>
      </w:r>
      <w:r>
        <w:rPr>
          <w:rFonts w:ascii="宋体" w:eastAsia="宋体" w:hAnsi="宋体" w:cs="宋体"/>
          <w:lang w:val="en-US" w:eastAsia="en-US"/>
        </w:rPr>
        <w:t>RNA</w:t>
      </w:r>
      <w:r>
        <w:rPr>
          <w:rFonts w:ascii="宋体" w:eastAsia="宋体" w:hAnsi="宋体" w:cs="宋体"/>
        </w:rPr>
        <w:t>是遗传物质</w:t>
      </w:r>
    </w:p>
    <w:p>
      <w:pPr>
        <w:pStyle w:val="MsoNormal"/>
        <w:spacing w:before="240" w:after="240" w:line="360" w:lineRule="auto"/>
        <w:ind w:firstLine="105"/>
        <w:rPr>
          <w:rFonts w:ascii="Times New Roman" w:eastAsia="Times New Roman" w:hAnsi="Times New Roman" w:cs="Times New Roman"/>
        </w:rPr>
      </w:pPr>
      <w:r>
        <w:rPr>
          <w:rFonts w:ascii="宋体" w:eastAsia="宋体" w:hAnsi="宋体" w:cs="宋体"/>
          <w:lang w:val="en-US" w:eastAsia="en-US"/>
        </w:rPr>
        <w:t>C</w:t>
      </w:r>
      <w:r>
        <w:rPr>
          <w:rFonts w:ascii="宋体" w:eastAsia="宋体" w:hAnsi="宋体" w:cs="宋体"/>
        </w:rPr>
        <w:t>．证明了蛋白质是遗传物质</w:t>
      </w:r>
      <w:r>
        <w:rPr>
          <w:rFonts w:ascii="宋体" w:eastAsia="宋体" w:hAnsi="宋体" w:cs="宋体"/>
          <w:lang w:val="en-US" w:eastAsia="en-US"/>
        </w:rPr>
        <w:t>    D</w:t>
      </w:r>
      <w:r>
        <w:rPr>
          <w:rFonts w:ascii="宋体" w:eastAsia="宋体" w:hAnsi="宋体" w:cs="宋体"/>
        </w:rPr>
        <w:t>．没有证明具体哪一种物质是遗传物质</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D</w:t>
      </w:r>
    </w:p>
    <w:p>
      <w:pPr>
        <w:widowControl w:val="0"/>
        <w:spacing w:before="0" w:after="0"/>
        <w:ind w:left="0" w:right="0"/>
        <w:jc w:val="both"/>
        <w:rPr>
          <w:rFonts w:ascii="Times New Roman" w:eastAsia="Times New Roman" w:hAnsi="Times New Roman" w:cs="Times New Roman"/>
        </w:rPr>
      </w:pPr>
      <w:r>
        <w:rPr>
          <w:rFonts w:ascii="Times New Roman" w:eastAsia="Times New Roman" w:hAnsi="Times New Roman" w:cs="Times New Roman"/>
        </w:rPr>
        <w:t xml:space="preserve">4. </w:t>
      </w:r>
      <w:r>
        <w:rPr>
          <w:rFonts w:ascii="宋体" w:eastAsia="宋体" w:hAnsi="宋体" w:cs="宋体"/>
        </w:rPr>
        <w:t>高倍显微镜观察装片的正确顺序是（    ）</w:t>
      </w:r>
    </w:p>
    <w:p>
      <w:pPr>
        <w:widowControl w:val="0"/>
        <w:spacing w:before="0" w:after="0" w:line="360" w:lineRule="atLeast"/>
        <w:ind w:left="239" w:right="0"/>
        <w:jc w:val="both"/>
        <w:rPr>
          <w:rFonts w:ascii="Times New Roman" w:eastAsia="Times New Roman" w:hAnsi="Times New Roman" w:cs="Times New Roman"/>
        </w:rPr>
      </w:pPr>
      <w:r>
        <w:rPr>
          <w:rFonts w:ascii="宋体" w:eastAsia="宋体" w:hAnsi="宋体" w:cs="宋体"/>
        </w:rPr>
        <w:t>①</w:t>
      </w:r>
      <w:r>
        <w:rPr>
          <w:rFonts w:ascii="宋体" w:eastAsia="宋体" w:hAnsi="宋体" w:cs="宋体"/>
        </w:rPr>
        <w:t>转动转换器把低倍物镜移走，换上高倍物镜</w:t>
      </w:r>
      <w:r>
        <w:rPr>
          <w:rFonts w:ascii="Calibri" w:eastAsia="Calibri" w:hAnsi="Calibri" w:cs="Calibri"/>
        </w:rPr>
        <w:t> </w:t>
      </w:r>
      <w:r>
        <w:rPr>
          <w:rFonts w:ascii="Calibri" w:eastAsia="Calibri" w:hAnsi="Calibri" w:cs="Calibri"/>
        </w:rPr>
        <w:t> </w:t>
      </w:r>
      <w:r>
        <w:rPr>
          <w:rFonts w:ascii="宋体" w:eastAsia="宋体" w:hAnsi="宋体" w:cs="宋体"/>
        </w:rPr>
        <w:t>②</w:t>
      </w:r>
      <w:r>
        <w:rPr>
          <w:rFonts w:ascii="宋体" w:eastAsia="宋体" w:hAnsi="宋体" w:cs="宋体"/>
        </w:rPr>
        <w:t xml:space="preserve">在低倍物镜下找到目标 </w:t>
      </w:r>
      <w:r>
        <w:rPr>
          <w:rFonts w:ascii="宋体" w:eastAsia="宋体" w:hAnsi="宋体" w:cs="宋体"/>
        </w:rPr>
        <w:t>③</w:t>
      </w:r>
      <w:r>
        <w:rPr>
          <w:rFonts w:ascii="宋体" w:eastAsia="宋体" w:hAnsi="宋体" w:cs="宋体"/>
        </w:rPr>
        <w:t>将目标移到视野中央</w:t>
      </w:r>
      <w:r>
        <w:rPr>
          <w:rFonts w:ascii="Calibri" w:eastAsia="Calibri" w:hAnsi="Calibri" w:cs="Calibri"/>
        </w:rPr>
        <w:t> </w:t>
      </w:r>
      <w:r>
        <w:rPr>
          <w:rFonts w:ascii="宋体" w:eastAsia="宋体" w:hAnsi="宋体" w:cs="宋体"/>
        </w:rPr>
        <w:t>④</w:t>
      </w:r>
      <w:r>
        <w:rPr>
          <w:rFonts w:ascii="宋体" w:eastAsia="宋体" w:hAnsi="宋体" w:cs="宋体"/>
        </w:rPr>
        <w:t>调反光镜和细准焦螺旋，直到视野适宜，物像清晰为止</w:t>
      </w:r>
    </w:p>
    <w:p>
      <w:pPr>
        <w:widowControl w:val="0"/>
        <w:spacing w:before="0" w:after="0" w:line="360" w:lineRule="atLeast"/>
        <w:ind w:left="239" w:right="0" w:firstLine="120"/>
        <w:jc w:val="both"/>
        <w:rPr>
          <w:rFonts w:ascii="Times New Roman" w:eastAsia="Times New Roman" w:hAnsi="Times New Roman" w:cs="Times New Roman"/>
        </w:rPr>
      </w:pPr>
      <w:r>
        <w:rPr>
          <w:rFonts w:ascii="Calibri" w:eastAsia="Calibri" w:hAnsi="Calibri" w:cs="Calibri"/>
        </w:rPr>
        <w:t>A</w:t>
      </w:r>
      <w:r>
        <w:rPr>
          <w:rFonts w:ascii="宋体" w:eastAsia="宋体" w:hAnsi="宋体" w:cs="宋体"/>
        </w:rPr>
        <w:t>．</w:t>
      </w:r>
      <w:r>
        <w:rPr>
          <w:rFonts w:ascii="宋体" w:eastAsia="宋体" w:hAnsi="宋体" w:cs="宋体"/>
        </w:rPr>
        <w:t>②③④①</w:t>
      </w:r>
      <w:r>
        <w:rPr>
          <w:rFonts w:ascii="Calibri" w:eastAsia="Calibri" w:hAnsi="Calibri" w:cs="Calibri"/>
        </w:rPr>
        <w:t> </w:t>
      </w:r>
      <w:r>
        <w:rPr>
          <w:rFonts w:ascii="Calibri" w:eastAsia="Calibri" w:hAnsi="Calibri" w:cs="Calibri"/>
        </w:rPr>
        <w:t> </w:t>
      </w:r>
      <w:r>
        <w:rPr>
          <w:rFonts w:ascii="Calibri" w:eastAsia="Calibri" w:hAnsi="Calibri" w:cs="Calibri"/>
        </w:rPr>
        <w:t> </w:t>
      </w:r>
      <w:r>
        <w:rPr>
          <w:rFonts w:ascii="Calibri" w:eastAsia="Calibri" w:hAnsi="Calibri" w:cs="Calibri"/>
        </w:rPr>
        <w:t> </w:t>
      </w:r>
      <w:r>
        <w:rPr>
          <w:rFonts w:ascii="Calibri" w:eastAsia="Calibri" w:hAnsi="Calibri" w:cs="Calibri"/>
        </w:rPr>
        <w:t>  B</w:t>
      </w:r>
      <w:r>
        <w:rPr>
          <w:rFonts w:ascii="宋体" w:eastAsia="宋体" w:hAnsi="宋体" w:cs="宋体"/>
        </w:rPr>
        <w:t>．</w:t>
      </w:r>
      <w:r>
        <w:rPr>
          <w:rFonts w:ascii="宋体" w:eastAsia="宋体" w:hAnsi="宋体" w:cs="宋体"/>
        </w:rPr>
        <w:t>②①③④</w:t>
      </w:r>
      <w:r>
        <w:rPr>
          <w:rFonts w:ascii="Calibri" w:eastAsia="Calibri" w:hAnsi="Calibri" w:cs="Calibri"/>
        </w:rPr>
        <w:t> </w:t>
      </w:r>
      <w:r>
        <w:rPr>
          <w:rFonts w:ascii="Calibri" w:eastAsia="Calibri" w:hAnsi="Calibri" w:cs="Calibri"/>
        </w:rPr>
        <w:t> </w:t>
      </w:r>
      <w:r>
        <w:rPr>
          <w:rFonts w:ascii="Calibri" w:eastAsia="Calibri" w:hAnsi="Calibri" w:cs="Calibri"/>
        </w:rPr>
        <w:t> </w:t>
      </w:r>
      <w:r>
        <w:rPr>
          <w:rFonts w:ascii="Calibri" w:eastAsia="Calibri" w:hAnsi="Calibri" w:cs="Calibri"/>
        </w:rPr>
        <w:t> </w:t>
      </w:r>
      <w:r>
        <w:rPr>
          <w:rFonts w:ascii="Calibri" w:eastAsia="Calibri" w:hAnsi="Calibri" w:cs="Calibri"/>
        </w:rPr>
        <w:t xml:space="preserve">  </w:t>
      </w:r>
      <w:r>
        <w:rPr>
          <w:rFonts w:ascii="Calibri" w:eastAsia="Calibri" w:hAnsi="Calibri" w:cs="Calibri"/>
        </w:rPr>
        <w:t> </w:t>
      </w:r>
      <w:r>
        <w:rPr>
          <w:rFonts w:ascii="Calibri" w:eastAsia="Calibri" w:hAnsi="Calibri" w:cs="Calibri"/>
        </w:rPr>
        <w:t>C</w:t>
      </w:r>
      <w:r>
        <w:rPr>
          <w:rFonts w:ascii="宋体" w:eastAsia="宋体" w:hAnsi="宋体" w:cs="宋体"/>
        </w:rPr>
        <w:t>．</w:t>
      </w:r>
      <w:r>
        <w:rPr>
          <w:rFonts w:ascii="宋体" w:eastAsia="宋体" w:hAnsi="宋体" w:cs="宋体"/>
        </w:rPr>
        <w:t>②④①③</w:t>
      </w:r>
      <w:r>
        <w:rPr>
          <w:rFonts w:ascii="Calibri" w:eastAsia="Calibri" w:hAnsi="Calibri" w:cs="Calibri"/>
        </w:rPr>
        <w:t> </w:t>
      </w:r>
      <w:r>
        <w:rPr>
          <w:rFonts w:ascii="Calibri" w:eastAsia="Calibri" w:hAnsi="Calibri" w:cs="Calibri"/>
        </w:rPr>
        <w:t> </w:t>
      </w:r>
      <w:r>
        <w:rPr>
          <w:rFonts w:ascii="Calibri" w:eastAsia="Calibri" w:hAnsi="Calibri" w:cs="Calibri"/>
        </w:rPr>
        <w:t> </w:t>
      </w:r>
      <w:r>
        <w:rPr>
          <w:rFonts w:ascii="Calibri" w:eastAsia="Calibri" w:hAnsi="Calibri" w:cs="Calibri"/>
        </w:rPr>
        <w:t xml:space="preserve">  </w:t>
      </w:r>
      <w:r>
        <w:rPr>
          <w:rFonts w:ascii="Calibri" w:eastAsia="Calibri" w:hAnsi="Calibri" w:cs="Calibri"/>
        </w:rPr>
        <w:t> </w:t>
      </w:r>
      <w:r>
        <w:rPr>
          <w:rFonts w:ascii="Calibri" w:eastAsia="Calibri" w:hAnsi="Calibri" w:cs="Calibri"/>
        </w:rPr>
        <w:t>D</w:t>
      </w:r>
      <w:r>
        <w:rPr>
          <w:rFonts w:ascii="宋体" w:eastAsia="宋体" w:hAnsi="宋体" w:cs="宋体"/>
        </w:rPr>
        <w:t>．</w:t>
      </w:r>
      <w:r>
        <w:rPr>
          <w:rFonts w:ascii="宋体" w:eastAsia="宋体" w:hAnsi="宋体" w:cs="宋体"/>
        </w:rPr>
        <w:t>③④②①</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ind w:left="0" w:right="0"/>
        <w:jc w:val="both"/>
        <w:rPr>
          <w:rFonts w:ascii="Times New Roman" w:eastAsia="Times New Roman" w:hAnsi="Times New Roman" w:cs="Times New Roman"/>
        </w:rPr>
      </w:pPr>
      <w:r>
        <w:rPr>
          <w:rFonts w:ascii="Calibri" w:eastAsia="Calibri" w:hAnsi="Calibri" w:cs="Calibri"/>
          <w:sz w:val="22"/>
          <w:szCs w:val="22"/>
        </w:rPr>
        <w:t>C</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5. </w:t>
      </w:r>
      <w:r>
        <w:rPr>
          <w:rFonts w:ascii="宋体" w:eastAsia="宋体" w:hAnsi="宋体" w:cs="宋体"/>
          <w:sz w:val="22"/>
          <w:szCs w:val="22"/>
        </w:rPr>
        <w:t>研究棉花光合产物从叶片的输出对叶片光合速率的影响，研究方法不当的是（   ）</w:t>
      </w:r>
    </w:p>
    <w:p>
      <w:pPr>
        <w:widowControl w:val="0"/>
        <w:spacing w:before="0" w:after="0" w:line="360" w:lineRule="auto"/>
        <w:ind w:left="0" w:right="0"/>
        <w:jc w:val="both"/>
        <w:rPr>
          <w:rFonts w:ascii="Times New Roman" w:eastAsia="Times New Roman" w:hAnsi="Times New Roman" w:cs="Times New Roman"/>
          <w:sz w:val="22"/>
          <w:szCs w:val="22"/>
        </w:rPr>
        <w:sectPr>
          <w:type w:val="nextPage"/>
          <w:pgSz w:w="12240" w:h="15840"/>
          <w:pgMar w:top="1440" w:right="1800" w:bottom="1440" w:left="1800" w:header="708" w:footer="708" w:gutter="0"/>
          <w:pgNumType w:start="2"/>
          <w:cols w:space="708"/>
          <w:titlePg w:val="0"/>
          <w:docGrid w:linePitch="360"/>
        </w:sectPr>
      </w:pPr>
      <w:r>
        <w:rPr>
          <w:rFonts w:ascii="宋体" w:eastAsia="宋体" w:hAnsi="宋体" w:cs="宋体"/>
          <w:sz w:val="22"/>
          <w:szCs w:val="22"/>
        </w:rPr>
        <w:t>A. 摘除部分棉铃，测定临近叶片CO2吸收速率的变化</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B. 环割枝条阻断有机物的运输，测定该枝条叶片CO2吸收速率的变化</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 对部分叶片进行遮光处理，测定未遮光叶片CO2吸收速率的变化</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 “嫁接”更多的叶片，测定叶片中CO2吸收速率的变化</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研究棉花光合产物从叶片的输出对叶片光合速率的影响，而光合速率可用一定时间内原料消耗或产物生成的数量来定量表示，因此摘除部分棉铃，可通过测定邻近叶片C02吸收速率的变化来推知对光合速率的影响，A正确；环割枝条阻断有机物的运输，测定该枝条叶片C02吸收速率的变化也能推知对光合速率的影响，B正确；对部分叶片进行遮光处理，遮光的叶片不能进行光合作用，需要其它叶片为之提供光合产物，因此测定未遮光叶片C02吸收速率的变化才能达到实验目的，C正确；“嫁接”更多的叶片，实验变量增多，测定叶片中C02吸收速率的变化无法达到实验目的，D错误。</w:t>
      </w:r>
    </w:p>
    <w:p>
      <w:pPr>
        <w:pStyle w:val="MsoNormal"/>
        <w:spacing w:after="240"/>
        <w:rPr>
          <w:rFonts w:ascii="Times New Roman" w:eastAsia="Times New Roman" w:hAnsi="Times New Roman" w:cs="Times New Roman"/>
        </w:rPr>
      </w:pPr>
      <w:r>
        <w:rPr>
          <w:rFonts w:ascii="Times New Roman" w:eastAsia="Times New Roman" w:hAnsi="Times New Roman" w:cs="Times New Roman"/>
        </w:rPr>
        <w:t xml:space="preserve">6. </w:t>
      </w:r>
      <w:r>
        <w:rPr>
          <w:rFonts w:ascii="宋体" w:eastAsia="宋体" w:hAnsi="宋体" w:cs="宋体"/>
        </w:rPr>
        <w:t>下图表示卵子的发生过程。与此相关的论述中，不合理的是（</w:t>
      </w:r>
      <w:r>
        <w:rPr>
          <w:rFonts w:ascii="Times New Roman" w:eastAsia="Times New Roman" w:hAnsi="Times New Roman" w:cs="Times New Roman"/>
          <w:lang w:val="en-US" w:eastAsia="en-US"/>
        </w:rPr>
        <w:t xml:space="preserve">    </w:t>
      </w:r>
      <w:r>
        <w:rPr>
          <w:rFonts w:ascii="宋体" w:eastAsia="宋体" w:hAnsi="宋体" w:cs="宋体"/>
        </w:rPr>
        <w:t>）</w:t>
      </w:r>
    </w:p>
    <w:p>
      <w:pPr>
        <w:pStyle w:val="MsoNormal"/>
        <w:spacing w:before="240" w:after="240" w:line="288" w:lineRule="auto"/>
        <w:ind w:firstLine="420"/>
        <w:rPr>
          <w:rFonts w:ascii="Times New Roman" w:eastAsia="Times New Roman" w:hAnsi="Times New Roman" w:cs="Times New Roman"/>
        </w:rPr>
      </w:pPr>
      <w:r>
        <w:rPr>
          <w:rFonts w:ascii="Times New Roman" w:eastAsia="Times New Roman" w:hAnsi="Times New Roman" w:cs="Times New Roman"/>
          <w:strike w:val="0"/>
          <w:u w:val="none"/>
          <w:lang w:val="en-US" w:eastAsia="en-US"/>
        </w:rPr>
        <w:drawing>
          <wp:inline>
            <wp:extent cx="5029200" cy="15240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5029200" cy="1524000"/>
                    </a:xfrm>
                    <a:prstGeom prst="rect">
                      <a:avLst/>
                    </a:prstGeom>
                  </pic:spPr>
                </pic:pic>
              </a:graphicData>
            </a:graphic>
          </wp:inline>
        </w:drawing>
      </w:r>
    </w:p>
    <w:p>
      <w:pPr>
        <w:pStyle w:val="MsoNormal"/>
        <w:spacing w:before="240" w:after="240" w:line="288" w:lineRule="auto"/>
        <w:ind w:firstLine="420"/>
        <w:rPr>
          <w:rFonts w:ascii="Times New Roman" w:eastAsia="Times New Roman" w:hAnsi="Times New Roman" w:cs="Times New Roman"/>
        </w:rPr>
      </w:pPr>
      <w:r>
        <w:rPr>
          <w:rFonts w:ascii="Times New Roman" w:eastAsia="Times New Roman" w:hAnsi="Times New Roman" w:cs="Times New Roman"/>
          <w:lang w:val="en-US" w:eastAsia="en-US"/>
        </w:rPr>
        <w:t>A</w:t>
      </w:r>
      <w:r>
        <w:rPr>
          <w:rFonts w:ascii="宋体" w:eastAsia="宋体" w:hAnsi="宋体" w:cs="宋体"/>
        </w:rPr>
        <w:t>．图中</w:t>
      </w:r>
      <w:r>
        <w:rPr>
          <w:rFonts w:ascii="Times New Roman" w:eastAsia="Times New Roman" w:hAnsi="Times New Roman" w:cs="Times New Roman"/>
          <w:lang w:val="en-US" w:eastAsia="en-US"/>
        </w:rPr>
        <w:t>A</w:t>
      </w:r>
      <w:r>
        <w:rPr>
          <w:rFonts w:ascii="宋体" w:eastAsia="宋体" w:hAnsi="宋体" w:cs="宋体"/>
        </w:rPr>
        <w:t>是第一极体，</w:t>
      </w:r>
      <w:r>
        <w:rPr>
          <w:rFonts w:ascii="Times New Roman" w:eastAsia="Times New Roman" w:hAnsi="Times New Roman" w:cs="Times New Roman"/>
          <w:lang w:val="en-US" w:eastAsia="en-US"/>
        </w:rPr>
        <w:t>B</w:t>
      </w:r>
      <w:r>
        <w:rPr>
          <w:rFonts w:ascii="宋体" w:eastAsia="宋体" w:hAnsi="宋体" w:cs="宋体"/>
        </w:rPr>
        <w:t>是合子，</w:t>
      </w:r>
      <w:r>
        <w:rPr>
          <w:rFonts w:ascii="Times New Roman" w:eastAsia="Times New Roman" w:hAnsi="Times New Roman" w:cs="Times New Roman"/>
          <w:lang w:val="en-US" w:eastAsia="en-US"/>
        </w:rPr>
        <w:t>E</w:t>
      </w:r>
      <w:r>
        <w:rPr>
          <w:rFonts w:ascii="宋体" w:eastAsia="宋体" w:hAnsi="宋体" w:cs="宋体"/>
        </w:rPr>
        <w:t>是指受精，阶段</w:t>
      </w:r>
      <w:r>
        <w:rPr>
          <w:rFonts w:ascii="Times New Roman" w:eastAsia="Times New Roman" w:hAnsi="Times New Roman" w:cs="Times New Roman"/>
          <w:lang w:val="en-US" w:eastAsia="en-US"/>
        </w:rPr>
        <w:t>C</w:t>
      </w:r>
      <w:r>
        <w:rPr>
          <w:rFonts w:ascii="宋体" w:eastAsia="宋体" w:hAnsi="宋体" w:cs="宋体"/>
        </w:rPr>
        <w:t>是指胎儿期，阶段</w:t>
      </w:r>
      <w:r>
        <w:rPr>
          <w:rFonts w:ascii="Times New Roman" w:eastAsia="Times New Roman" w:hAnsi="Times New Roman" w:cs="Times New Roman"/>
          <w:lang w:val="en-US" w:eastAsia="en-US"/>
        </w:rPr>
        <w:t>D</w:t>
      </w:r>
      <w:r>
        <w:rPr>
          <w:rFonts w:ascii="宋体" w:eastAsia="宋体" w:hAnsi="宋体" w:cs="宋体"/>
        </w:rPr>
        <w:t>是指初情期</w:t>
      </w:r>
    </w:p>
    <w:p>
      <w:pPr>
        <w:pStyle w:val="MsoNormal"/>
        <w:spacing w:before="240" w:after="240" w:line="288" w:lineRule="auto"/>
        <w:ind w:firstLine="420"/>
        <w:rPr>
          <w:rFonts w:ascii="Times New Roman" w:eastAsia="Times New Roman" w:hAnsi="Times New Roman" w:cs="Times New Roman"/>
        </w:rPr>
      </w:pPr>
      <w:r>
        <w:rPr>
          <w:rFonts w:ascii="Times New Roman" w:eastAsia="Times New Roman" w:hAnsi="Times New Roman" w:cs="Times New Roman"/>
          <w:lang w:val="en-US" w:eastAsia="en-US"/>
        </w:rPr>
        <w:t>B</w:t>
      </w:r>
      <w:r>
        <w:rPr>
          <w:rFonts w:ascii="宋体" w:eastAsia="宋体" w:hAnsi="宋体" w:cs="宋体"/>
        </w:rPr>
        <w:t>．当观察到第二极体时，可以表明卵子已经完成了受精</w:t>
      </w:r>
    </w:p>
    <w:p>
      <w:pPr>
        <w:pStyle w:val="MsoNormal"/>
        <w:spacing w:before="240" w:after="240" w:line="288" w:lineRule="auto"/>
        <w:ind w:firstLine="420"/>
        <w:rPr>
          <w:rFonts w:ascii="Times New Roman" w:eastAsia="Times New Roman" w:hAnsi="Times New Roman" w:cs="Times New Roman"/>
        </w:rPr>
      </w:pPr>
      <w:r>
        <w:rPr>
          <w:rFonts w:ascii="Times New Roman" w:eastAsia="Times New Roman" w:hAnsi="Times New Roman" w:cs="Times New Roman"/>
          <w:lang w:val="en-US" w:eastAsia="en-US"/>
        </w:rPr>
        <w:t>C</w:t>
      </w:r>
      <w:r>
        <w:rPr>
          <w:rFonts w:ascii="宋体" w:eastAsia="宋体" w:hAnsi="宋体" w:cs="宋体"/>
        </w:rPr>
        <w:t>．能发生染色体的着丝点分裂的阶段是①④</w:t>
      </w:r>
      <w:r>
        <w:rPr>
          <w:rFonts w:ascii="Times New Roman" w:eastAsia="Times New Roman" w:hAnsi="Times New Roman" w:cs="Times New Roman"/>
          <w:lang w:val="en-US" w:eastAsia="en-US"/>
        </w:rPr>
        <w:t xml:space="preserve">    </w:t>
      </w:r>
    </w:p>
    <w:p>
      <w:pPr>
        <w:pStyle w:val="MsoNormal"/>
        <w:spacing w:before="240" w:after="240" w:line="288" w:lineRule="auto"/>
        <w:ind w:firstLine="420"/>
        <w:rPr>
          <w:rFonts w:ascii="Times New Roman" w:eastAsia="Times New Roman" w:hAnsi="Times New Roman" w:cs="Times New Roman"/>
        </w:rPr>
      </w:pPr>
      <w:r>
        <w:rPr>
          <w:rFonts w:ascii="Times New Roman" w:eastAsia="Times New Roman" w:hAnsi="Times New Roman" w:cs="Times New Roman"/>
          <w:lang w:val="en-US" w:eastAsia="en-US"/>
        </w:rPr>
        <w:t>D</w:t>
      </w:r>
      <w:r>
        <w:rPr>
          <w:rFonts w:ascii="宋体" w:eastAsia="宋体" w:hAnsi="宋体" w:cs="宋体"/>
        </w:rPr>
        <w:t>．①阶段存在的变异方式有基因突变、基因重组、染色体变异</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rPr>
          <w:rFonts w:ascii="Times New Roman" w:eastAsia="Times New Roman" w:hAnsi="Times New Roman" w:cs="Times New Roman"/>
        </w:rPr>
      </w:pPr>
      <w:r>
        <w:rPr>
          <w:rFonts w:ascii="Times New Roman" w:eastAsia="Times New Roman" w:hAnsi="Times New Roman" w:cs="Times New Roman"/>
          <w:lang w:val="en-US" w:eastAsia="en-US"/>
        </w:rPr>
        <w:t>D</w:t>
      </w:r>
    </w:p>
    <w:p>
      <w:pPr>
        <w:pStyle w:val="MsoPlainText"/>
        <w:spacing w:before="240" w:after="240" w:line="280" w:lineRule="atLeast"/>
        <w:rPr>
          <w:rFonts w:ascii="Times New Roman" w:eastAsia="Times New Roman" w:hAnsi="Times New Roman" w:cs="Times New Roman"/>
        </w:rPr>
        <w:sectPr>
          <w:type w:val="nextPage"/>
          <w:pgSz w:w="12240" w:h="15840"/>
          <w:pgMar w:top="1440" w:right="1800" w:bottom="1440" w:left="1800" w:header="708" w:footer="708" w:gutter="0"/>
          <w:pgNumType w:start="3"/>
          <w:cols w:space="708"/>
          <w:titlePg w:val="0"/>
          <w:docGrid w:linePitch="360"/>
        </w:sectPr>
      </w:pPr>
      <w:r>
        <w:rPr>
          <w:rFonts w:ascii="SimSun" w:eastAsia="SimSun" w:hAnsi="SimSun" w:cs="SimSun"/>
        </w:rPr>
        <w:t>略</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7. </w:t>
      </w:r>
      <w:r>
        <w:rPr>
          <w:rFonts w:ascii="SimSun" w:eastAsia="SimSun" w:hAnsi="SimSun" w:cs="SimSun"/>
        </w:rPr>
        <w:t>下列关于细胞分裂与生物遗传关系的叙述，正确的是</w:t>
      </w:r>
    </w:p>
    <w:p>
      <w:pPr>
        <w:pStyle w:val="MsoNormal"/>
        <w:spacing w:before="240" w:after="240" w:line="360" w:lineRule="auto"/>
        <w:ind w:firstLine="220"/>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．原核细胞虽不能进行减数分裂，但它的遗传遵循孟德尔定律</w:t>
      </w:r>
    </w:p>
    <w:p>
      <w:pPr>
        <w:pStyle w:val="MsoNormal"/>
        <w:spacing w:before="240" w:after="240" w:line="360" w:lineRule="auto"/>
        <w:ind w:firstLine="220"/>
        <w:rPr>
          <w:rFonts w:ascii="Times New Roman" w:eastAsia="Times New Roman" w:hAnsi="Times New Roman" w:cs="Times New Roman"/>
        </w:rPr>
      </w:pPr>
      <w:r>
        <w:rPr>
          <w:rFonts w:ascii="宋体" w:eastAsia="宋体" w:hAnsi="宋体" w:cs="宋体"/>
          <w:lang w:val="en-US" w:eastAsia="en-US"/>
        </w:rPr>
        <w:t>B</w:t>
      </w:r>
      <w:r>
        <w:rPr>
          <w:rFonts w:ascii="宋体" w:eastAsia="宋体" w:hAnsi="宋体" w:cs="宋体"/>
        </w:rPr>
        <w:t>．细胞分裂过程中，质基因与核基因都平均分配</w:t>
      </w:r>
    </w:p>
    <w:p>
      <w:pPr>
        <w:pStyle w:val="MsoNormal"/>
        <w:spacing w:before="240" w:after="240" w:line="360" w:lineRule="auto"/>
        <w:ind w:firstLine="220"/>
        <w:rPr>
          <w:rFonts w:ascii="Times New Roman" w:eastAsia="Times New Roman" w:hAnsi="Times New Roman" w:cs="Times New Roman"/>
        </w:rPr>
      </w:pPr>
      <w:r>
        <w:rPr>
          <w:rFonts w:ascii="宋体" w:eastAsia="宋体" w:hAnsi="宋体" w:cs="宋体"/>
          <w:lang w:val="en-US" w:eastAsia="en-US"/>
        </w:rPr>
        <w:t>C</w:t>
      </w:r>
      <w:r>
        <w:rPr>
          <w:rFonts w:ascii="宋体" w:eastAsia="宋体" w:hAnsi="宋体" w:cs="宋体"/>
        </w:rPr>
        <w:t>．细胞增殖后产生的子细胞中染色体数目一定与亲代细胞相同</w:t>
      </w:r>
    </w:p>
    <w:p>
      <w:pPr>
        <w:pStyle w:val="MsoNormal"/>
        <w:spacing w:before="240" w:after="240" w:line="360" w:lineRule="auto"/>
        <w:ind w:firstLine="220"/>
        <w:rPr>
          <w:rFonts w:ascii="Times New Roman" w:eastAsia="Times New Roman" w:hAnsi="Times New Roman" w:cs="Times New Roman"/>
        </w:rPr>
      </w:pPr>
      <w:r>
        <w:rPr>
          <w:rFonts w:ascii="宋体" w:eastAsia="宋体" w:hAnsi="宋体" w:cs="宋体"/>
          <w:lang w:val="en-US" w:eastAsia="en-US"/>
        </w:rPr>
        <w:t>D</w:t>
      </w:r>
      <w:r>
        <w:rPr>
          <w:rFonts w:ascii="宋体" w:eastAsia="宋体" w:hAnsi="宋体" w:cs="宋体"/>
        </w:rPr>
        <w:t>．基因分离定律、自由组合定律，可以在配子形成过程中同时起作用</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8. </w:t>
      </w:r>
      <w:r>
        <w:rPr>
          <w:rFonts w:ascii="宋体" w:eastAsia="宋体" w:hAnsi="宋体" w:cs="宋体"/>
          <w:sz w:val="22"/>
          <w:szCs w:val="22"/>
        </w:rPr>
        <w:t>下列有关细胞结构和生命活动的叙述，正确的是（    ）</w:t>
      </w:r>
    </w:p>
    <w:p>
      <w:pPr>
        <w:widowControl w:val="0"/>
        <w:spacing w:before="0" w:after="0" w:line="360" w:lineRule="auto"/>
        <w:ind w:left="0" w:right="0"/>
        <w:rPr>
          <w:rFonts w:ascii="Times New Roman" w:eastAsia="Times New Roman" w:hAnsi="Times New Roman" w:cs="Times New Roman"/>
          <w:sz w:val="22"/>
          <w:szCs w:val="22"/>
        </w:rPr>
      </w:pPr>
      <w:r>
        <w:rPr>
          <w:rFonts w:ascii="Time New Romans" w:eastAsia="Time New Romans" w:hAnsi="Time New Romans" w:cs="Time New Romans"/>
          <w:sz w:val="22"/>
          <w:szCs w:val="22"/>
        </w:rPr>
        <w:t xml:space="preserve">A. </w:t>
      </w:r>
      <w:r>
        <w:rPr>
          <w:rFonts w:ascii="宋体" w:eastAsia="宋体" w:hAnsi="宋体" w:cs="宋体"/>
          <w:sz w:val="22"/>
          <w:szCs w:val="22"/>
        </w:rPr>
        <w:t>细胞生命活动所需的ATP都是在生物膜上合成的</w:t>
      </w:r>
    </w:p>
    <w:p>
      <w:pPr>
        <w:widowControl w:val="0"/>
        <w:spacing w:before="0" w:after="0" w:line="360" w:lineRule="auto"/>
        <w:ind w:left="0" w:right="0"/>
        <w:rPr>
          <w:rFonts w:ascii="Times New Roman" w:eastAsia="Times New Roman" w:hAnsi="Times New Roman" w:cs="Times New Roman"/>
          <w:sz w:val="22"/>
          <w:szCs w:val="22"/>
        </w:rPr>
      </w:pPr>
      <w:r>
        <w:rPr>
          <w:rFonts w:ascii="Time New Romans" w:eastAsia="Time New Romans" w:hAnsi="Time New Romans" w:cs="Time New Romans"/>
          <w:sz w:val="22"/>
          <w:szCs w:val="22"/>
        </w:rPr>
        <w:t xml:space="preserve">B. </w:t>
      </w:r>
      <w:r>
        <w:rPr>
          <w:rFonts w:ascii="宋体" w:eastAsia="宋体" w:hAnsi="宋体" w:cs="宋体"/>
          <w:sz w:val="22"/>
          <w:szCs w:val="22"/>
        </w:rPr>
        <w:t>氨基酸数目、种类相同的蛋白质一定具有相同的功能</w:t>
      </w:r>
    </w:p>
    <w:p>
      <w:pPr>
        <w:widowControl w:val="0"/>
        <w:spacing w:before="0" w:after="0" w:line="360" w:lineRule="auto"/>
        <w:ind w:left="0" w:right="0"/>
        <w:rPr>
          <w:rFonts w:ascii="Times New Roman" w:eastAsia="Times New Roman" w:hAnsi="Times New Roman" w:cs="Times New Roman"/>
          <w:sz w:val="22"/>
          <w:szCs w:val="22"/>
        </w:rPr>
      </w:pPr>
      <w:r>
        <w:rPr>
          <w:rFonts w:ascii="Time New Romans" w:eastAsia="Time New Romans" w:hAnsi="Time New Romans" w:cs="Time New Romans"/>
          <w:sz w:val="22"/>
          <w:szCs w:val="22"/>
        </w:rPr>
        <w:t xml:space="preserve">C. </w:t>
      </w:r>
      <w:r>
        <w:rPr>
          <w:rFonts w:ascii="宋体" w:eastAsia="宋体" w:hAnsi="宋体" w:cs="宋体"/>
          <w:sz w:val="22"/>
          <w:szCs w:val="22"/>
        </w:rPr>
        <w:t>哺乳动物造血干细胞分化为成熟红细胞的过程不可逆</w:t>
      </w:r>
    </w:p>
    <w:p>
      <w:pPr>
        <w:widowControl w:val="0"/>
        <w:spacing w:before="0" w:after="0" w:line="360" w:lineRule="auto"/>
        <w:ind w:left="0" w:right="0"/>
        <w:rPr>
          <w:rFonts w:ascii="Times New Roman" w:eastAsia="Times New Roman" w:hAnsi="Times New Roman" w:cs="Times New Roman"/>
          <w:sz w:val="22"/>
          <w:szCs w:val="22"/>
        </w:rPr>
      </w:pPr>
      <w:r>
        <w:rPr>
          <w:rFonts w:ascii="Time New Romans" w:eastAsia="Time New Romans" w:hAnsi="Time New Romans" w:cs="Time New Romans"/>
          <w:sz w:val="22"/>
          <w:szCs w:val="22"/>
        </w:rPr>
        <w:t xml:space="preserve">D. </w:t>
      </w:r>
      <w:r>
        <w:rPr>
          <w:rFonts w:ascii="宋体" w:eastAsia="宋体" w:hAnsi="宋体" w:cs="宋体"/>
          <w:sz w:val="22"/>
          <w:szCs w:val="22"/>
        </w:rPr>
        <w:t>胰高血糖素能促进肌糖原分解为葡萄糖使血糖水平升高</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 New Romans" w:eastAsia="Time New Romans" w:hAnsi="Time New Romans" w:cs="Time New Romans"/>
          <w:sz w:val="22"/>
          <w:szCs w:val="22"/>
        </w:rPr>
        <w:t>C</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【分析】</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蛋白质的结构多样性与氨基酸的种类、数目、排列顺序和蛋白质的空间结构有关。</w:t>
      </w:r>
      <w:r>
        <w:rPr>
          <w:rFonts w:ascii="Times New Romance" w:eastAsia="Times New Romance" w:hAnsi="Times New Romance" w:cs="Times New Romance"/>
          <w:sz w:val="22"/>
          <w:szCs w:val="22"/>
        </w:rPr>
        <w:t>ATP</w:t>
      </w:r>
      <w:r>
        <w:rPr>
          <w:rFonts w:ascii="宋体" w:eastAsia="宋体" w:hAnsi="宋体" w:cs="宋体"/>
          <w:sz w:val="22"/>
          <w:szCs w:val="22"/>
        </w:rPr>
        <w:t>的来源有光合作用和呼吸作用，场所有线粒体、细胞质基质（呼吸作用）、叶绿体（光合作用）。其中能为各项生命活动提供结果能源的是呼吸作用。光合作用的光反应产生的</w:t>
      </w:r>
      <w:r>
        <w:rPr>
          <w:rFonts w:ascii="Times New Romance" w:eastAsia="Times New Romance" w:hAnsi="Times New Romance" w:cs="Times New Romance"/>
          <w:sz w:val="22"/>
          <w:szCs w:val="22"/>
        </w:rPr>
        <w:t>ATP</w:t>
      </w:r>
      <w:r>
        <w:rPr>
          <w:rFonts w:ascii="宋体" w:eastAsia="宋体" w:hAnsi="宋体" w:cs="宋体"/>
          <w:sz w:val="22"/>
          <w:szCs w:val="22"/>
        </w:rPr>
        <w:t>只用于暗反应。胰高血糖素的作用是促进肝糖原分解和非糖物质的转化为葡萄糖。细胞分化具有持久性、普遍性、不可逆性等特点。</w:t>
      </w:r>
    </w:p>
    <w:p>
      <w:pPr>
        <w:widowControl w:val="0"/>
        <w:spacing w:before="0" w:after="0" w:line="360" w:lineRule="auto"/>
        <w:ind w:left="0" w:right="0"/>
        <w:jc w:val="both"/>
        <w:rPr>
          <w:rFonts w:ascii="Times New Roman" w:eastAsia="Times New Roman" w:hAnsi="Times New Roman" w:cs="Times New Roman"/>
          <w:sz w:val="22"/>
          <w:szCs w:val="22"/>
        </w:rPr>
        <w:sectPr>
          <w:type w:val="nextPage"/>
          <w:pgSz w:w="12240" w:h="15840"/>
          <w:pgMar w:top="1440" w:right="1800" w:bottom="1440" w:left="1800" w:header="708" w:footer="708" w:gutter="0"/>
          <w:pgNumType w:start="4"/>
          <w:cols w:space="708"/>
          <w:titlePg w:val="0"/>
          <w:docGrid w:linePitch="360"/>
        </w:sectPr>
      </w:pPr>
      <w:r>
        <w:rPr>
          <w:rFonts w:ascii="宋体" w:eastAsia="宋体" w:hAnsi="宋体" w:cs="宋体"/>
          <w:sz w:val="22"/>
          <w:szCs w:val="22"/>
        </w:rPr>
        <w:t>【详解】</w:t>
      </w:r>
      <w:r>
        <w:rPr>
          <w:rFonts w:ascii="宋体" w:eastAsia="宋体" w:hAnsi="宋体" w:cs="宋体"/>
          <w:sz w:val="22"/>
          <w:szCs w:val="22"/>
        </w:rPr>
        <w:t>细胞生命活动所需的</w:t>
      </w:r>
      <w:r>
        <w:rPr>
          <w:rFonts w:ascii="Times New Romance" w:eastAsia="Times New Romance" w:hAnsi="Times New Romance" w:cs="Times New Romance"/>
          <w:sz w:val="22"/>
          <w:szCs w:val="22"/>
        </w:rPr>
        <w:t>ATP</w:t>
      </w:r>
      <w:r>
        <w:rPr>
          <w:rFonts w:ascii="宋体" w:eastAsia="宋体" w:hAnsi="宋体" w:cs="宋体"/>
          <w:sz w:val="22"/>
          <w:szCs w:val="22"/>
        </w:rPr>
        <w:t>是由细胞呼吸和光合作用所提供的。其中，细胞呼吸的场所是细胞质基质和线粒体。有氧呼吸第一阶段和第二阶段分别是在细胞质基质和线粒体基质进行的，只有第三阶段在线粒体内膜上进行，</w:t>
      </w:r>
      <w:r>
        <w:rPr>
          <w:rFonts w:ascii="Times New Romance" w:eastAsia="Times New Romance" w:hAnsi="Times New Romance" w:cs="Times New Romance"/>
          <w:sz w:val="22"/>
          <w:szCs w:val="22"/>
        </w:rPr>
        <w:t>A</w:t>
      </w:r>
      <w:r>
        <w:rPr>
          <w:rFonts w:ascii="宋体" w:eastAsia="宋体" w:hAnsi="宋体" w:cs="宋体"/>
          <w:sz w:val="22"/>
          <w:szCs w:val="22"/>
        </w:rPr>
        <w:t>错误；氨基酸的数目和种类相同，但其排列顺序不一定相同，空间结构可能不同，因此功能也可能不同，</w:t>
      </w:r>
      <w:r>
        <w:rPr>
          <w:rFonts w:ascii="Times New Romance" w:eastAsia="Times New Romance" w:hAnsi="Times New Romance" w:cs="Times New Romance"/>
          <w:sz w:val="22"/>
          <w:szCs w:val="22"/>
        </w:rPr>
        <w:t>B</w:t>
      </w:r>
      <w:r>
        <w:rPr>
          <w:rFonts w:ascii="宋体" w:eastAsia="宋体" w:hAnsi="宋体" w:cs="宋体"/>
          <w:sz w:val="22"/>
          <w:szCs w:val="22"/>
        </w:rPr>
        <w:t>错误；细胞分化具有不可逆性。哺乳动物造血干细胞分化为成熟红细胞的过程不可逆，</w:t>
      </w:r>
      <w:r>
        <w:rPr>
          <w:rFonts w:ascii="Times New Romance" w:eastAsia="Times New Romance" w:hAnsi="Times New Romance" w:cs="Times New Romance"/>
          <w:sz w:val="22"/>
          <w:szCs w:val="22"/>
        </w:rPr>
        <w:t>C</w:t>
      </w:r>
      <w:r>
        <w:rPr>
          <w:rFonts w:ascii="宋体" w:eastAsia="宋体" w:hAnsi="宋体" w:cs="宋体"/>
          <w:sz w:val="22"/>
          <w:szCs w:val="22"/>
        </w:rPr>
        <w:t>正确；胰高血糖素能促进肝糖原分解为葡萄糖使血糖水平升高，</w:t>
      </w:r>
      <w:r>
        <w:rPr>
          <w:rFonts w:ascii="Times New Romance" w:eastAsia="Times New Romance" w:hAnsi="Times New Romance" w:cs="Times New Romance"/>
          <w:sz w:val="22"/>
          <w:szCs w:val="22"/>
        </w:rPr>
        <w:t>D</w:t>
      </w:r>
      <w:r>
        <w:rPr>
          <w:rFonts w:ascii="宋体" w:eastAsia="宋体" w:hAnsi="宋体" w:cs="宋体"/>
          <w:sz w:val="22"/>
          <w:szCs w:val="22"/>
        </w:rPr>
        <w:t>错误。因此，本题答案选</w:t>
      </w:r>
      <w:r>
        <w:rPr>
          <w:rFonts w:ascii="Times New Romance" w:eastAsia="Times New Romance" w:hAnsi="Times New Romance" w:cs="Times New Romance"/>
          <w:sz w:val="22"/>
          <w:szCs w:val="22"/>
        </w:rPr>
        <w:t>C</w:t>
      </w:r>
      <w:r>
        <w:rPr>
          <w:rFonts w:ascii="宋体" w:eastAsia="宋体" w:hAnsi="宋体" w:cs="宋体"/>
          <w:sz w:val="22"/>
          <w:szCs w:val="22"/>
        </w:rPr>
        <w:t>。</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9. </w:t>
      </w:r>
      <w:r>
        <w:rPr>
          <w:rFonts w:ascii="宋体" w:eastAsia="宋体" w:hAnsi="宋体" w:cs="宋体"/>
          <w:color w:val="000000"/>
        </w:rPr>
        <w:t>下面关于生物体内</w:t>
      </w:r>
      <w:r>
        <w:rPr>
          <w:rFonts w:ascii="宋体" w:eastAsia="宋体" w:hAnsi="宋体" w:cs="宋体"/>
          <w:color w:val="000000"/>
        </w:rPr>
        <w:t>ATP</w:t>
      </w:r>
      <w:r>
        <w:rPr>
          <w:rFonts w:ascii="宋体" w:eastAsia="宋体" w:hAnsi="宋体" w:cs="宋体"/>
          <w:color w:val="000000"/>
        </w:rPr>
        <w:t>的叙述，正确的是</w:t>
      </w:r>
      <w:r>
        <w:rPr>
          <w:rFonts w:ascii="宋体" w:eastAsia="宋体" w:hAnsi="宋体" w:cs="宋体"/>
          <w:color w:val="000000"/>
        </w:rPr>
        <w:t xml:space="preserve">                                   </w:t>
      </w:r>
    </w:p>
    <w:p>
      <w:pPr>
        <w:pStyle w:val="MsoNormal"/>
        <w:spacing w:before="240" w:after="240" w:line="360" w:lineRule="auto"/>
        <w:ind w:left="420"/>
        <w:rPr>
          <w:rFonts w:ascii="Times New Roman" w:eastAsia="Times New Roman" w:hAnsi="Times New Roman" w:cs="Times New Roman"/>
        </w:rPr>
      </w:pPr>
      <w:r>
        <w:rPr>
          <w:rFonts w:ascii="宋体" w:eastAsia="宋体" w:hAnsi="宋体" w:cs="宋体"/>
          <w:color w:val="000000"/>
        </w:rPr>
        <w:t>A. ATP</w:t>
      </w:r>
      <w:r>
        <w:rPr>
          <w:rFonts w:ascii="宋体" w:eastAsia="宋体" w:hAnsi="宋体" w:cs="宋体"/>
          <w:color w:val="000000"/>
        </w:rPr>
        <w:t>中含有三个高能磷酸键</w:t>
      </w:r>
      <w:r>
        <w:rPr>
          <w:rFonts w:ascii="宋体" w:eastAsia="宋体" w:hAnsi="宋体" w:cs="宋体"/>
          <w:color w:val="000000"/>
        </w:rPr>
        <w:t xml:space="preserve">          </w:t>
      </w:r>
    </w:p>
    <w:p>
      <w:pPr>
        <w:pStyle w:val="MsoNormal"/>
        <w:spacing w:before="240" w:after="240" w:line="360" w:lineRule="auto"/>
        <w:ind w:left="420"/>
        <w:rPr>
          <w:rFonts w:ascii="Times New Roman" w:eastAsia="Times New Roman" w:hAnsi="Times New Roman" w:cs="Times New Roman"/>
        </w:rPr>
      </w:pPr>
      <w:r>
        <w:rPr>
          <w:rFonts w:ascii="宋体" w:eastAsia="宋体" w:hAnsi="宋体" w:cs="宋体"/>
          <w:color w:val="000000"/>
        </w:rPr>
        <w:t>B. ATP</w:t>
      </w:r>
      <w:r>
        <w:rPr>
          <w:rFonts w:ascii="宋体" w:eastAsia="宋体" w:hAnsi="宋体" w:cs="宋体"/>
          <w:color w:val="000000"/>
        </w:rPr>
        <w:t>可以直接为生命活动提供能量</w:t>
      </w:r>
    </w:p>
    <w:p>
      <w:pPr>
        <w:pStyle w:val="MsoNormal"/>
        <w:spacing w:before="240" w:after="240" w:line="360" w:lineRule="auto"/>
        <w:ind w:left="420"/>
        <w:rPr>
          <w:rFonts w:ascii="Times New Roman" w:eastAsia="Times New Roman" w:hAnsi="Times New Roman" w:cs="Times New Roman"/>
        </w:rPr>
      </w:pPr>
      <w:r>
        <w:rPr>
          <w:rFonts w:ascii="宋体" w:eastAsia="宋体" w:hAnsi="宋体" w:cs="宋体"/>
          <w:color w:val="000000"/>
        </w:rPr>
        <w:t>C. ATP</w:t>
      </w:r>
      <w:r>
        <w:rPr>
          <w:rFonts w:ascii="宋体" w:eastAsia="宋体" w:hAnsi="宋体" w:cs="宋体"/>
          <w:color w:val="000000"/>
        </w:rPr>
        <w:t>化学性质很稳定</w:t>
      </w:r>
      <w:r>
        <w:rPr>
          <w:rFonts w:ascii="宋体" w:eastAsia="宋体" w:hAnsi="宋体" w:cs="宋体"/>
          <w:color w:val="000000"/>
        </w:rPr>
        <w:t xml:space="preserve">                </w:t>
      </w:r>
    </w:p>
    <w:p>
      <w:pPr>
        <w:pStyle w:val="MsoNormal"/>
        <w:spacing w:before="240" w:after="240" w:line="360" w:lineRule="auto"/>
        <w:ind w:left="420"/>
        <w:rPr>
          <w:rFonts w:ascii="Times New Roman" w:eastAsia="Times New Roman" w:hAnsi="Times New Roman" w:cs="Times New Roman"/>
        </w:rPr>
      </w:pPr>
      <w:r>
        <w:rPr>
          <w:rFonts w:ascii="宋体" w:eastAsia="宋体" w:hAnsi="宋体" w:cs="宋体"/>
          <w:color w:val="000000"/>
        </w:rPr>
        <w:t>D. ATP</w:t>
      </w:r>
      <w:r>
        <w:rPr>
          <w:rFonts w:ascii="宋体" w:eastAsia="宋体" w:hAnsi="宋体" w:cs="宋体"/>
          <w:color w:val="000000"/>
        </w:rPr>
        <w:t xml:space="preserve">在细胞中含量很多 </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宋体" w:eastAsia="宋体" w:hAnsi="宋体" w:cs="宋体"/>
          <w:b/>
          <w:bCs/>
          <w:color w:val="000000"/>
        </w:rPr>
        <w:t>答案：</w:t>
      </w:r>
      <w:r>
        <w:rPr>
          <w:rFonts w:ascii="宋体" w:eastAsia="宋体" w:hAnsi="宋体" w:cs="宋体"/>
          <w:b/>
          <w:bCs/>
          <w:color w:val="000000"/>
        </w:rPr>
        <w:t>B</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10. </w:t>
      </w:r>
      <w:r>
        <w:rPr>
          <w:rFonts w:ascii="SimSun" w:eastAsia="SimSun" w:hAnsi="SimSun" w:cs="SimSun"/>
        </w:rPr>
        <w:t>某研究小组研究了某地的两个湖泊，每个湖中生活着两种相似的鱼：红褐色的和金黄色的。这一地区可能发生过洪水。他们不清楚这两种鱼之间的关系，于是作出两种如图所示的假设。以下说法中不正确的是（</w:t>
      </w:r>
      <w:r>
        <w:rPr>
          <w:rFonts w:ascii="Times New Roman" w:eastAsia="Times New Roman" w:hAnsi="Times New Roman" w:cs="Times New Roman"/>
          <w:lang w:val="en-US" w:eastAsia="en-US"/>
        </w:rPr>
        <w:t xml:space="preserve">     </w:t>
      </w:r>
      <w:r>
        <w:rPr>
          <w:rFonts w:ascii="SimSun" w:eastAsia="SimSun" w:hAnsi="SimSun" w:cs="SimSun"/>
        </w:rPr>
        <w:t>）</w:t>
      </w:r>
      <w:r>
        <w:rPr>
          <w:rFonts w:ascii="Times New Roman" w:eastAsia="Times New Roman" w:hAnsi="Times New Roman" w:cs="Times New Roman"/>
        </w:rPr>
        <w:t xml:space="preserve"> </w:t>
      </w:r>
    </w:p>
    <w:p>
      <w:pPr>
        <w:pStyle w:val="MsoNormal"/>
        <w:spacing w:before="240" w:after="240" w:line="360" w:lineRule="auto"/>
        <w:ind w:firstLine="1785"/>
        <w:rPr>
          <w:rFonts w:ascii="Times New Roman" w:eastAsia="Times New Roman" w:hAnsi="Times New Roman" w:cs="Times New Roman"/>
        </w:rPr>
      </w:pPr>
      <w:r>
        <w:rPr>
          <w:rFonts w:ascii="宋体" w:eastAsia="宋体" w:hAnsi="宋体" w:cs="宋体"/>
          <w:strike w:val="0"/>
          <w:u w:val="none"/>
          <w:lang w:val="en-US" w:eastAsia="en-US"/>
        </w:rPr>
        <w:drawing>
          <wp:inline>
            <wp:extent cx="3667125" cy="1190625"/>
            <wp:docPr id="10000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1"/>
                    </pic:cNvPicPr>
                  </pic:nvPicPr>
                  <pic:blipFill>
                    <a:blip xmlns:r="http://schemas.openxmlformats.org/officeDocument/2006/relationships" r:embed="rId5"/>
                    <a:stretch>
                      <a:fillRect/>
                    </a:stretch>
                  </pic:blipFill>
                  <pic:spPr>
                    <a:xfrm>
                      <a:off x="0" y="0"/>
                      <a:ext cx="3667125" cy="1190625"/>
                    </a:xfrm>
                    <a:prstGeom prst="rect">
                      <a:avLst/>
                    </a:prstGeom>
                  </pic:spPr>
                </pic:pic>
              </a:graphicData>
            </a:graphic>
          </wp:inline>
        </w:drawing>
      </w:r>
    </w:p>
    <w:p>
      <w:pPr>
        <w:pStyle w:val="MsoNormal"/>
        <w:spacing w:before="240" w:after="240" w:line="360" w:lineRule="auto"/>
        <w:ind w:firstLine="840"/>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w:t>
      </w:r>
      <w:r>
        <w:rPr>
          <w:rFonts w:ascii="宋体" w:eastAsia="宋体" w:hAnsi="宋体" w:cs="宋体"/>
        </w:rPr>
        <w:t xml:space="preserve">假说甲认为红褐色鱼和金黄色鱼起源于同一种灰色鱼 </w:t>
      </w:r>
    </w:p>
    <w:p>
      <w:pPr>
        <w:pStyle w:val="MsoNormal"/>
        <w:spacing w:before="240" w:after="240" w:line="360" w:lineRule="auto"/>
        <w:ind w:firstLine="840"/>
        <w:rPr>
          <w:rFonts w:ascii="Times New Roman" w:eastAsia="Times New Roman" w:hAnsi="Times New Roman" w:cs="Times New Roman"/>
        </w:rPr>
      </w:pPr>
      <w:r>
        <w:rPr>
          <w:rFonts w:ascii="宋体" w:eastAsia="宋体" w:hAnsi="宋体" w:cs="宋体"/>
          <w:lang w:val="en-US" w:eastAsia="en-US"/>
        </w:rPr>
        <w:t>B</w:t>
      </w:r>
      <w:r>
        <w:rPr>
          <w:rFonts w:ascii="宋体" w:eastAsia="宋体" w:hAnsi="宋体" w:cs="宋体"/>
        </w:rPr>
        <w:t>．</w:t>
      </w:r>
      <w:r>
        <w:rPr>
          <w:rFonts w:ascii="宋体" w:eastAsia="宋体" w:hAnsi="宋体" w:cs="宋体"/>
        </w:rPr>
        <w:t>假说乙认为湖Ⅰ中原来只有红褐色鱼，湖Ⅱ中原来只有金黄色鱼，发洪水时，这两个湖中的</w:t>
      </w:r>
    </w:p>
    <w:p>
      <w:pPr>
        <w:pStyle w:val="MsoNormal"/>
        <w:spacing w:before="240" w:after="240" w:line="360" w:lineRule="auto"/>
        <w:ind w:firstLine="1155"/>
        <w:rPr>
          <w:rFonts w:ascii="Times New Roman" w:eastAsia="Times New Roman" w:hAnsi="Times New Roman" w:cs="Times New Roman"/>
        </w:rPr>
      </w:pPr>
      <w:r>
        <w:rPr>
          <w:rFonts w:ascii="宋体" w:eastAsia="宋体" w:hAnsi="宋体" w:cs="宋体"/>
        </w:rPr>
        <w:t>鱼混杂在一起</w:t>
      </w:r>
    </w:p>
    <w:p>
      <w:pPr>
        <w:pStyle w:val="MsoNormal"/>
        <w:spacing w:before="240" w:after="240" w:line="360" w:lineRule="auto"/>
        <w:ind w:firstLine="840"/>
        <w:rPr>
          <w:rFonts w:ascii="Times New Roman" w:eastAsia="Times New Roman" w:hAnsi="Times New Roman" w:cs="Times New Roman"/>
        </w:rPr>
        <w:sectPr>
          <w:type w:val="nextPage"/>
          <w:pgSz w:w="12240" w:h="15840"/>
          <w:pgMar w:top="1440" w:right="1800" w:bottom="1440" w:left="1800" w:header="708" w:footer="708" w:gutter="0"/>
          <w:pgNumType w:start="5"/>
          <w:cols w:space="708"/>
          <w:titlePg w:val="0"/>
          <w:docGrid w:linePitch="360"/>
        </w:sectPr>
      </w:pPr>
      <w:r>
        <w:rPr>
          <w:rFonts w:ascii="宋体" w:eastAsia="宋体" w:hAnsi="宋体" w:cs="宋体"/>
          <w:lang w:val="en-US" w:eastAsia="en-US"/>
        </w:rPr>
        <w:t>C</w:t>
      </w:r>
      <w:r>
        <w:rPr>
          <w:rFonts w:ascii="宋体" w:eastAsia="宋体" w:hAnsi="宋体" w:cs="宋体"/>
        </w:rPr>
        <w:t>．</w:t>
      </w:r>
      <w:r>
        <w:rPr>
          <w:rFonts w:ascii="宋体" w:eastAsia="宋体" w:hAnsi="宋体" w:cs="宋体"/>
        </w:rPr>
        <w:t>假说甲说明湖Ⅰ和湖Ⅱ由于地理隔离的作用形成金黄色鱼和红褐色鱼</w:t>
      </w:r>
    </w:p>
    <w:p>
      <w:pPr>
        <w:pStyle w:val="MsoNormal"/>
        <w:spacing w:before="240" w:after="240" w:line="360" w:lineRule="auto"/>
        <w:ind w:firstLine="840"/>
        <w:rPr>
          <w:rFonts w:ascii="Times New Roman" w:eastAsia="Times New Roman" w:hAnsi="Times New Roman" w:cs="Times New Roman"/>
        </w:rPr>
      </w:pPr>
      <w:r>
        <w:rPr>
          <w:rFonts w:ascii="宋体" w:eastAsia="宋体" w:hAnsi="宋体" w:cs="宋体"/>
          <w:lang w:val="en-US" w:eastAsia="en-US"/>
        </w:rPr>
        <w:t>D</w:t>
      </w:r>
      <w:r>
        <w:rPr>
          <w:rFonts w:ascii="宋体" w:eastAsia="宋体" w:hAnsi="宋体" w:cs="宋体"/>
        </w:rPr>
        <w:t>．</w:t>
      </w:r>
      <w:r>
        <w:rPr>
          <w:rFonts w:ascii="宋体" w:eastAsia="宋体" w:hAnsi="宋体" w:cs="宋体"/>
        </w:rPr>
        <w:t>如果红褐色鱼和金黄色鱼不能杂交，或杂交后不能产生可育后代，说明它们不是一个物种</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C</w:t>
      </w:r>
    </w:p>
    <w:p>
      <w:pPr>
        <w:pStyle w:val="MsoNormal"/>
        <w:spacing w:after="240"/>
        <w:rPr>
          <w:rFonts w:ascii="Times New Roman" w:eastAsia="Times New Roman" w:hAnsi="Times New Roman" w:cs="Times New Roman"/>
        </w:rPr>
      </w:pPr>
      <w:r>
        <w:rPr>
          <w:rFonts w:ascii="Times New Roman" w:eastAsia="Times New Roman" w:hAnsi="Times New Roman" w:cs="Times New Roman"/>
        </w:rPr>
        <w:t xml:space="preserve">11. </w:t>
      </w:r>
      <w:r>
        <w:rPr>
          <w:rFonts w:ascii="宋体" w:eastAsia="宋体" w:hAnsi="宋体" w:cs="宋体"/>
          <w:b/>
          <w:bCs/>
        </w:rPr>
        <w:t>下列与细胞分裂有关的叙述中，你认为正确的是</w:t>
      </w:r>
    </w:p>
    <w:p>
      <w:pPr>
        <w:pStyle w:val="MsoNormal"/>
        <w:spacing w:before="240" w:after="240"/>
        <w:rPr>
          <w:rFonts w:ascii="Times New Roman" w:eastAsia="Times New Roman" w:hAnsi="Times New Roman" w:cs="Times New Roman"/>
        </w:rPr>
      </w:pPr>
      <w:r>
        <w:rPr>
          <w:rFonts w:ascii="宋体" w:eastAsia="宋体" w:hAnsi="宋体" w:cs="宋体"/>
          <w:b/>
          <w:bCs/>
          <w:lang w:val="en-US" w:eastAsia="en-US"/>
        </w:rPr>
        <w:t> A</w:t>
      </w:r>
      <w:r>
        <w:rPr>
          <w:rFonts w:ascii="宋体" w:eastAsia="宋体" w:hAnsi="宋体" w:cs="宋体"/>
          <w:b/>
          <w:bCs/>
        </w:rPr>
        <w:t>．原核细胞的增殖方式是有丝分裂</w:t>
      </w:r>
      <w:r>
        <w:rPr>
          <w:rFonts w:ascii="宋体" w:eastAsia="宋体" w:hAnsi="宋体" w:cs="宋体"/>
          <w:b/>
          <w:bCs/>
          <w:lang w:val="en-US" w:eastAsia="en-US"/>
        </w:rPr>
        <w:t>         B.</w:t>
      </w:r>
      <w:r>
        <w:rPr>
          <w:rFonts w:ascii="宋体" w:eastAsia="宋体" w:hAnsi="宋体" w:cs="宋体"/>
          <w:b/>
          <w:bCs/>
        </w:rPr>
        <w:t>植物细胞有丝分裂过程中形成赤道板</w:t>
      </w:r>
    </w:p>
    <w:p>
      <w:pPr>
        <w:pStyle w:val="MsoNormal"/>
        <w:spacing w:before="240" w:after="240"/>
        <w:rPr>
          <w:rFonts w:ascii="Times New Roman" w:eastAsia="Times New Roman" w:hAnsi="Times New Roman" w:cs="Times New Roman"/>
        </w:rPr>
      </w:pPr>
      <w:r>
        <w:rPr>
          <w:rFonts w:ascii="宋体" w:eastAsia="宋体" w:hAnsi="宋体" w:cs="宋体"/>
          <w:b/>
          <w:bCs/>
          <w:lang w:val="en-US" w:eastAsia="en-US"/>
        </w:rPr>
        <w:t> C</w:t>
      </w:r>
      <w:r>
        <w:rPr>
          <w:rFonts w:ascii="宋体" w:eastAsia="宋体" w:hAnsi="宋体" w:cs="宋体"/>
          <w:b/>
          <w:bCs/>
        </w:rPr>
        <w:t xml:space="preserve">．有丝分裂末期形成的核膜与内质网相连 </w:t>
      </w:r>
      <w:r>
        <w:rPr>
          <w:rFonts w:ascii="宋体" w:eastAsia="宋体" w:hAnsi="宋体" w:cs="宋体"/>
          <w:b/>
          <w:bCs/>
          <w:lang w:val="en-US" w:eastAsia="en-US"/>
        </w:rPr>
        <w:t>  D</w:t>
      </w:r>
      <w:r>
        <w:rPr>
          <w:rFonts w:ascii="宋体" w:eastAsia="宋体" w:hAnsi="宋体" w:cs="宋体"/>
          <w:b/>
          <w:bCs/>
        </w:rPr>
        <w:t>．无丝分裂没有</w:t>
      </w:r>
      <w:r>
        <w:rPr>
          <w:rFonts w:ascii="宋体" w:eastAsia="宋体" w:hAnsi="宋体" w:cs="宋体"/>
          <w:b/>
          <w:bCs/>
          <w:lang w:val="en-US" w:eastAsia="en-US"/>
        </w:rPr>
        <w:t>DNA</w:t>
      </w:r>
      <w:r>
        <w:rPr>
          <w:rFonts w:ascii="宋体" w:eastAsia="宋体" w:hAnsi="宋体" w:cs="宋体"/>
          <w:b/>
          <w:bCs/>
        </w:rPr>
        <w:t>分子的复制</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rPr>
          <w:rFonts w:ascii="Times New Roman" w:eastAsia="Times New Roman" w:hAnsi="Times New Roman" w:cs="Times New Roman"/>
        </w:rPr>
      </w:pPr>
      <w:r>
        <w:rPr>
          <w:rFonts w:ascii="Times New Roman" w:eastAsia="Times New Roman" w:hAnsi="Times New Roman" w:cs="Times New Roman"/>
          <w:lang w:val="en-US" w:eastAsia="en-US"/>
        </w:rPr>
        <w:t>C</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12. </w:t>
      </w:r>
      <w:r>
        <w:rPr>
          <w:rFonts w:ascii="宋体" w:eastAsia="宋体" w:hAnsi="宋体" w:cs="宋体"/>
          <w:sz w:val="22"/>
          <w:szCs w:val="22"/>
        </w:rPr>
        <w:t>下列各图分别表示两个自变量对光合速率的影响情况，除各图中所示的因素外，其他环境因素均控制在最适范围，下列分析错误的是（    ）</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5410200" cy="1219200"/>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5410200" cy="1219200"/>
                    </a:xfrm>
                    <a:prstGeom prst="rect">
                      <a:avLst/>
                    </a:prstGeom>
                  </pic:spPr>
                </pic:pic>
              </a:graphicData>
            </a:graphic>
          </wp:inline>
        </w:drawing>
      </w:r>
    </w:p>
    <w:p>
      <w:pPr>
        <w:widowControl w:val="0"/>
        <w:spacing w:before="0" w:after="0" w:line="360" w:lineRule="auto"/>
        <w:ind w:left="0" w:right="0" w:firstLine="220"/>
        <w:jc w:val="both"/>
        <w:rPr>
          <w:rFonts w:ascii="Times New Roman" w:eastAsia="Times New Roman" w:hAnsi="Times New Roman" w:cs="Times New Roman"/>
          <w:sz w:val="22"/>
          <w:szCs w:val="22"/>
        </w:rPr>
      </w:pPr>
      <w:r>
        <w:rPr>
          <w:rFonts w:ascii="宋体" w:eastAsia="宋体" w:hAnsi="宋体" w:cs="宋体"/>
          <w:sz w:val="22"/>
          <w:szCs w:val="22"/>
        </w:rPr>
        <w:t>A．甲图中a点的限制因素可能是叶绿素中酶的数量</w:t>
      </w:r>
    </w:p>
    <w:p>
      <w:pPr>
        <w:widowControl w:val="0"/>
        <w:spacing w:before="0" w:after="0" w:line="360" w:lineRule="auto"/>
        <w:ind w:left="0" w:right="0" w:firstLine="220"/>
        <w:jc w:val="both"/>
        <w:rPr>
          <w:rFonts w:ascii="Times New Roman" w:eastAsia="Times New Roman" w:hAnsi="Times New Roman" w:cs="Times New Roman"/>
          <w:sz w:val="22"/>
          <w:szCs w:val="22"/>
        </w:rPr>
      </w:pPr>
      <w:r>
        <w:rPr>
          <w:rFonts w:ascii="宋体" w:eastAsia="宋体" w:hAnsi="宋体" w:cs="宋体"/>
          <w:sz w:val="22"/>
          <w:szCs w:val="22"/>
        </w:rPr>
        <w:t>B．乙图中d点比c点在相同时间内叶肉细胞中生成C5的速率快</w:t>
      </w:r>
    </w:p>
    <w:p>
      <w:pPr>
        <w:widowControl w:val="0"/>
        <w:spacing w:before="0" w:after="0" w:line="360" w:lineRule="auto"/>
        <w:ind w:left="0" w:right="0" w:firstLine="220"/>
        <w:jc w:val="both"/>
        <w:rPr>
          <w:rFonts w:ascii="Times New Roman" w:eastAsia="Times New Roman" w:hAnsi="Times New Roman" w:cs="Times New Roman"/>
          <w:sz w:val="22"/>
          <w:szCs w:val="22"/>
        </w:rPr>
      </w:pPr>
      <w:r>
        <w:rPr>
          <w:rFonts w:ascii="宋体" w:eastAsia="宋体" w:hAnsi="宋体" w:cs="宋体"/>
          <w:sz w:val="22"/>
          <w:szCs w:val="22"/>
        </w:rPr>
        <w:t>C．M</w:t>
      </w:r>
      <w:r>
        <w:rPr>
          <w:rFonts w:ascii="宋体" w:eastAsia="宋体" w:hAnsi="宋体" w:cs="宋体"/>
          <w:sz w:val="22"/>
          <w:szCs w:val="22"/>
        </w:rPr>
        <w:t>、</w:t>
      </w:r>
      <w:r>
        <w:rPr>
          <w:rFonts w:ascii="宋体" w:eastAsia="宋体" w:hAnsi="宋体" w:cs="宋体"/>
          <w:sz w:val="22"/>
          <w:szCs w:val="22"/>
        </w:rPr>
        <w:t>N点的限制因素是光照强度，P点的限制因素是温度</w:t>
      </w:r>
    </w:p>
    <w:p>
      <w:pPr>
        <w:widowControl w:val="0"/>
        <w:spacing w:before="0" w:after="0" w:line="360" w:lineRule="auto"/>
        <w:ind w:left="0" w:right="0" w:firstLine="220"/>
        <w:jc w:val="both"/>
        <w:rPr>
          <w:rFonts w:ascii="Times New Roman" w:eastAsia="Times New Roman" w:hAnsi="Times New Roman" w:cs="Times New Roman"/>
          <w:sz w:val="22"/>
          <w:szCs w:val="22"/>
        </w:rPr>
      </w:pPr>
      <w:r>
        <w:rPr>
          <w:rFonts w:ascii="宋体" w:eastAsia="宋体" w:hAnsi="宋体" w:cs="宋体"/>
          <w:sz w:val="22"/>
          <w:szCs w:val="22"/>
        </w:rPr>
        <w:t>D．丙图中，随着温度的升高，曲线的走势将稳定不变</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13. </w:t>
      </w:r>
      <w:r>
        <w:rPr>
          <w:rFonts w:ascii="宋体" w:eastAsia="宋体" w:hAnsi="宋体" w:cs="宋体"/>
        </w:rPr>
        <w:t>下列有关种群增长曲线的叙述，错误的是</w:t>
      </w:r>
    </w:p>
    <w:p>
      <w:pPr>
        <w:widowControl w:val="0"/>
        <w:spacing w:before="0" w:after="0"/>
        <w:ind w:left="0" w:right="0"/>
        <w:jc w:val="both"/>
        <w:rPr>
          <w:rFonts w:ascii="Times New Roman" w:eastAsia="Times New Roman" w:hAnsi="Times New Roman" w:cs="Times New Roman"/>
        </w:rPr>
      </w:pPr>
      <w:r>
        <w:rPr>
          <w:rFonts w:ascii="宋体" w:eastAsia="宋体" w:hAnsi="宋体" w:cs="宋体"/>
        </w:rPr>
        <w:t xml:space="preserve">    </w:t>
      </w:r>
      <w:r>
        <w:t>A</w:t>
      </w:r>
      <w:r>
        <w:rPr>
          <w:rFonts w:ascii="宋体" w:eastAsia="宋体" w:hAnsi="宋体" w:cs="宋体"/>
        </w:rPr>
        <w:t>．自然界中的种群增长曲线一般呈</w:t>
      </w:r>
      <w:r>
        <w:t>“</w:t>
      </w:r>
      <w:r>
        <w:t>S</w:t>
      </w:r>
      <w:r>
        <w:t>”</w:t>
      </w:r>
      <w:r>
        <w:rPr>
          <w:rFonts w:ascii="宋体" w:eastAsia="宋体" w:hAnsi="宋体" w:cs="宋体"/>
        </w:rPr>
        <w:t>型</w:t>
      </w:r>
    </w:p>
    <w:p>
      <w:pPr>
        <w:widowControl w:val="0"/>
        <w:spacing w:before="0" w:after="0"/>
        <w:ind w:left="0" w:right="0"/>
        <w:jc w:val="both"/>
        <w:rPr>
          <w:rFonts w:ascii="Times New Roman" w:eastAsia="Times New Roman" w:hAnsi="Times New Roman" w:cs="Times New Roman"/>
        </w:rPr>
      </w:pPr>
      <w:r>
        <w:rPr>
          <w:rFonts w:ascii="宋体" w:eastAsia="宋体" w:hAnsi="宋体" w:cs="宋体"/>
        </w:rPr>
        <w:t xml:space="preserve">    </w:t>
      </w:r>
      <w:r>
        <w:t>B</w:t>
      </w:r>
      <w:r>
        <w:rPr>
          <w:rFonts w:ascii="宋体" w:eastAsia="宋体" w:hAnsi="宋体" w:cs="宋体"/>
        </w:rPr>
        <w:t>．种群迁入新的环境初期可能呈</w:t>
      </w:r>
      <w:r>
        <w:t>“</w:t>
      </w:r>
      <w:r>
        <w:t>J</w:t>
      </w:r>
      <w:r>
        <w:t>”</w:t>
      </w:r>
      <w:r>
        <w:rPr>
          <w:rFonts w:ascii="宋体" w:eastAsia="宋体" w:hAnsi="宋体" w:cs="宋体"/>
        </w:rPr>
        <w:t>型增长</w:t>
      </w:r>
    </w:p>
    <w:p>
      <w:pPr>
        <w:widowControl w:val="0"/>
        <w:spacing w:before="0" w:after="0"/>
        <w:ind w:left="0" w:right="0"/>
        <w:jc w:val="both"/>
        <w:rPr>
          <w:rFonts w:ascii="Times New Roman" w:eastAsia="Times New Roman" w:hAnsi="Times New Roman" w:cs="Times New Roman"/>
        </w:rPr>
        <w:sectPr>
          <w:type w:val="nextPage"/>
          <w:pgSz w:w="12240" w:h="15840"/>
          <w:pgMar w:top="1440" w:right="1800" w:bottom="1440" w:left="1800" w:header="708" w:footer="708" w:gutter="0"/>
          <w:pgNumType w:start="6"/>
          <w:cols w:space="708"/>
          <w:titlePg w:val="0"/>
          <w:docGrid w:linePitch="360"/>
        </w:sectPr>
      </w:pPr>
      <w:r>
        <w:rPr>
          <w:rFonts w:ascii="宋体" w:eastAsia="宋体" w:hAnsi="宋体" w:cs="宋体"/>
        </w:rPr>
        <w:t xml:space="preserve">    </w:t>
      </w:r>
      <w:r>
        <w:t>C</w:t>
      </w:r>
      <w:r>
        <w:rPr>
          <w:rFonts w:ascii="宋体" w:eastAsia="宋体" w:hAnsi="宋体" w:cs="宋体"/>
        </w:rPr>
        <w:t>．种群增长的开始阶段基本不受自身密度的影响</w:t>
      </w:r>
    </w:p>
    <w:p>
      <w:pPr>
        <w:widowControl w:val="0"/>
        <w:spacing w:before="0" w:after="0"/>
        <w:ind w:left="0" w:right="0"/>
        <w:jc w:val="both"/>
        <w:rPr>
          <w:rFonts w:ascii="Times New Roman" w:eastAsia="Times New Roman" w:hAnsi="Times New Roman" w:cs="Times New Roman"/>
        </w:rPr>
      </w:pPr>
      <w:r>
        <w:rPr>
          <w:rFonts w:ascii="宋体" w:eastAsia="宋体" w:hAnsi="宋体" w:cs="宋体"/>
        </w:rPr>
        <w:t xml:space="preserve">    </w:t>
      </w:r>
      <w:r>
        <w:t>D</w:t>
      </w:r>
      <w:r>
        <w:rPr>
          <w:rFonts w:ascii="宋体" w:eastAsia="宋体" w:hAnsi="宋体" w:cs="宋体"/>
        </w:rPr>
        <w:t>．两种曲线都是在</w:t>
      </w:r>
      <w:r>
        <w:t>K</w:t>
      </w:r>
      <w:r>
        <w:rPr>
          <w:rFonts w:ascii="宋体" w:eastAsia="宋体" w:hAnsi="宋体" w:cs="宋体"/>
        </w:rPr>
        <w:t>／</w:t>
      </w:r>
      <w:r>
        <w:t>2</w:t>
      </w:r>
      <w:r>
        <w:rPr>
          <w:rFonts w:ascii="宋体" w:eastAsia="宋体" w:hAnsi="宋体" w:cs="宋体"/>
        </w:rPr>
        <w:t>时种群数量增长最快</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14. </w:t>
      </w:r>
      <w:r>
        <w:rPr>
          <w:rFonts w:ascii="SimSun" w:eastAsia="SimSun" w:hAnsi="SimSun" w:cs="SimSun"/>
          <w:sz w:val="22"/>
          <w:szCs w:val="22"/>
        </w:rPr>
        <w:t>已知甲、乙两种培养基成分不同，但均适合某种细菌生长。现从甲培养基中取少量处于对数期的这种细菌，接种在新鲜的乙培养基上</w:t>
      </w:r>
      <w:r>
        <w:rPr>
          <w:rFonts w:ascii="Times New Roman" w:eastAsia="Times New Roman" w:hAnsi="Times New Roman" w:cs="Times New Roman"/>
          <w:sz w:val="22"/>
          <w:szCs w:val="22"/>
        </w:rPr>
        <w:t>(</w:t>
      </w:r>
      <w:r>
        <w:rPr>
          <w:rFonts w:ascii="SimSun" w:eastAsia="SimSun" w:hAnsi="SimSun" w:cs="SimSun"/>
          <w:sz w:val="22"/>
          <w:szCs w:val="22"/>
        </w:rPr>
        <w:t>假设培养条件适宜且无杂菌污染</w:t>
      </w:r>
      <w:r>
        <w:rPr>
          <w:rFonts w:ascii="Times New Roman" w:eastAsia="Times New Roman" w:hAnsi="Times New Roman" w:cs="Times New Roman"/>
          <w:sz w:val="22"/>
          <w:szCs w:val="22"/>
        </w:rPr>
        <w:t>)</w:t>
      </w:r>
      <w:r>
        <w:rPr>
          <w:rFonts w:ascii="SimSun" w:eastAsia="SimSun" w:hAnsi="SimSun" w:cs="SimSun"/>
          <w:sz w:val="22"/>
          <w:szCs w:val="22"/>
        </w:rPr>
        <w:t>，则在接种后的最初一段时间内，细菌在乙培养基上的状况与在甲培养基上的状况相比，不发生改变的是</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xml:space="preserve">  A.细胞分裂速度    </w:t>
      </w:r>
      <w:r>
        <w:rPr>
          <w:rFonts w:ascii="宋体" w:eastAsia="宋体" w:hAnsi="宋体" w:cs="宋体"/>
          <w:sz w:val="22"/>
          <w:szCs w:val="22"/>
        </w:rPr>
        <w:tab/>
      </w:r>
      <w:r>
        <w:rPr>
          <w:rFonts w:ascii="宋体" w:eastAsia="宋体" w:hAnsi="宋体" w:cs="宋体"/>
          <w:sz w:val="22"/>
          <w:szCs w:val="22"/>
        </w:rPr>
        <w:t xml:space="preserve">B.诱导酶的种类  </w:t>
      </w:r>
      <w:r>
        <w:rPr>
          <w:rFonts w:ascii="宋体" w:eastAsia="宋体" w:hAnsi="宋体" w:cs="宋体"/>
          <w:sz w:val="22"/>
          <w:szCs w:val="22"/>
        </w:rPr>
        <w:tab/>
      </w:r>
      <w:r>
        <w:rPr>
          <w:rFonts w:ascii="宋体" w:eastAsia="宋体" w:hAnsi="宋体" w:cs="宋体"/>
          <w:sz w:val="22"/>
          <w:szCs w:val="22"/>
        </w:rPr>
        <w:t xml:space="preserve"> C.组成酶的种类</w:t>
      </w:r>
      <w:r>
        <w:rPr>
          <w:rFonts w:ascii="宋体" w:eastAsia="宋体" w:hAnsi="宋体" w:cs="宋体"/>
          <w:sz w:val="22"/>
          <w:szCs w:val="22"/>
        </w:rPr>
        <w:tab/>
      </w:r>
      <w:r>
        <w:rPr>
          <w:rFonts w:ascii="宋体" w:eastAsia="宋体" w:hAnsi="宋体" w:cs="宋体"/>
          <w:sz w:val="22"/>
          <w:szCs w:val="22"/>
        </w:rPr>
        <w:t>    D.细胞的大小</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C</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15. </w:t>
      </w:r>
      <w:r>
        <w:rPr>
          <w:rFonts w:ascii="宋体" w:eastAsia="宋体" w:hAnsi="宋体" w:cs="宋体"/>
          <w:sz w:val="22"/>
          <w:szCs w:val="22"/>
        </w:rPr>
        <w:t>使用某种农药来防治某种害虫，开始效果很显著，但长期使用后，效果就越来越差，原因是（　　）</w:t>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A</w:t>
      </w:r>
      <w:r>
        <w:rPr>
          <w:rFonts w:ascii="宋体" w:eastAsia="宋体" w:hAnsi="宋体" w:cs="宋体"/>
          <w:sz w:val="22"/>
          <w:szCs w:val="22"/>
        </w:rPr>
        <w:t>．害虫对农药进行了定向选择</w:t>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B</w:t>
      </w:r>
      <w:r>
        <w:rPr>
          <w:rFonts w:ascii="宋体" w:eastAsia="宋体" w:hAnsi="宋体" w:cs="宋体"/>
          <w:sz w:val="22"/>
          <w:szCs w:val="22"/>
        </w:rPr>
        <w:t>．害虫对农药产生了定向变异</w:t>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C</w:t>
      </w:r>
      <w:r>
        <w:rPr>
          <w:rFonts w:ascii="宋体" w:eastAsia="宋体" w:hAnsi="宋体" w:cs="宋体"/>
          <w:sz w:val="22"/>
          <w:szCs w:val="22"/>
        </w:rPr>
        <w:t>．害虫对农药产生了隔离</w:t>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D</w:t>
      </w:r>
      <w:r>
        <w:rPr>
          <w:rFonts w:ascii="宋体" w:eastAsia="宋体" w:hAnsi="宋体" w:cs="宋体"/>
          <w:sz w:val="22"/>
          <w:szCs w:val="22"/>
        </w:rPr>
        <w:t>．农药对害虫的抗药性变异进行了定向选择</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ind w:left="0" w:right="0"/>
        <w:jc w:val="both"/>
        <w:rPr>
          <w:rFonts w:ascii="Times New Roman" w:eastAsia="Times New Roman" w:hAnsi="Times New Roman" w:cs="Times New Roman"/>
        </w:rPr>
      </w:pPr>
      <w:r>
        <w:rPr>
          <w:rFonts w:ascii="Calibri" w:eastAsia="Calibri" w:hAnsi="Calibri" w:cs="Calibri"/>
          <w:sz w:val="22"/>
          <w:szCs w:val="22"/>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【考点】生物进化与生物多样性的形成．</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【分析】害虫产生抗药性的原因并不是由外因引起的，而是内在的遗传与变异引起的；在未使用农药前，某些害虫个体已具有这种抗药性，农药对害虫的抗药性进行了定向选择．</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【解答】解：</w:t>
      </w:r>
      <w:r>
        <w:rPr>
          <w:rFonts w:ascii="Calibri" w:eastAsia="Calibri" w:hAnsi="Calibri" w:cs="Calibri"/>
          <w:sz w:val="22"/>
          <w:szCs w:val="22"/>
        </w:rPr>
        <w:t>A</w:t>
      </w:r>
      <w:r>
        <w:rPr>
          <w:rFonts w:ascii="宋体" w:eastAsia="宋体" w:hAnsi="宋体" w:cs="宋体"/>
          <w:sz w:val="22"/>
          <w:szCs w:val="22"/>
        </w:rPr>
        <w:t>、农药对害虫的抗药性进行了定向选择，</w:t>
      </w:r>
      <w:r>
        <w:rPr>
          <w:rFonts w:ascii="Calibri" w:eastAsia="Calibri" w:hAnsi="Calibri" w:cs="Calibri"/>
          <w:sz w:val="22"/>
          <w:szCs w:val="22"/>
        </w:rPr>
        <w:t>A</w:t>
      </w:r>
      <w:r>
        <w:rPr>
          <w:rFonts w:ascii="宋体" w:eastAsia="宋体" w:hAnsi="宋体" w:cs="宋体"/>
          <w:sz w:val="22"/>
          <w:szCs w:val="22"/>
        </w:rPr>
        <w:t>错误；</w:t>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B</w:t>
      </w:r>
      <w:r>
        <w:rPr>
          <w:rFonts w:ascii="宋体" w:eastAsia="宋体" w:hAnsi="宋体" w:cs="宋体"/>
          <w:sz w:val="22"/>
          <w:szCs w:val="22"/>
        </w:rPr>
        <w:t>、害虫产生抗药性的原因并不是由外因引起的，而是内在的遗传与变异引起的，</w:t>
      </w:r>
      <w:r>
        <w:rPr>
          <w:rFonts w:ascii="Calibri" w:eastAsia="Calibri" w:hAnsi="Calibri" w:cs="Calibri"/>
          <w:sz w:val="22"/>
          <w:szCs w:val="22"/>
        </w:rPr>
        <w:t>B</w:t>
      </w:r>
      <w:r>
        <w:rPr>
          <w:rFonts w:ascii="宋体" w:eastAsia="宋体" w:hAnsi="宋体" w:cs="宋体"/>
          <w:sz w:val="22"/>
          <w:szCs w:val="22"/>
        </w:rPr>
        <w:t>错误；</w:t>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C</w:t>
      </w:r>
      <w:r>
        <w:rPr>
          <w:rFonts w:ascii="宋体" w:eastAsia="宋体" w:hAnsi="宋体" w:cs="宋体"/>
          <w:sz w:val="22"/>
          <w:szCs w:val="22"/>
        </w:rPr>
        <w:t>、使用某种农药来防治某种害虫，开始效果很显著，但长期使用以后，效果越来越差，原因是农药对害虫进行了选择，剩下的绝大多数都具有抗药性，</w:t>
      </w:r>
      <w:r>
        <w:rPr>
          <w:rFonts w:ascii="Calibri" w:eastAsia="Calibri" w:hAnsi="Calibri" w:cs="Calibri"/>
          <w:sz w:val="22"/>
          <w:szCs w:val="22"/>
        </w:rPr>
        <w:t>C</w:t>
      </w:r>
      <w:r>
        <w:rPr>
          <w:rFonts w:ascii="宋体" w:eastAsia="宋体" w:hAnsi="宋体" w:cs="宋体"/>
          <w:sz w:val="22"/>
          <w:szCs w:val="22"/>
        </w:rPr>
        <w:t>错误；</w:t>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D</w:t>
      </w:r>
      <w:r>
        <w:rPr>
          <w:rFonts w:ascii="宋体" w:eastAsia="宋体" w:hAnsi="宋体" w:cs="宋体"/>
          <w:sz w:val="22"/>
          <w:szCs w:val="22"/>
        </w:rPr>
        <w:t>、农药对害虫的抗药性变异进行了定向选择，</w:t>
      </w:r>
      <w:r>
        <w:rPr>
          <w:rFonts w:ascii="Calibri" w:eastAsia="Calibri" w:hAnsi="Calibri" w:cs="Calibri"/>
          <w:sz w:val="22"/>
          <w:szCs w:val="22"/>
        </w:rPr>
        <w:t>D</w:t>
      </w:r>
      <w:r>
        <w:rPr>
          <w:rFonts w:ascii="宋体" w:eastAsia="宋体" w:hAnsi="宋体" w:cs="宋体"/>
          <w:sz w:val="22"/>
          <w:szCs w:val="22"/>
        </w:rPr>
        <w:t>正确．</w:t>
      </w:r>
    </w:p>
    <w:p>
      <w:pPr>
        <w:widowControl w:val="0"/>
        <w:spacing w:before="0" w:after="0" w:line="360" w:lineRule="auto"/>
        <w:ind w:left="0" w:right="0"/>
        <w:jc w:val="both"/>
        <w:rPr>
          <w:rFonts w:ascii="Times New Roman" w:eastAsia="Times New Roman" w:hAnsi="Times New Roman" w:cs="Times New Roman"/>
          <w:sz w:val="22"/>
          <w:szCs w:val="22"/>
        </w:rPr>
        <w:sectPr>
          <w:type w:val="nextPage"/>
          <w:pgSz w:w="12240" w:h="15840"/>
          <w:pgMar w:top="1440" w:right="1800" w:bottom="1440" w:left="1800" w:header="708" w:footer="708" w:gutter="0"/>
          <w:pgNumType w:start="7"/>
          <w:cols w:space="708"/>
          <w:titlePg w:val="0"/>
          <w:docGrid w:linePitch="360"/>
        </w:sectPr>
      </w:pPr>
      <w:r>
        <w:rPr>
          <w:rFonts w:ascii="宋体" w:eastAsia="宋体" w:hAnsi="宋体" w:cs="宋体"/>
          <w:sz w:val="22"/>
          <w:szCs w:val="22"/>
        </w:rPr>
        <w:t>故选：</w:t>
      </w:r>
      <w:r>
        <w:rPr>
          <w:rFonts w:ascii="Calibri" w:eastAsia="Calibri" w:hAnsi="Calibri" w:cs="Calibri"/>
          <w:sz w:val="22"/>
          <w:szCs w:val="22"/>
        </w:rPr>
        <w:t>D</w:t>
      </w:r>
      <w:r>
        <w:rPr>
          <w:rFonts w:ascii="宋体" w:eastAsia="宋体" w:hAnsi="宋体" w:cs="宋体"/>
          <w:sz w:val="22"/>
          <w:szCs w:val="22"/>
        </w:rPr>
        <w:t>．</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 </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16. </w:t>
      </w:r>
      <w:r>
        <w:rPr>
          <w:rFonts w:ascii="宋体" w:eastAsia="宋体" w:hAnsi="宋体" w:cs="宋体"/>
          <w:sz w:val="22"/>
          <w:szCs w:val="22"/>
        </w:rPr>
        <w:t>下列有关限制性</w:t>
      </w:r>
      <w:r>
        <w:rPr>
          <w:rFonts w:ascii="宋体" w:eastAsia="宋体" w:hAnsi="宋体" w:cs="宋体"/>
          <w:sz w:val="22"/>
          <w:szCs w:val="22"/>
        </w:rPr>
        <w:t>核酸</w:t>
      </w:r>
      <w:r>
        <w:rPr>
          <w:rFonts w:ascii="宋体" w:eastAsia="宋体" w:hAnsi="宋体" w:cs="宋体"/>
          <w:sz w:val="22"/>
          <w:szCs w:val="22"/>
        </w:rPr>
        <w:t>内切酶的叙述，不正确的是</w:t>
      </w:r>
      <w:r>
        <w:rPr>
          <w:rFonts w:ascii="宋体" w:eastAsia="宋体" w:hAnsi="宋体" w:cs="宋体"/>
          <w:sz w:val="22"/>
          <w:szCs w:val="22"/>
        </w:rPr>
        <w:tab/>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A</w:t>
      </w:r>
      <w:r>
        <w:rPr>
          <w:rFonts w:ascii="宋体" w:eastAsia="宋体" w:hAnsi="宋体" w:cs="宋体"/>
          <w:sz w:val="22"/>
          <w:szCs w:val="22"/>
        </w:rPr>
        <w:t>．从反应类型看，限制性</w:t>
      </w:r>
      <w:r>
        <w:rPr>
          <w:rFonts w:ascii="宋体" w:eastAsia="宋体" w:hAnsi="宋体" w:cs="宋体"/>
          <w:sz w:val="22"/>
          <w:szCs w:val="22"/>
        </w:rPr>
        <w:t>核酸</w:t>
      </w:r>
      <w:r>
        <w:rPr>
          <w:rFonts w:ascii="宋体" w:eastAsia="宋体" w:hAnsi="宋体" w:cs="宋体"/>
          <w:sz w:val="22"/>
          <w:szCs w:val="22"/>
        </w:rPr>
        <w:t>内切酶催化的是一种水解反应</w:t>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B</w:t>
      </w:r>
      <w:r>
        <w:rPr>
          <w:rFonts w:ascii="宋体" w:eastAsia="宋体" w:hAnsi="宋体" w:cs="宋体"/>
          <w:sz w:val="22"/>
          <w:szCs w:val="22"/>
        </w:rPr>
        <w:t>．限制性内切酶的活性受温度、</w:t>
      </w:r>
      <w:r>
        <w:rPr>
          <w:rFonts w:ascii="Calibri" w:eastAsia="Calibri" w:hAnsi="Calibri" w:cs="Calibri"/>
          <w:sz w:val="22"/>
          <w:szCs w:val="22"/>
        </w:rPr>
        <w:t>pH</w:t>
      </w:r>
      <w:r>
        <w:rPr>
          <w:rFonts w:ascii="宋体" w:eastAsia="宋体" w:hAnsi="宋体" w:cs="宋体"/>
          <w:sz w:val="22"/>
          <w:szCs w:val="22"/>
        </w:rPr>
        <w:t>的影响</w:t>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C</w:t>
      </w:r>
      <w:r>
        <w:rPr>
          <w:rFonts w:ascii="宋体" w:eastAsia="宋体" w:hAnsi="宋体" w:cs="宋体"/>
          <w:sz w:val="22"/>
          <w:szCs w:val="22"/>
        </w:rPr>
        <w:t>．一种限制性内切酶只能识别双链</w:t>
      </w:r>
      <w:r>
        <w:rPr>
          <w:rFonts w:ascii="Calibri" w:eastAsia="Calibri" w:hAnsi="Calibri" w:cs="Calibri"/>
          <w:sz w:val="22"/>
          <w:szCs w:val="22"/>
        </w:rPr>
        <w:t>DNA</w:t>
      </w:r>
      <w:r>
        <w:rPr>
          <w:rFonts w:ascii="宋体" w:eastAsia="宋体" w:hAnsi="宋体" w:cs="宋体"/>
          <w:sz w:val="22"/>
          <w:szCs w:val="22"/>
        </w:rPr>
        <w:t>中某种特定的脱氧核苷酸序列</w:t>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D</w:t>
      </w:r>
      <w:r>
        <w:rPr>
          <w:rFonts w:ascii="宋体" w:eastAsia="宋体" w:hAnsi="宋体" w:cs="宋体"/>
          <w:sz w:val="22"/>
          <w:szCs w:val="22"/>
        </w:rPr>
        <w:t>．限制性内切酶识别序列越短，则该序列在</w:t>
      </w:r>
      <w:r>
        <w:rPr>
          <w:rFonts w:ascii="Calibri" w:eastAsia="Calibri" w:hAnsi="Calibri" w:cs="Calibri"/>
          <w:sz w:val="22"/>
          <w:szCs w:val="22"/>
        </w:rPr>
        <w:t>DNA</w:t>
      </w:r>
      <w:r>
        <w:rPr>
          <w:rFonts w:ascii="宋体" w:eastAsia="宋体" w:hAnsi="宋体" w:cs="宋体"/>
          <w:sz w:val="22"/>
          <w:szCs w:val="22"/>
        </w:rPr>
        <w:t>中出现的几率就越小</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17. </w:t>
      </w:r>
      <w:r>
        <w:rPr>
          <w:rFonts w:ascii="宋体" w:eastAsia="宋体" w:hAnsi="宋体" w:cs="宋体"/>
          <w:sz w:val="22"/>
          <w:szCs w:val="22"/>
        </w:rPr>
        <w:t>关于人体内的衰老细胞特征的叙述不正确的是（　　）</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A．色素积累减少</w:t>
      </w:r>
      <w:r>
        <w:rPr>
          <w:rFonts w:ascii="宋体" w:eastAsia="宋体" w:hAnsi="宋体" w:cs="宋体"/>
          <w:sz w:val="22"/>
          <w:szCs w:val="22"/>
        </w:rPr>
        <w:tab/>
      </w:r>
      <w:r>
        <w:rPr>
          <w:rFonts w:ascii="宋体" w:eastAsia="宋体" w:hAnsi="宋体" w:cs="宋体"/>
          <w:sz w:val="22"/>
          <w:szCs w:val="22"/>
        </w:rPr>
        <w:t>B．细胞的呼吸速率减慢</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C．多种酶的活性降低</w:t>
      </w:r>
      <w:r>
        <w:rPr>
          <w:rFonts w:ascii="宋体" w:eastAsia="宋体" w:hAnsi="宋体" w:cs="宋体"/>
          <w:sz w:val="22"/>
          <w:szCs w:val="22"/>
        </w:rPr>
        <w:tab/>
      </w:r>
      <w:r>
        <w:rPr>
          <w:rFonts w:ascii="宋体" w:eastAsia="宋体" w:hAnsi="宋体" w:cs="宋体"/>
          <w:sz w:val="22"/>
          <w:szCs w:val="22"/>
        </w:rPr>
        <w:t>D．水分减少，细胞萎缩</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A</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【考点】55：衰老细胞的主要特征．</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分析】衰老细胞的特征：（1）细胞内水分减少，细胞萎缩，体积变小，但细胞核体积增大，染色质固缩，染色加深；（2）细胞膜通透性功能改变，物质运输功能降低；（3）细胞色素随着细胞衰老逐渐累积；（4）有些酶的活性降低；（5）呼吸速度减慢，新陈代谢减慢．</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【解答】解：A、细胞衰老后，色素逐渐积累，A错误；</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B、细胞衰老后，细胞的呼吸速率减慢，B正确；</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C、细胞衰老后，多种酶的活性降低，C正确；</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D、细胞衰老后，水分减少，细胞萎缩，D正确．</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故选：A．</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18. </w:t>
      </w:r>
      <w:r>
        <w:rPr>
          <w:rFonts w:ascii="宋体" w:eastAsia="宋体" w:hAnsi="宋体" w:cs="宋体"/>
          <w:sz w:val="22"/>
          <w:szCs w:val="22"/>
        </w:rPr>
        <w:t>关于生物进化的叙述，正确的是</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A. 生物受环境影响产生的变异都是不能遗传的</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B. 亲本的随机交配对种群的基因频率没有影响</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 在环境条件保持稳定的前提下，种群基因频率不会发生变化</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D. 物种之间的共同进化都是通过物种之间的生存斗争实现的</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sectPr>
          <w:type w:val="nextPage"/>
          <w:pgSz w:w="12240" w:h="15840"/>
          <w:pgMar w:top="1440" w:right="1800" w:bottom="1440" w:left="1800" w:header="708" w:footer="708" w:gutter="0"/>
          <w:pgNumType w:start="8"/>
          <w:cols w:space="708"/>
          <w:titlePg w:val="0"/>
          <w:docGrid w:linePitch="360"/>
        </w:sectPr>
      </w:pPr>
      <w:r>
        <w:rPr>
          <w:rFonts w:ascii="宋体" w:eastAsia="宋体" w:hAnsi="宋体" w:cs="宋体"/>
          <w:sz w:val="22"/>
          <w:szCs w:val="22"/>
        </w:rPr>
        <w:t>B</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【分析】</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生物的变异可分为不可遗传变异和可遗传变异，引起生物变异主要有</w:t>
      </w:r>
      <w:r>
        <w:rPr>
          <w:rFonts w:ascii="宋体" w:eastAsia="宋体" w:hAnsi="宋体" w:cs="宋体"/>
          <w:sz w:val="22"/>
          <w:szCs w:val="22"/>
        </w:rPr>
        <w:t>3</w:t>
      </w:r>
      <w:r>
        <w:rPr>
          <w:rFonts w:ascii="宋体" w:eastAsia="宋体" w:hAnsi="宋体" w:cs="宋体"/>
          <w:sz w:val="22"/>
          <w:szCs w:val="22"/>
        </w:rPr>
        <w:t>种原因：一是环境条件的改变引起的，不涉及遗传物质的变化，属不可遗传变异；二是在强烈的物理、化学因素影响下发生的基因突变和染色体畸变；三是有性生殖过程中形成配子时发生的基因重组，后两种变异属可遗传变异。影响种群基因频率变化的因素有突变、自然选择、迁入和迁出、遗传漂变等</w:t>
      </w:r>
      <w:r>
        <w:rPr>
          <w:rFonts w:ascii="宋体" w:eastAsia="宋体" w:hAnsi="宋体" w:cs="宋体"/>
          <w:sz w:val="22"/>
          <w:szCs w:val="22"/>
        </w:rPr>
        <w:t>。</w:t>
      </w:r>
      <w:r>
        <w:rPr>
          <w:rFonts w:ascii="宋体" w:eastAsia="宋体" w:hAnsi="宋体" w:cs="宋体"/>
          <w:sz w:val="22"/>
          <w:szCs w:val="22"/>
        </w:rPr>
        <w:t>共同进化是不同物种之间、生物与无机环境之间在相互影响中不断进化和和发展的过程，进化导致生物多样性</w:t>
      </w:r>
      <w:r>
        <w:rPr>
          <w:rFonts w:ascii="宋体" w:eastAsia="宋体" w:hAnsi="宋体" w:cs="宋体"/>
          <w:sz w:val="22"/>
          <w:szCs w:val="22"/>
        </w:rPr>
        <w:t>。</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【详解】A.变异包括可遗传变异和不可遗传变异，生物受环境影响产生的变异有的是不可遗传的，A错误；</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B.随机交配不会影响种群基因频率，B正确；</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C.突变和基因重组、自然选择等因素都会使得种群的基因频率发生改变，C错误；</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D.物种之间的共同进化是通过物种之间或生物与环境之间的生存斗争实现的，D错误。</w:t>
      </w:r>
    </w:p>
    <w:p>
      <w:pPr>
        <w:pStyle w:val="MsoNormal"/>
        <w:spacing w:after="240" w:line="360" w:lineRule="auto"/>
        <w:jc w:val="left"/>
        <w:rPr>
          <w:rFonts w:ascii="Times New Roman" w:eastAsia="Times New Roman" w:hAnsi="Times New Roman" w:cs="Times New Roman"/>
        </w:rPr>
      </w:pPr>
      <w:r>
        <w:rPr>
          <w:rFonts w:ascii="Times New Roman" w:eastAsia="Times New Roman" w:hAnsi="Times New Roman" w:cs="Times New Roman"/>
        </w:rPr>
        <w:t xml:space="preserve">19. </w:t>
      </w:r>
      <w:r>
        <w:rPr>
          <w:rFonts w:ascii="SimSun" w:eastAsia="SimSun" w:hAnsi="SimSun" w:cs="SimSun"/>
        </w:rPr>
        <w:t>有一种脑啡肽是从高等动物脑中分离出的多肽，它由酪氨酸（</w:t>
      </w:r>
      <w:r>
        <w:rPr>
          <w:rFonts w:ascii="Times New Roman" w:eastAsia="Times New Roman" w:hAnsi="Times New Roman" w:cs="Times New Roman"/>
          <w:lang w:val="en-US" w:eastAsia="en-US"/>
        </w:rPr>
        <w:t>UAC</w:t>
      </w:r>
      <w:r>
        <w:rPr>
          <w:rFonts w:ascii="SimSun" w:eastAsia="SimSun" w:hAnsi="SimSun" w:cs="SimSun"/>
        </w:rPr>
        <w:t>）、甘氨酸（</w:t>
      </w:r>
      <w:r>
        <w:rPr>
          <w:rFonts w:ascii="Times New Roman" w:eastAsia="Times New Roman" w:hAnsi="Times New Roman" w:cs="Times New Roman"/>
          <w:lang w:val="en-US" w:eastAsia="en-US"/>
        </w:rPr>
        <w:t>GGA</w:t>
      </w:r>
      <w:r>
        <w:rPr>
          <w:rFonts w:ascii="SimSun" w:eastAsia="SimSun" w:hAnsi="SimSun" w:cs="SimSun"/>
        </w:rPr>
        <w:t>）、甘氨酸（</w:t>
      </w:r>
      <w:r>
        <w:rPr>
          <w:rFonts w:ascii="Times New Roman" w:eastAsia="Times New Roman" w:hAnsi="Times New Roman" w:cs="Times New Roman"/>
          <w:lang w:val="en-US" w:eastAsia="en-US"/>
        </w:rPr>
        <w:t>GGA</w:t>
      </w:r>
      <w:r>
        <w:rPr>
          <w:rFonts w:ascii="SimSun" w:eastAsia="SimSun" w:hAnsi="SimSun" w:cs="SimSun"/>
        </w:rPr>
        <w:t>）、苯丙氨酸（</w:t>
      </w:r>
      <w:r>
        <w:rPr>
          <w:rFonts w:ascii="Times New Roman" w:eastAsia="Times New Roman" w:hAnsi="Times New Roman" w:cs="Times New Roman"/>
          <w:lang w:val="en-US" w:eastAsia="en-US"/>
        </w:rPr>
        <w:t>UUC</w:t>
      </w:r>
      <w:r>
        <w:rPr>
          <w:rFonts w:ascii="SimSun" w:eastAsia="SimSun" w:hAnsi="SimSun" w:cs="SimSun"/>
        </w:rPr>
        <w:t>）、甲硫氨酸（</w:t>
      </w:r>
      <w:r>
        <w:rPr>
          <w:rFonts w:ascii="Times New Roman" w:eastAsia="Times New Roman" w:hAnsi="Times New Roman" w:cs="Times New Roman"/>
          <w:lang w:val="en-US" w:eastAsia="en-US"/>
        </w:rPr>
        <w:t>AUG</w:t>
      </w:r>
      <w:r>
        <w:rPr>
          <w:rFonts w:ascii="SimSun" w:eastAsia="SimSun" w:hAnsi="SimSun" w:cs="SimSun"/>
        </w:rPr>
        <w:t>）共五个氨基酸组成。动物的基因在控制合成这种多肽的过程中所需的核苷酸有多少种</w:t>
      </w:r>
      <w:r>
        <w:rPr>
          <w:rFonts w:ascii="Times New Roman" w:eastAsia="Times New Roman" w:hAnsi="Times New Roman" w:cs="Times New Roman"/>
          <w:lang w:val="en-US" w:eastAsia="en-US"/>
        </w:rPr>
        <w:t xml:space="preserve"> </w:t>
      </w:r>
    </w:p>
    <w:p>
      <w:pPr>
        <w:pStyle w:val="MsoNormal"/>
        <w:spacing w:before="240" w:after="240" w:line="360" w:lineRule="auto"/>
        <w:jc w:val="left"/>
        <w:rPr>
          <w:rFonts w:ascii="Times New Roman" w:eastAsia="Times New Roman" w:hAnsi="Times New Roman" w:cs="Times New Roman"/>
        </w:rPr>
      </w:pPr>
      <w:r>
        <w:rPr>
          <w:rFonts w:ascii="宋体" w:eastAsia="宋体" w:hAnsi="宋体" w:cs="宋体"/>
          <w:lang w:val="en-US" w:eastAsia="en-US"/>
        </w:rPr>
        <w:t>A.30        B.15            C.8             D.4</w:t>
      </w:r>
      <w:r>
        <w:rPr>
          <w:rFonts w:ascii="宋体" w:eastAsia="宋体" w:hAnsi="宋体" w:cs="宋体"/>
          <w:lang w:val="en-US" w:eastAsia="en-US"/>
        </w:rPr>
        <w:t xml:space="preserve"> </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jc w:val="left"/>
        <w:rPr>
          <w:rFonts w:ascii="Times New Roman" w:eastAsia="Times New Roman" w:hAnsi="Times New Roman" w:cs="Times New Roman"/>
        </w:rPr>
      </w:pPr>
      <w:r>
        <w:rPr>
          <w:rFonts w:ascii="Times New Roman" w:eastAsia="Times New Roman" w:hAnsi="Times New Roman" w:cs="Times New Roman"/>
          <w:lang w:val="en-US" w:eastAsia="en-US"/>
        </w:rPr>
        <w:t>D</w:t>
      </w:r>
    </w:p>
    <w:p>
      <w:pPr>
        <w:widowControl w:val="0"/>
        <w:spacing w:before="0" w:after="0"/>
        <w:ind w:left="0" w:right="0"/>
        <w:jc w:val="both"/>
        <w:rPr>
          <w:rFonts w:ascii="Times New Roman" w:eastAsia="Times New Roman" w:hAnsi="Times New Roman" w:cs="Times New Roman"/>
        </w:rPr>
      </w:pPr>
      <w:r>
        <w:rPr>
          <w:rFonts w:ascii="Times New Roman" w:eastAsia="Times New Roman" w:hAnsi="Times New Roman" w:cs="Times New Roman"/>
        </w:rPr>
        <w:t xml:space="preserve">20. </w:t>
      </w:r>
      <w:r>
        <w:rPr>
          <w:rFonts w:ascii="宋体" w:eastAsia="宋体" w:hAnsi="宋体" w:cs="宋体"/>
          <w:sz w:val="22"/>
          <w:szCs w:val="22"/>
        </w:rPr>
        <w:t>颤藻</w:t>
      </w:r>
      <w:r>
        <w:rPr>
          <w:rFonts w:ascii="宋体" w:eastAsia="宋体" w:hAnsi="宋体" w:cs="宋体"/>
          <w:sz w:val="22"/>
          <w:szCs w:val="22"/>
        </w:rPr>
        <w:t>是一种蓝细菌。</w:t>
      </w:r>
      <w:r>
        <w:rPr>
          <w:rFonts w:ascii="宋体" w:eastAsia="宋体" w:hAnsi="宋体" w:cs="宋体"/>
          <w:sz w:val="22"/>
          <w:szCs w:val="22"/>
        </w:rPr>
        <w:t>下列关于颤藻的说法</w:t>
      </w:r>
      <w:r>
        <w:rPr>
          <w:rFonts w:ascii="宋体" w:eastAsia="宋体" w:hAnsi="宋体" w:cs="宋体"/>
          <w:sz w:val="22"/>
          <w:szCs w:val="22"/>
        </w:rPr>
        <w:t>，</w:t>
      </w:r>
      <w:r>
        <w:rPr>
          <w:rFonts w:ascii="宋体" w:eastAsia="宋体" w:hAnsi="宋体" w:cs="宋体"/>
          <w:sz w:val="22"/>
          <w:szCs w:val="22"/>
        </w:rPr>
        <w:t>正确的是　</w:t>
      </w:r>
    </w:p>
    <w:p>
      <w:pPr>
        <w:widowControl w:val="0"/>
        <w:spacing w:before="0" w:after="0"/>
        <w:ind w:left="0" w:right="0" w:firstLine="420"/>
        <w:jc w:val="both"/>
        <w:rPr>
          <w:rFonts w:ascii="Times New Roman" w:eastAsia="Times New Roman" w:hAnsi="Times New Roman" w:cs="Times New Roman"/>
        </w:rPr>
      </w:pPr>
      <w:r>
        <w:rPr>
          <w:rFonts w:ascii="宋体" w:eastAsia="宋体" w:hAnsi="宋体" w:cs="宋体"/>
          <w:sz w:val="22"/>
          <w:szCs w:val="22"/>
        </w:rPr>
        <w:t>A.</w:t>
      </w:r>
      <w:r>
        <w:rPr>
          <w:rFonts w:ascii="宋体" w:eastAsia="宋体" w:hAnsi="宋体" w:cs="宋体"/>
          <w:sz w:val="22"/>
          <w:szCs w:val="22"/>
        </w:rPr>
        <w:t>线粒体是颤藻进行</w:t>
      </w:r>
      <w:r>
        <w:rPr>
          <w:rFonts w:ascii="宋体" w:eastAsia="宋体" w:hAnsi="宋体" w:cs="宋体"/>
          <w:sz w:val="22"/>
          <w:szCs w:val="22"/>
        </w:rPr>
        <w:t>需</w:t>
      </w:r>
      <w:r>
        <w:rPr>
          <w:rFonts w:ascii="宋体" w:eastAsia="宋体" w:hAnsi="宋体" w:cs="宋体"/>
          <w:sz w:val="22"/>
          <w:szCs w:val="22"/>
        </w:rPr>
        <w:t>氧呼吸的主要场所</w:t>
      </w:r>
    </w:p>
    <w:p>
      <w:pPr>
        <w:widowControl w:val="0"/>
        <w:spacing w:before="0" w:after="0"/>
        <w:ind w:left="0" w:right="0" w:firstLine="420"/>
        <w:jc w:val="both"/>
        <w:rPr>
          <w:rFonts w:ascii="Times New Roman" w:eastAsia="Times New Roman" w:hAnsi="Times New Roman" w:cs="Times New Roman"/>
        </w:rPr>
      </w:pPr>
      <w:r>
        <w:rPr>
          <w:rFonts w:ascii="宋体" w:eastAsia="宋体" w:hAnsi="宋体" w:cs="宋体"/>
          <w:sz w:val="22"/>
          <w:szCs w:val="22"/>
        </w:rPr>
        <w:t>B.</w:t>
      </w:r>
      <w:r>
        <w:rPr>
          <w:rFonts w:ascii="宋体" w:eastAsia="宋体" w:hAnsi="宋体" w:cs="宋体"/>
          <w:sz w:val="22"/>
          <w:szCs w:val="22"/>
        </w:rPr>
        <w:t>颤藻在分裂过程中出现基因重组</w:t>
      </w:r>
    </w:p>
    <w:p>
      <w:pPr>
        <w:widowControl w:val="0"/>
        <w:spacing w:before="0" w:after="0"/>
        <w:ind w:left="0" w:right="0" w:firstLine="420"/>
        <w:jc w:val="both"/>
        <w:rPr>
          <w:rFonts w:ascii="Times New Roman" w:eastAsia="Times New Roman" w:hAnsi="Times New Roman" w:cs="Times New Roman"/>
        </w:rPr>
      </w:pPr>
      <w:r>
        <w:rPr>
          <w:rFonts w:ascii="宋体" w:eastAsia="宋体" w:hAnsi="宋体" w:cs="宋体"/>
          <w:sz w:val="22"/>
          <w:szCs w:val="22"/>
        </w:rPr>
        <w:t>C.</w:t>
      </w:r>
      <w:r>
        <w:rPr>
          <w:rFonts w:ascii="宋体" w:eastAsia="宋体" w:hAnsi="宋体" w:cs="宋体"/>
          <w:sz w:val="22"/>
          <w:szCs w:val="22"/>
        </w:rPr>
        <w:t>核糖体是颤藻细胞内蛋白质的“装配机器”</w:t>
      </w:r>
      <w:r>
        <w:rPr>
          <w:rFonts w:ascii="宋体" w:eastAsia="宋体" w:hAnsi="宋体" w:cs="宋体"/>
          <w:sz w:val="22"/>
          <w:szCs w:val="22"/>
        </w:rPr>
        <w:t>，</w:t>
      </w:r>
      <w:r>
        <w:rPr>
          <w:rFonts w:ascii="宋体" w:eastAsia="宋体" w:hAnsi="宋体" w:cs="宋体"/>
          <w:sz w:val="22"/>
          <w:szCs w:val="22"/>
        </w:rPr>
        <w:t>主要由蛋白质和</w:t>
      </w:r>
      <w:r>
        <w:rPr>
          <w:rFonts w:ascii="宋体" w:eastAsia="宋体" w:hAnsi="宋体" w:cs="宋体"/>
          <w:sz w:val="22"/>
          <w:szCs w:val="22"/>
        </w:rPr>
        <w:t>mRNA</w:t>
      </w:r>
      <w:r>
        <w:rPr>
          <w:rFonts w:ascii="宋体" w:eastAsia="宋体" w:hAnsi="宋体" w:cs="宋体"/>
          <w:sz w:val="22"/>
          <w:szCs w:val="22"/>
        </w:rPr>
        <w:t>组成</w:t>
      </w:r>
    </w:p>
    <w:p>
      <w:pPr>
        <w:widowControl w:val="0"/>
        <w:spacing w:before="0" w:after="0"/>
        <w:ind w:left="0" w:right="0" w:firstLine="420"/>
        <w:jc w:val="both"/>
        <w:rPr>
          <w:rFonts w:ascii="Times New Roman" w:eastAsia="Times New Roman" w:hAnsi="Times New Roman" w:cs="Times New Roman"/>
        </w:rPr>
      </w:pPr>
      <w:r>
        <w:rPr>
          <w:rFonts w:ascii="宋体" w:eastAsia="宋体" w:hAnsi="宋体" w:cs="宋体"/>
          <w:sz w:val="22"/>
          <w:szCs w:val="22"/>
        </w:rPr>
        <w:t>D.</w:t>
      </w:r>
      <w:r>
        <w:rPr>
          <w:rFonts w:ascii="宋体" w:eastAsia="宋体" w:hAnsi="宋体" w:cs="宋体"/>
          <w:sz w:val="22"/>
          <w:szCs w:val="22"/>
        </w:rPr>
        <w:t>颤藻的遗传物质是</w:t>
      </w:r>
      <w:r>
        <w:rPr>
          <w:rFonts w:ascii="宋体" w:eastAsia="宋体" w:hAnsi="宋体" w:cs="宋体"/>
          <w:sz w:val="22"/>
          <w:szCs w:val="22"/>
        </w:rPr>
        <w:t>DNA，</w:t>
      </w:r>
      <w:r>
        <w:rPr>
          <w:rFonts w:ascii="宋体" w:eastAsia="宋体" w:hAnsi="宋体" w:cs="宋体"/>
          <w:sz w:val="22"/>
          <w:szCs w:val="22"/>
        </w:rPr>
        <w:t>细胞中也有</w:t>
      </w:r>
      <w:r>
        <w:rPr>
          <w:rFonts w:ascii="宋体" w:eastAsia="宋体" w:hAnsi="宋体" w:cs="宋体"/>
          <w:sz w:val="22"/>
          <w:szCs w:val="22"/>
        </w:rPr>
        <w:t>RNA</w:t>
      </w:r>
      <w:r>
        <w:rPr>
          <w:rFonts w:ascii="宋体" w:eastAsia="宋体" w:hAnsi="宋体" w:cs="宋体"/>
          <w:sz w:val="22"/>
          <w:szCs w:val="22"/>
        </w:rPr>
        <w:t>的存在</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D</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21. </w:t>
      </w:r>
      <w:r>
        <w:rPr>
          <w:rFonts w:ascii="SimSun" w:eastAsia="SimSun" w:hAnsi="SimSun" w:cs="SimSun"/>
        </w:rPr>
        <w:t>下列关于果酒和果醋制作的叙述，错误的是</w:t>
      </w:r>
    </w:p>
    <w:p>
      <w:pPr>
        <w:pStyle w:val="MsoNormal"/>
        <w:spacing w:before="240" w:after="240" w:line="360" w:lineRule="auto"/>
        <w:rPr>
          <w:rFonts w:ascii="Times New Roman" w:eastAsia="Times New Roman" w:hAnsi="Times New Roman" w:cs="Times New Roman"/>
        </w:rPr>
        <w:sectPr>
          <w:type w:val="nextPage"/>
          <w:pgSz w:w="12240" w:h="15840"/>
          <w:pgMar w:top="1440" w:right="1800" w:bottom="1440" w:left="1800" w:header="708" w:footer="708" w:gutter="0"/>
          <w:pgNumType w:start="9"/>
          <w:cols w:space="708"/>
          <w:titlePg w:val="0"/>
          <w:docGrid w:linePitch="360"/>
        </w:sectPr>
      </w:pPr>
      <w:r>
        <w:rPr>
          <w:rFonts w:ascii="宋体" w:eastAsia="宋体" w:hAnsi="宋体" w:cs="宋体"/>
          <w:lang w:val="en-US" w:eastAsia="en-US"/>
        </w:rPr>
        <w:t>    A</w:t>
      </w:r>
      <w:r>
        <w:rPr>
          <w:rFonts w:ascii="宋体" w:eastAsia="宋体" w:hAnsi="宋体" w:cs="宋体"/>
        </w:rPr>
        <w:t>．使用的菌种都具有合成蛋白质的功能</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B</w:t>
      </w:r>
      <w:r>
        <w:rPr>
          <w:rFonts w:ascii="宋体" w:eastAsia="宋体" w:hAnsi="宋体" w:cs="宋体"/>
        </w:rPr>
        <w:t>．在制作果醋的过程中因采用不同的原料还需要加入不同的微生物</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C</w:t>
      </w:r>
      <w:r>
        <w:rPr>
          <w:rFonts w:ascii="宋体" w:eastAsia="宋体" w:hAnsi="宋体" w:cs="宋体"/>
        </w:rPr>
        <w:t>．温度对酵母菌酒精发酵的影响很大，而对醋酸菌的发酵影响不大</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D</w:t>
      </w:r>
      <w:r>
        <w:rPr>
          <w:rFonts w:ascii="宋体" w:eastAsia="宋体" w:hAnsi="宋体" w:cs="宋体"/>
        </w:rPr>
        <w:t>．果胶酶的蛋白酶在果酒的酿制和加工过程中往往起着很重要的作用</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C</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22. </w:t>
      </w:r>
      <w:r>
        <w:rPr>
          <w:rFonts w:ascii="宋体" w:eastAsia="宋体" w:hAnsi="宋体" w:cs="宋体"/>
          <w:sz w:val="22"/>
          <w:szCs w:val="22"/>
        </w:rPr>
        <w:t>油菜种子成熟过程中部分有机物的变化如曲线图所示。将不同成熟阶段的种子制成匀浆后检测，结果正确的是</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w:t>
      </w:r>
    </w:p>
    <w:tbl>
      <w:tblPr>
        <w:tblStyle w:val="TableNormal"/>
        <w:tblInd w:w="128" w:type="dxa"/>
        <w:tblCellMar>
          <w:top w:w="0" w:type="dxa"/>
          <w:left w:w="0" w:type="dxa"/>
          <w:bottom w:w="0" w:type="dxa"/>
          <w:right w:w="0" w:type="dxa"/>
        </w:tblCellMar>
      </w:tblPr>
      <w:tblGrid>
        <w:gridCol w:w="1052"/>
        <w:gridCol w:w="1418"/>
        <w:gridCol w:w="1682"/>
        <w:gridCol w:w="1472"/>
      </w:tblGrid>
      <w:tr>
        <w:tblPrEx>
          <w:tblInd w:w="128" w:type="dxa"/>
          <w:tblCellMar>
            <w:top w:w="0" w:type="dxa"/>
            <w:left w:w="0" w:type="dxa"/>
            <w:bottom w:w="0" w:type="dxa"/>
            <w:right w:w="0" w:type="dxa"/>
          </w:tblCellMar>
        </w:tblPrEx>
        <w:trPr>
          <w:trHeight w:val="235"/>
        </w:trPr>
        <w:tc>
          <w:tcPr>
            <w:tcW w:w="105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选项</w:t>
            </w:r>
          </w:p>
        </w:tc>
        <w:tc>
          <w:tcPr>
            <w:tcW w:w="1418"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取样时间</w:t>
            </w:r>
          </w:p>
        </w:tc>
        <w:tc>
          <w:tcPr>
            <w:tcW w:w="168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检测试剂</w:t>
            </w:r>
          </w:p>
        </w:tc>
        <w:tc>
          <w:tcPr>
            <w:tcW w:w="147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检测结果</w:t>
            </w:r>
          </w:p>
        </w:tc>
      </w:tr>
      <w:tr>
        <w:tblPrEx>
          <w:tblInd w:w="128" w:type="dxa"/>
          <w:tblCellMar>
            <w:top w:w="0" w:type="dxa"/>
            <w:left w:w="0" w:type="dxa"/>
            <w:bottom w:w="0" w:type="dxa"/>
            <w:right w:w="0" w:type="dxa"/>
          </w:tblCellMar>
        </w:tblPrEx>
        <w:trPr>
          <w:trHeight w:val="199"/>
        </w:trPr>
        <w:tc>
          <w:tcPr>
            <w:tcW w:w="105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b w:val="0"/>
                <w:bCs w:val="0"/>
                <w:i w:val="0"/>
                <w:iCs w:val="0"/>
                <w:smallCaps w:val="0"/>
                <w:color w:val="000000"/>
                <w:sz w:val="22"/>
                <w:szCs w:val="22"/>
              </w:rPr>
              <w:t>A</w:t>
            </w:r>
          </w:p>
        </w:tc>
        <w:tc>
          <w:tcPr>
            <w:tcW w:w="1418"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第</w:t>
            </w:r>
            <w:r>
              <w:rPr>
                <w:b w:val="0"/>
                <w:bCs w:val="0"/>
                <w:i w:val="0"/>
                <w:iCs w:val="0"/>
                <w:smallCaps w:val="0"/>
                <w:color w:val="000000"/>
                <w:sz w:val="22"/>
                <w:szCs w:val="22"/>
              </w:rPr>
              <w:t>10 d</w:t>
            </w:r>
          </w:p>
        </w:tc>
        <w:tc>
          <w:tcPr>
            <w:tcW w:w="168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斐林试剂</w:t>
            </w:r>
          </w:p>
        </w:tc>
        <w:tc>
          <w:tcPr>
            <w:tcW w:w="147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不显色</w:t>
            </w:r>
          </w:p>
        </w:tc>
      </w:tr>
      <w:tr>
        <w:tblPrEx>
          <w:tblInd w:w="128" w:type="dxa"/>
          <w:tblCellMar>
            <w:top w:w="0" w:type="dxa"/>
            <w:left w:w="0" w:type="dxa"/>
            <w:bottom w:w="0" w:type="dxa"/>
            <w:right w:w="0" w:type="dxa"/>
          </w:tblCellMar>
        </w:tblPrEx>
        <w:trPr>
          <w:trHeight w:val="213"/>
        </w:trPr>
        <w:tc>
          <w:tcPr>
            <w:tcW w:w="105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b w:val="0"/>
                <w:bCs w:val="0"/>
                <w:i w:val="0"/>
                <w:iCs w:val="0"/>
                <w:smallCaps w:val="0"/>
                <w:color w:val="000000"/>
                <w:sz w:val="22"/>
                <w:szCs w:val="22"/>
              </w:rPr>
              <w:t>B</w:t>
            </w:r>
          </w:p>
        </w:tc>
        <w:tc>
          <w:tcPr>
            <w:tcW w:w="1418"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第</w:t>
            </w:r>
            <w:r>
              <w:rPr>
                <w:b w:val="0"/>
                <w:bCs w:val="0"/>
                <w:i w:val="0"/>
                <w:iCs w:val="0"/>
                <w:smallCaps w:val="0"/>
                <w:color w:val="000000"/>
                <w:sz w:val="22"/>
                <w:szCs w:val="22"/>
              </w:rPr>
              <w:t>20 d</w:t>
            </w:r>
          </w:p>
        </w:tc>
        <w:tc>
          <w:tcPr>
            <w:tcW w:w="168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双缩脲试剂</w:t>
            </w:r>
          </w:p>
        </w:tc>
        <w:tc>
          <w:tcPr>
            <w:tcW w:w="147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不显色</w:t>
            </w:r>
          </w:p>
        </w:tc>
      </w:tr>
      <w:tr>
        <w:tblPrEx>
          <w:tblInd w:w="128" w:type="dxa"/>
          <w:tblCellMar>
            <w:top w:w="0" w:type="dxa"/>
            <w:left w:w="0" w:type="dxa"/>
            <w:bottom w:w="0" w:type="dxa"/>
            <w:right w:w="0" w:type="dxa"/>
          </w:tblCellMar>
        </w:tblPrEx>
        <w:trPr>
          <w:trHeight w:val="227"/>
        </w:trPr>
        <w:tc>
          <w:tcPr>
            <w:tcW w:w="105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b w:val="0"/>
                <w:bCs w:val="0"/>
                <w:i w:val="0"/>
                <w:iCs w:val="0"/>
                <w:smallCaps w:val="0"/>
                <w:color w:val="000000"/>
                <w:sz w:val="22"/>
                <w:szCs w:val="22"/>
              </w:rPr>
              <w:t>C</w:t>
            </w:r>
          </w:p>
        </w:tc>
        <w:tc>
          <w:tcPr>
            <w:tcW w:w="1418"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第</w:t>
            </w:r>
            <w:r>
              <w:rPr>
                <w:b w:val="0"/>
                <w:bCs w:val="0"/>
                <w:i w:val="0"/>
                <w:iCs w:val="0"/>
                <w:smallCaps w:val="0"/>
                <w:color w:val="000000"/>
                <w:sz w:val="22"/>
                <w:szCs w:val="22"/>
              </w:rPr>
              <w:t>30 d</w:t>
            </w:r>
          </w:p>
        </w:tc>
        <w:tc>
          <w:tcPr>
            <w:tcW w:w="168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苏丹</w:t>
            </w:r>
            <w:r>
              <w:rPr>
                <w:rFonts w:ascii="MS UI Gothic" w:eastAsia="MS UI Gothic" w:hAnsi="MS UI Gothic" w:cs="MS UI Gothic"/>
                <w:b w:val="0"/>
                <w:bCs w:val="0"/>
                <w:i w:val="0"/>
                <w:iCs w:val="0"/>
                <w:smallCaps w:val="0"/>
                <w:color w:val="000000"/>
                <w:sz w:val="22"/>
                <w:szCs w:val="22"/>
              </w:rPr>
              <w:t>Ⅲ</w:t>
            </w:r>
            <w:r>
              <w:rPr>
                <w:rFonts w:ascii="宋体" w:eastAsia="宋体" w:hAnsi="宋体" w:cs="宋体"/>
                <w:b w:val="0"/>
                <w:bCs w:val="0"/>
                <w:i w:val="0"/>
                <w:iCs w:val="0"/>
                <w:smallCaps w:val="0"/>
                <w:color w:val="000000"/>
                <w:sz w:val="22"/>
                <w:szCs w:val="22"/>
              </w:rPr>
              <w:t>染液</w:t>
            </w:r>
          </w:p>
        </w:tc>
        <w:tc>
          <w:tcPr>
            <w:tcW w:w="147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橘黄色</w:t>
            </w:r>
          </w:p>
        </w:tc>
      </w:tr>
      <w:tr>
        <w:tblPrEx>
          <w:tblInd w:w="128" w:type="dxa"/>
          <w:tblCellMar>
            <w:top w:w="0" w:type="dxa"/>
            <w:left w:w="0" w:type="dxa"/>
            <w:bottom w:w="0" w:type="dxa"/>
            <w:right w:w="0" w:type="dxa"/>
          </w:tblCellMar>
        </w:tblPrEx>
        <w:trPr>
          <w:trHeight w:val="213"/>
        </w:trPr>
        <w:tc>
          <w:tcPr>
            <w:tcW w:w="105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b w:val="0"/>
                <w:bCs w:val="0"/>
                <w:i w:val="0"/>
                <w:iCs w:val="0"/>
                <w:smallCaps w:val="0"/>
                <w:color w:val="000000"/>
                <w:sz w:val="22"/>
                <w:szCs w:val="22"/>
              </w:rPr>
              <w:t>D</w:t>
            </w:r>
          </w:p>
        </w:tc>
        <w:tc>
          <w:tcPr>
            <w:tcW w:w="1418"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第</w:t>
            </w:r>
            <w:r>
              <w:rPr>
                <w:b w:val="0"/>
                <w:bCs w:val="0"/>
                <w:i w:val="0"/>
                <w:iCs w:val="0"/>
                <w:smallCaps w:val="0"/>
                <w:color w:val="000000"/>
                <w:sz w:val="22"/>
                <w:szCs w:val="22"/>
              </w:rPr>
              <w:t>40 d</w:t>
            </w:r>
          </w:p>
        </w:tc>
        <w:tc>
          <w:tcPr>
            <w:tcW w:w="168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碘液</w:t>
            </w:r>
          </w:p>
        </w:tc>
        <w:tc>
          <w:tcPr>
            <w:tcW w:w="147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蓝色</w:t>
            </w:r>
          </w:p>
        </w:tc>
      </w:tr>
    </w:tbl>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1981200" cy="1581150"/>
            <wp:docPr id="10000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1"/>
                    </pic:cNvPicPr>
                  </pic:nvPicPr>
                  <pic:blipFill>
                    <a:blip xmlns:r="http://schemas.openxmlformats.org/officeDocument/2006/relationships" r:embed="rId7"/>
                    <a:stretch>
                      <a:fillRect/>
                    </a:stretch>
                  </pic:blipFill>
                  <pic:spPr>
                    <a:xfrm>
                      <a:off x="0" y="0"/>
                      <a:ext cx="1981200" cy="1581150"/>
                    </a:xfrm>
                    <a:prstGeom prst="rect">
                      <a:avLst/>
                    </a:prstGeom>
                  </pic:spPr>
                </pic:pic>
              </a:graphicData>
            </a:graphic>
          </wp:inline>
        </w:drawing>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sz w:val="22"/>
          <w:szCs w:val="22"/>
        </w:rPr>
        <w:t>C</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试题分析：据图分析，第</w:t>
      </w:r>
      <w:r>
        <w:rPr>
          <w:sz w:val="22"/>
          <w:szCs w:val="22"/>
        </w:rPr>
        <w:t>10</w:t>
      </w:r>
      <w:r>
        <w:rPr>
          <w:rFonts w:ascii="宋体" w:eastAsia="宋体" w:hAnsi="宋体" w:cs="宋体"/>
          <w:sz w:val="22"/>
          <w:szCs w:val="22"/>
        </w:rPr>
        <w:t>天可溶性糖降低，但是还有一定的含量，与斐林试剂反应显示砖红色，</w:t>
      </w:r>
      <w:r>
        <w:rPr>
          <w:sz w:val="22"/>
          <w:szCs w:val="22"/>
        </w:rPr>
        <w:t>A</w:t>
      </w:r>
      <w:r>
        <w:rPr>
          <w:rFonts w:ascii="宋体" w:eastAsia="宋体" w:hAnsi="宋体" w:cs="宋体"/>
          <w:sz w:val="22"/>
          <w:szCs w:val="22"/>
        </w:rPr>
        <w:t>错误；第</w:t>
      </w:r>
      <w:r>
        <w:rPr>
          <w:sz w:val="22"/>
          <w:szCs w:val="22"/>
        </w:rPr>
        <w:t>20</w:t>
      </w:r>
      <w:r>
        <w:rPr>
          <w:rFonts w:ascii="宋体" w:eastAsia="宋体" w:hAnsi="宋体" w:cs="宋体"/>
          <w:sz w:val="22"/>
          <w:szCs w:val="22"/>
        </w:rPr>
        <w:t>天，种子细胞中肯定含有蛋白质，与双缩脲试剂反应产生紫色反应，</w:t>
      </w:r>
      <w:r>
        <w:rPr>
          <w:sz w:val="22"/>
          <w:szCs w:val="22"/>
        </w:rPr>
        <w:t>B</w:t>
      </w:r>
      <w:r>
        <w:rPr>
          <w:rFonts w:ascii="宋体" w:eastAsia="宋体" w:hAnsi="宋体" w:cs="宋体"/>
          <w:sz w:val="22"/>
          <w:szCs w:val="22"/>
        </w:rPr>
        <w:t>错误；第</w:t>
      </w:r>
      <w:r>
        <w:rPr>
          <w:sz w:val="22"/>
          <w:szCs w:val="22"/>
        </w:rPr>
        <w:t>30</w:t>
      </w:r>
      <w:r>
        <w:rPr>
          <w:rFonts w:ascii="宋体" w:eastAsia="宋体" w:hAnsi="宋体" w:cs="宋体"/>
          <w:sz w:val="22"/>
          <w:szCs w:val="22"/>
        </w:rPr>
        <w:t>天，脂肪含量增多了很多，可以被苏丹Ⅲ溶液</w:t>
      </w:r>
      <w:r>
        <w:rPr>
          <w:rFonts w:ascii="宋体" w:eastAsia="宋体" w:hAnsi="宋体" w:cs="宋体"/>
          <w:sz w:val="22"/>
          <w:szCs w:val="22"/>
        </w:rPr>
        <w:t xml:space="preserve"> </w:t>
      </w:r>
      <w:r>
        <w:rPr>
          <w:rFonts w:ascii="Times New Roman" w:eastAsia="Times New Roman" w:hAnsi="Times New Roman" w:cs="Times New Roman"/>
          <w:sz w:val="22"/>
          <w:szCs w:val="22"/>
        </w:rPr>
        <w:br/>
      </w:r>
      <w:r>
        <w:rPr>
          <w:rFonts w:ascii="Times New Roman" w:eastAsia="Times New Roman" w:hAnsi="Times New Roman" w:cs="Times New Roman"/>
          <w:sz w:val="22"/>
          <w:szCs w:val="22"/>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 w:history="1">
        <w:r>
          <w:rPr>
            <w:rFonts w:ascii="SimSun" w:eastAsia="SimSun" w:hAnsi="SimSun" w:cs="SimSun"/>
            <w:b/>
            <w:bCs/>
            <w:color w:val="0000EE"/>
            <w:sz w:val="30"/>
            <w:szCs w:val="30"/>
            <w:u w:val="single" w:color="0000EE"/>
          </w:rPr>
          <w:t>https://d.book118.com/668047005045006044</w:t>
        </w:r>
      </w:hyperlink>
    </w:p>
    <w:p>
      <w:pPr>
        <w:widowControl w:val="0"/>
        <w:spacing w:before="0" w:after="0" w:line="360" w:lineRule="auto"/>
        <w:ind w:left="0" w:right="0"/>
        <w:jc w:val="both"/>
        <w:rPr>
          <w:rFonts w:ascii="Times New Roman" w:eastAsia="Times New Roman" w:hAnsi="Times New Roman" w:cs="Times New Roman"/>
          <w:sz w:val="22"/>
          <w:szCs w:val="22"/>
        </w:rPr>
      </w:pPr>
    </w:p>
    <w:sectPr>
      <w:type w:val="nextPage"/>
      <w:pgSz w:w="12240" w:h="15840"/>
      <w:pgMar w:top="1440" w:right="1800" w:bottom="1440" w:left="1800" w:header="708" w:footer="708" w:gutter="0"/>
      <w:pgNumType w:start="10"/>
      <w:cols w:space="708"/>
      <w:titlePg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2">
    <w:name w:val="heading 2"/>
    <w:basedOn w:val="Normal"/>
    <w:next w:val="Normal"/>
    <w:qFormat/>
    <w:rsid w:val="00EF7B96"/>
    <w:pPr>
      <w:keepNext/>
      <w:spacing w:before="240" w:after="60"/>
      <w:outlineLvl w:val="1"/>
    </w:pPr>
    <w:rPr>
      <w:rFonts w:ascii="Arial" w:hAnsi="Arial" w:cs="Arial"/>
      <w:b/>
      <w:bCs/>
      <w:i/>
      <w:iCs/>
      <w:sz w:val="28"/>
      <w:szCs w:val="28"/>
    </w:rPr>
  </w:style>
  <w:style w:type="paragraph" w:styleId="Heading4">
    <w:name w:val="heading 4"/>
    <w:basedOn w:val="Normal"/>
    <w:next w:val="Normal"/>
    <w:qFormat/>
    <w:rsid w:val="00EF7B96"/>
    <w:pPr>
      <w:keepNext/>
      <w:spacing w:before="240" w:after="60"/>
      <w:outlineLvl w:val="3"/>
    </w:pPr>
    <w:rPr>
      <w:b/>
      <w:bCs/>
      <w:sz w:val="28"/>
      <w:szCs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MsoNormal">
    <w:name w:val="MsoNormal"/>
    <w:basedOn w:val="Normal"/>
  </w:style>
  <w:style w:type="table" w:customStyle="1" w:styleId="MsoNormalTable">
    <w:name w:val="MsoNormalTable"/>
    <w:basedOn w:val="TableNormal"/>
    <w:tblPr/>
  </w:style>
  <w:style w:type="paragraph" w:customStyle="1" w:styleId="MsoPlainText">
    <w:name w:val="MsoPlainText"/>
    <w:basedOn w:val="Normal"/>
  </w:style>
  <w:style w:type="table" w:customStyle="1" w:styleId="MsoNormalTable0">
    <w:name w:val="MsoNormalTable_0"/>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yperlink" Target="https://d.book118.com/668047005045006044"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10</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