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/>
    <w:p/>
    <w:p/>
    <w:p/>
    <w:p>
      <w:pPr>
        <w:jc w:val="center"/>
        <w:rPr>
          <w:rStyle w:val="a"/>
        </w:rPr>
      </w:pPr>
      <w:r>
        <w:rPr>
          <w:rStyle w:val="a"/>
        </w:rPr>
        <w:t>建设项目环境影响报告表</w:t>
      </w:r>
    </w:p>
    <w:p>
      <w:pPr>
        <w:jc w:val="center"/>
        <w:rPr>
          <w:rStyle w:val="a0"/>
          <w:szCs w:val="21"/>
        </w:rPr>
      </w:pPr>
    </w:p>
    <w:p>
      <w:pPr>
        <w:rPr>
          <w:rStyle w:val="a0"/>
          <w:szCs w:val="21"/>
        </w:rPr>
      </w:pPr>
    </w:p>
    <w:p>
      <w:pPr>
        <w:rPr>
          <w:rStyle w:val="a0"/>
        </w:rPr>
      </w:pPr>
    </w:p>
    <w:p>
      <w:pPr>
        <w:rPr>
          <w:rStyle w:val="a0"/>
        </w:rPr>
      </w:pPr>
    </w:p>
    <w:p>
      <w:pPr>
        <w:rPr>
          <w:rStyle w:val="a0"/>
        </w:rPr>
      </w:pPr>
    </w:p>
    <w:p>
      <w:pPr>
        <w:rPr>
          <w:rStyle w:val="a0"/>
        </w:rPr>
      </w:pPr>
    </w:p>
    <w:p>
      <w:pPr>
        <w:rPr>
          <w:rStyle w:val="a0"/>
        </w:rPr>
      </w:pPr>
    </w:p>
    <w:p>
      <w:pPr>
        <w:rPr>
          <w:rStyle w:val="a0"/>
        </w:rPr>
      </w:pPr>
    </w:p>
    <w:p>
      <w:pPr>
        <w:ind w:firstLine="529" w:firstLineChars="147"/>
        <w:rPr>
          <w:rStyle w:val="Emphasis"/>
          <w:rFonts w:ascii="Times New Roman"/>
          <w:sz w:val="32"/>
          <w:szCs w:val="32"/>
        </w:rPr>
      </w:pPr>
      <w:r>
        <w:rPr>
          <w:rStyle w:val="a1"/>
        </w:rPr>
        <w:t>项目名称：</w:t>
      </w:r>
      <w:r>
        <w:rPr>
          <w:rStyle w:val="a1"/>
          <w:rFonts w:hint="eastAsia"/>
          <w:u w:val="single"/>
        </w:rPr>
        <w:t xml:space="preserve">        </w:t>
      </w:r>
      <w:r>
        <w:rPr>
          <w:rStyle w:val="Emphasis"/>
          <w:rFonts w:ascii="Times New Roman" w:hint="eastAsia"/>
          <w:sz w:val="32"/>
          <w:szCs w:val="32"/>
        </w:rPr>
        <w:t xml:space="preserve">110kV禹陵输变电工程         </w:t>
      </w:r>
    </w:p>
    <w:p>
      <w:pPr>
        <w:ind w:firstLine="896" w:firstLineChars="249"/>
        <w:jc w:val="center"/>
        <w:rPr>
          <w:rStyle w:val="a1"/>
        </w:rPr>
      </w:pPr>
    </w:p>
    <w:p>
      <w:pPr>
        <w:jc w:val="center"/>
        <w:rPr>
          <w:rStyle w:val="a1"/>
        </w:rPr>
      </w:pPr>
      <w:r>
        <w:rPr>
          <w:rStyle w:val="a1"/>
        </w:rPr>
        <w:t>建设单位(盖章)：</w:t>
      </w:r>
      <w:r>
        <w:rPr>
          <w:rStyle w:val="Emphasis"/>
          <w:rFonts w:ascii="Times New Roman" w:hint="eastAsia"/>
          <w:sz w:val="32"/>
          <w:szCs w:val="32"/>
        </w:rPr>
        <w:t>国网浙江省电力公司绍兴供电公司</w:t>
      </w:r>
    </w:p>
    <w:p>
      <w:pPr>
        <w:rPr>
          <w:rStyle w:val="a1"/>
        </w:rPr>
      </w:pPr>
    </w:p>
    <w:p>
      <w:pPr>
        <w:rPr>
          <w:rStyle w:val="a1"/>
        </w:rPr>
      </w:pPr>
    </w:p>
    <w:p>
      <w:pPr>
        <w:rPr>
          <w:rStyle w:val="a1"/>
        </w:rPr>
      </w:pPr>
    </w:p>
    <w:p>
      <w:pPr>
        <w:rPr>
          <w:rStyle w:val="a1"/>
        </w:rPr>
      </w:pPr>
    </w:p>
    <w:p>
      <w:pPr>
        <w:rPr>
          <w:rStyle w:val="a1"/>
        </w:rPr>
      </w:pPr>
    </w:p>
    <w:p>
      <w:pPr>
        <w:jc w:val="center"/>
        <w:rPr>
          <w:rStyle w:val="a2"/>
          <w:rFonts w:ascii="Times New Roman" w:hAnsi="Times New Roman"/>
        </w:rPr>
        <w:sectPr>
          <w:footerReference w:type="even" r:id="rId4"/>
          <w:footerReference w:type="default" r:id="rId5"/>
          <w:pgSz w:w="11906" w:h="16838"/>
          <w:pgMar w:top="1418" w:right="1418" w:bottom="1418" w:left="1418" w:header="851" w:footer="992" w:gutter="0"/>
          <w:cols w:space="708"/>
          <w:docGrid w:type="lines" w:linePitch="312"/>
        </w:sectPr>
      </w:pPr>
      <w:r>
        <w:rPr>
          <w:rStyle w:val="a2"/>
          <w:rFonts w:ascii="Times New Roman"/>
        </w:rPr>
        <w:t>国家环境保护总局制</w:t>
      </w:r>
    </w:p>
    <w:p>
      <w:pPr>
        <w:spacing w:before="156" w:beforeLines="50" w:after="312" w:afterLines="100" w:line="360" w:lineRule="auto"/>
        <w:jc w:val="center"/>
        <w:rPr>
          <w:rFonts w:eastAsia="黑体"/>
          <w:sz w:val="30"/>
        </w:rPr>
      </w:pPr>
      <w:r>
        <w:rPr>
          <w:rFonts w:eastAsia="黑体"/>
          <w:sz w:val="30"/>
        </w:rPr>
        <w:t>目</w:t>
      </w:r>
      <w:r>
        <w:rPr>
          <w:rFonts w:eastAsia="黑体" w:hint="eastAsia"/>
          <w:sz w:val="30"/>
        </w:rPr>
        <w:t xml:space="preserve">  </w:t>
      </w:r>
      <w:r>
        <w:rPr>
          <w:rFonts w:eastAsia="黑体"/>
          <w:sz w:val="30"/>
        </w:rPr>
        <w:t>录</w:t>
      </w:r>
    </w:p>
    <w:p>
      <w:pPr>
        <w:pStyle w:val="TOC1"/>
        <w:tabs>
          <w:tab w:val="right" w:leader="dot" w:pos="9060"/>
        </w:tabs>
        <w:rPr>
          <w:rFonts w:ascii="Calibri" w:eastAsia="宋体" w:hAnsi="Calibri"/>
          <w:sz w:val="21"/>
          <w:szCs w:val="22"/>
        </w:rPr>
      </w:pPr>
      <w:r>
        <w:rPr>
          <w:rFonts w:ascii="Times New Roman" w:hAnsi="Times New Roman"/>
          <w:sz w:val="24"/>
          <w:highlight w:val="yellow"/>
        </w:rPr>
        <w:fldChar w:fldCharType="begin"/>
      </w:r>
      <w:r>
        <w:rPr>
          <w:rFonts w:ascii="Times New Roman" w:hAnsi="Times New Roman"/>
          <w:sz w:val="24"/>
          <w:highlight w:val="yellow"/>
        </w:rPr>
        <w:instrText xml:space="preserve"> TOC \o "1-2" \h \z \u </w:instrText>
      </w:r>
      <w:r>
        <w:rPr>
          <w:rFonts w:ascii="Times New Roman" w:hAnsi="Times New Roman"/>
          <w:sz w:val="24"/>
          <w:highlight w:val="yellow"/>
        </w:rPr>
        <w:fldChar w:fldCharType="separate"/>
      </w:r>
      <w:hyperlink w:anchor="_Toc404626387" w:history="1">
        <w:r>
          <w:rPr>
            <w:rStyle w:val="Hyperlink"/>
          </w:rPr>
          <w:t>1</w:t>
        </w:r>
        <w:r>
          <w:rPr>
            <w:rStyle w:val="Hyperlink"/>
            <w:rFonts w:hint="eastAsia"/>
          </w:rPr>
          <w:t>　建设项目基本情况</w:t>
        </w:r>
        <w:r>
          <w:tab/>
        </w:r>
        <w:r>
          <w:fldChar w:fldCharType="begin"/>
        </w:r>
        <w:r>
          <w:instrText xml:space="preserve"> PAGEREF _Toc404626387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388" w:history="1">
        <w:r>
          <w:rPr>
            <w:rStyle w:val="Hyperlink"/>
            <w:rFonts w:eastAsia="黑体"/>
          </w:rPr>
          <w:t>1.1</w:t>
        </w:r>
        <w:r>
          <w:rPr>
            <w:rStyle w:val="Hyperlink"/>
            <w:rFonts w:eastAsia="黑体" w:hAnsi="黑体" w:hint="eastAsia"/>
          </w:rPr>
          <w:t>　项目组成</w:t>
        </w:r>
        <w:r>
          <w:tab/>
        </w:r>
        <w:r>
          <w:fldChar w:fldCharType="begin"/>
        </w:r>
        <w:r>
          <w:instrText xml:space="preserve"> PAGEREF _Toc404626388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389" w:history="1">
        <w:r>
          <w:rPr>
            <w:rStyle w:val="Hyperlink"/>
            <w:rFonts w:eastAsia="黑体"/>
          </w:rPr>
          <w:t>1.2</w:t>
        </w:r>
        <w:r>
          <w:rPr>
            <w:rStyle w:val="Hyperlink"/>
            <w:rFonts w:eastAsia="黑体" w:hAnsi="黑体" w:hint="eastAsia"/>
          </w:rPr>
          <w:t>　地理位置</w:t>
        </w:r>
        <w:r>
          <w:tab/>
        </w:r>
        <w:r>
          <w:fldChar w:fldCharType="begin"/>
        </w:r>
        <w:r>
          <w:instrText xml:space="preserve"> PAGEREF _Toc404626389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390" w:history="1">
        <w:r>
          <w:rPr>
            <w:rStyle w:val="Hyperlink"/>
            <w:rFonts w:eastAsia="黑体"/>
          </w:rPr>
          <w:t>1.3</w:t>
        </w:r>
        <w:r>
          <w:rPr>
            <w:rStyle w:val="Hyperlink"/>
            <w:rFonts w:eastAsia="黑体" w:hint="eastAsia"/>
          </w:rPr>
          <w:t xml:space="preserve">  </w:t>
        </w:r>
        <w:r>
          <w:rPr>
            <w:rStyle w:val="Hyperlink"/>
            <w:rFonts w:eastAsia="黑体" w:hAnsi="黑体" w:hint="eastAsia"/>
          </w:rPr>
          <w:t>工程概况</w:t>
        </w:r>
        <w:r>
          <w:tab/>
        </w:r>
        <w:r>
          <w:fldChar w:fldCharType="begin"/>
        </w:r>
        <w:r>
          <w:instrText xml:space="preserve"> PAGEREF _Toc404626390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ind w:firstLine="95"/>
        <w:rPr>
          <w:rFonts w:ascii="Calibri" w:eastAsia="宋体" w:hAnsi="Calibri"/>
          <w:sz w:val="21"/>
          <w:szCs w:val="22"/>
        </w:rPr>
      </w:pPr>
      <w:hyperlink w:anchor="_Toc404626391" w:history="1">
        <w:r>
          <w:rPr>
            <w:rStyle w:val="Hyperlink"/>
          </w:rPr>
          <w:t>2</w:t>
        </w:r>
        <w:r>
          <w:rPr>
            <w:rStyle w:val="Hyperlink"/>
            <w:rFonts w:hint="eastAsia"/>
          </w:rPr>
          <w:t>　环境质量现状</w:t>
        </w:r>
        <w:r>
          <w:tab/>
        </w:r>
        <w:r>
          <w:fldChar w:fldCharType="begin"/>
        </w:r>
        <w:r>
          <w:instrText xml:space="preserve"> PAGEREF _Toc404626391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392" w:history="1">
        <w:r>
          <w:rPr>
            <w:rStyle w:val="Hyperlink"/>
            <w:rFonts w:eastAsia="黑体"/>
            <w:snapToGrid w:val="0"/>
            <w:kern w:val="0"/>
          </w:rPr>
          <w:t>2.1</w:t>
        </w:r>
        <w:r>
          <w:rPr>
            <w:rStyle w:val="Hyperlink"/>
            <w:rFonts w:eastAsia="黑体" w:hint="eastAsia"/>
            <w:snapToGrid w:val="0"/>
            <w:kern w:val="0"/>
          </w:rPr>
          <w:t xml:space="preserve">  电磁环境质量现状</w:t>
        </w:r>
        <w:r>
          <w:tab/>
        </w:r>
        <w:r>
          <w:fldChar w:fldCharType="begin"/>
        </w:r>
        <w:r>
          <w:instrText xml:space="preserve"> PAGEREF _Toc404626392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393" w:history="1">
        <w:r>
          <w:rPr>
            <w:rStyle w:val="Hyperlink"/>
            <w:rFonts w:eastAsia="黑体"/>
            <w:snapToGrid w:val="0"/>
            <w:kern w:val="0"/>
          </w:rPr>
          <w:t>2.2</w:t>
        </w:r>
        <w:r>
          <w:rPr>
            <w:rStyle w:val="Hyperlink"/>
            <w:rFonts w:eastAsia="黑体" w:hint="eastAsia"/>
            <w:snapToGrid w:val="0"/>
            <w:kern w:val="0"/>
          </w:rPr>
          <w:t>　声环境质量现状</w:t>
        </w:r>
        <w:r>
          <w:tab/>
        </w:r>
        <w:r>
          <w:fldChar w:fldCharType="begin"/>
        </w:r>
        <w:r>
          <w:instrText xml:space="preserve"> PAGEREF _Toc404626393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394" w:history="1">
        <w:r>
          <w:rPr>
            <w:rStyle w:val="Hyperlink"/>
            <w:rFonts w:eastAsia="黑体"/>
            <w:snapToGrid w:val="0"/>
            <w:kern w:val="0"/>
          </w:rPr>
          <w:t>2.3</w:t>
        </w:r>
        <w:r>
          <w:rPr>
            <w:rStyle w:val="Hyperlink"/>
            <w:rFonts w:eastAsia="黑体" w:hint="eastAsia"/>
            <w:snapToGrid w:val="0"/>
            <w:kern w:val="0"/>
          </w:rPr>
          <w:t>　主要环境保护目标</w:t>
        </w:r>
        <w:r>
          <w:tab/>
        </w:r>
        <w:r>
          <w:fldChar w:fldCharType="begin"/>
        </w:r>
        <w:r>
          <w:instrText xml:space="preserve"> PAGEREF _Toc404626394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ind w:firstLine="95"/>
        <w:rPr>
          <w:rFonts w:ascii="Calibri" w:eastAsia="宋体" w:hAnsi="Calibri"/>
          <w:sz w:val="21"/>
          <w:szCs w:val="22"/>
        </w:rPr>
      </w:pPr>
      <w:hyperlink w:anchor="_Toc404626395" w:history="1">
        <w:r>
          <w:rPr>
            <w:rStyle w:val="Hyperlink"/>
          </w:rPr>
          <w:t>3</w:t>
        </w:r>
        <w:r>
          <w:rPr>
            <w:rStyle w:val="Hyperlink"/>
            <w:rFonts w:hint="eastAsia"/>
          </w:rPr>
          <w:t>　项目主要污染物产生及预计排放情况</w:t>
        </w:r>
        <w:r>
          <w:tab/>
        </w:r>
        <w:r>
          <w:fldChar w:fldCharType="begin"/>
        </w:r>
        <w:r>
          <w:instrText xml:space="preserve"> PAGEREF _Toc404626395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ind w:firstLine="95"/>
        <w:rPr>
          <w:rFonts w:ascii="Calibri" w:eastAsia="宋体" w:hAnsi="Calibri"/>
          <w:sz w:val="21"/>
          <w:szCs w:val="22"/>
        </w:rPr>
      </w:pPr>
      <w:hyperlink w:anchor="_Toc404626396" w:history="1">
        <w:r>
          <w:rPr>
            <w:rStyle w:val="Hyperlink"/>
          </w:rPr>
          <w:t>4</w:t>
        </w:r>
        <w:r>
          <w:rPr>
            <w:rStyle w:val="Hyperlink"/>
            <w:rFonts w:hint="eastAsia"/>
          </w:rPr>
          <w:t>　环境影响分析</w:t>
        </w:r>
        <w:r>
          <w:tab/>
        </w:r>
        <w:r>
          <w:fldChar w:fldCharType="begin"/>
        </w:r>
        <w:r>
          <w:instrText xml:space="preserve"> PAGEREF _Toc404626396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397" w:history="1">
        <w:r>
          <w:rPr>
            <w:rStyle w:val="Hyperlink"/>
            <w:rFonts w:eastAsia="黑体"/>
          </w:rPr>
          <w:t>4.1</w:t>
        </w:r>
        <w:r>
          <w:rPr>
            <w:rStyle w:val="Hyperlink"/>
            <w:rFonts w:eastAsia="黑体" w:hAnsi="黑体" w:hint="eastAsia"/>
          </w:rPr>
          <w:t>　施工期环境影响</w:t>
        </w:r>
        <w:r>
          <w:tab/>
        </w:r>
        <w:r>
          <w:fldChar w:fldCharType="begin"/>
        </w:r>
        <w:r>
          <w:instrText xml:space="preserve"> PAGEREF _Toc404626397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398" w:history="1">
        <w:r>
          <w:rPr>
            <w:rStyle w:val="Hyperlink"/>
            <w:rFonts w:eastAsia="黑体"/>
          </w:rPr>
          <w:t>4.2</w:t>
        </w:r>
        <w:r>
          <w:rPr>
            <w:rStyle w:val="Hyperlink"/>
            <w:rFonts w:eastAsia="黑体" w:hAnsi="黑体" w:hint="eastAsia"/>
          </w:rPr>
          <w:t>　营运期环境影响分析</w:t>
        </w:r>
        <w:r>
          <w:tab/>
        </w:r>
        <w:r>
          <w:fldChar w:fldCharType="begin"/>
        </w:r>
        <w:r>
          <w:instrText xml:space="preserve"> PAGEREF _Toc404626398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399" w:history="1">
        <w:r>
          <w:rPr>
            <w:rStyle w:val="Hyperlink"/>
            <w:rFonts w:eastAsia="黑体"/>
          </w:rPr>
          <w:t>4.3</w:t>
        </w:r>
        <w:r>
          <w:rPr>
            <w:rStyle w:val="Hyperlink"/>
            <w:rFonts w:eastAsia="黑体" w:hint="eastAsia"/>
          </w:rPr>
          <w:t xml:space="preserve">  </w:t>
        </w:r>
        <w:r>
          <w:rPr>
            <w:rStyle w:val="Hyperlink"/>
            <w:rFonts w:eastAsia="黑体" w:hAnsi="黑体" w:hint="eastAsia"/>
          </w:rPr>
          <w:t>水土保持</w:t>
        </w:r>
        <w:r>
          <w:tab/>
        </w:r>
        <w:r>
          <w:fldChar w:fldCharType="begin"/>
        </w:r>
        <w:r>
          <w:instrText xml:space="preserve"> PAGEREF _Toc404626399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400" w:history="1">
        <w:r>
          <w:rPr>
            <w:rStyle w:val="Hyperlink"/>
            <w:rFonts w:eastAsia="黑体"/>
          </w:rPr>
          <w:t>4.4</w:t>
        </w:r>
        <w:r>
          <w:rPr>
            <w:rStyle w:val="Hyperlink"/>
            <w:rFonts w:eastAsia="黑体" w:hAnsi="黑体" w:hint="eastAsia"/>
          </w:rPr>
          <w:t>　风险评价</w:t>
        </w:r>
        <w:r>
          <w:tab/>
        </w:r>
        <w:r>
          <w:fldChar w:fldCharType="begin"/>
        </w:r>
        <w:r>
          <w:instrText xml:space="preserve"> PAGEREF _Toc404626400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401" w:history="1">
        <w:r>
          <w:rPr>
            <w:rStyle w:val="Hyperlink"/>
            <w:rFonts w:eastAsia="黑体"/>
          </w:rPr>
          <w:t xml:space="preserve">4.5 </w:t>
        </w:r>
        <w:r>
          <w:rPr>
            <w:rStyle w:val="Hyperlink"/>
            <w:rFonts w:eastAsia="黑体" w:hint="eastAsia"/>
          </w:rPr>
          <w:t xml:space="preserve"> </w:t>
        </w:r>
        <w:r>
          <w:rPr>
            <w:rStyle w:val="Hyperlink"/>
            <w:rFonts w:eastAsia="黑体" w:hAnsi="黑体" w:hint="eastAsia"/>
          </w:rPr>
          <w:t>公众参与</w:t>
        </w:r>
        <w:r>
          <w:tab/>
        </w:r>
        <w:r>
          <w:fldChar w:fldCharType="begin"/>
        </w:r>
        <w:r>
          <w:instrText xml:space="preserve"> PAGEREF _Toc404626401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ind w:firstLine="95"/>
        <w:rPr>
          <w:rFonts w:ascii="Calibri" w:eastAsia="宋体" w:hAnsi="Calibri"/>
          <w:sz w:val="21"/>
          <w:szCs w:val="22"/>
        </w:rPr>
      </w:pPr>
      <w:hyperlink w:anchor="_Toc404626402" w:history="1">
        <w:r>
          <w:rPr>
            <w:rStyle w:val="Hyperlink"/>
          </w:rPr>
          <w:t>5</w:t>
        </w:r>
        <w:r>
          <w:rPr>
            <w:rStyle w:val="Hyperlink"/>
            <w:rFonts w:hint="eastAsia"/>
          </w:rPr>
          <w:t>　建设项目拟采取的防治措施及预期治理效果</w:t>
        </w:r>
        <w:r>
          <w:tab/>
        </w:r>
        <w:r>
          <w:fldChar w:fldCharType="begin"/>
        </w:r>
        <w:r>
          <w:instrText xml:space="preserve"> PAGEREF _Toc404626402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403" w:history="1">
        <w:r>
          <w:rPr>
            <w:rStyle w:val="Hyperlink"/>
            <w:rFonts w:eastAsia="黑体"/>
          </w:rPr>
          <w:t>9.1</w:t>
        </w:r>
        <w:r>
          <w:rPr>
            <w:rStyle w:val="Hyperlink"/>
            <w:rFonts w:eastAsia="黑体" w:hAnsi="黑体" w:hint="eastAsia"/>
          </w:rPr>
          <w:t>　生态保护措施及预期效果</w:t>
        </w:r>
        <w:r>
          <w:tab/>
        </w:r>
        <w:r>
          <w:fldChar w:fldCharType="begin"/>
        </w:r>
        <w:r>
          <w:instrText xml:space="preserve"> PAGEREF _Toc404626403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404" w:history="1">
        <w:r>
          <w:rPr>
            <w:rStyle w:val="Hyperlink"/>
            <w:rFonts w:eastAsia="黑体"/>
          </w:rPr>
          <w:t>9.3</w:t>
        </w:r>
        <w:r>
          <w:rPr>
            <w:rStyle w:val="Hyperlink"/>
            <w:rFonts w:eastAsia="黑体" w:hAnsi="黑体" w:hint="eastAsia"/>
          </w:rPr>
          <w:t>　环保投资</w:t>
        </w:r>
        <w:r>
          <w:tab/>
        </w:r>
        <w:r>
          <w:fldChar w:fldCharType="begin"/>
        </w:r>
        <w:r>
          <w:instrText xml:space="preserve"> PAGEREF _Toc404626404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ind w:firstLine="95"/>
        <w:rPr>
          <w:rFonts w:ascii="Calibri" w:eastAsia="宋体" w:hAnsi="Calibri"/>
          <w:sz w:val="21"/>
          <w:szCs w:val="22"/>
        </w:rPr>
      </w:pPr>
      <w:hyperlink w:anchor="_Toc404626405" w:history="1">
        <w:r>
          <w:rPr>
            <w:rStyle w:val="Hyperlink"/>
          </w:rPr>
          <w:t>6</w:t>
        </w:r>
        <w:r>
          <w:rPr>
            <w:rStyle w:val="Hyperlink"/>
            <w:rFonts w:hint="eastAsia"/>
          </w:rPr>
          <w:t>　结论与建议</w:t>
        </w:r>
        <w:r>
          <w:tab/>
        </w:r>
        <w:r>
          <w:fldChar w:fldCharType="begin"/>
        </w:r>
        <w:r>
          <w:instrText xml:space="preserve"> PAGEREF _Toc404626405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ind w:firstLine="95"/>
        <w:rPr>
          <w:rFonts w:ascii="Calibri" w:eastAsia="宋体" w:hAnsi="Calibri"/>
          <w:sz w:val="21"/>
          <w:szCs w:val="22"/>
        </w:rPr>
      </w:pPr>
      <w:hyperlink w:anchor="_Toc404626406" w:history="1">
        <w:r>
          <w:rPr>
            <w:rStyle w:val="Hyperlink"/>
          </w:rPr>
          <w:t>7</w:t>
        </w:r>
        <w:r>
          <w:rPr>
            <w:rStyle w:val="Hyperlink"/>
            <w:rFonts w:hint="eastAsia"/>
          </w:rPr>
          <w:t>　联系方式</w:t>
        </w:r>
        <w:r>
          <w:tab/>
        </w:r>
        <w:r>
          <w:fldChar w:fldCharType="begin"/>
        </w:r>
        <w:r>
          <w:instrText xml:space="preserve"> PAGEREF _Toc404626406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407" w:history="1">
        <w:r>
          <w:rPr>
            <w:rStyle w:val="Hyperlink"/>
            <w:rFonts w:eastAsia="黑体"/>
          </w:rPr>
          <w:t>7.1</w:t>
        </w:r>
        <w:r>
          <w:rPr>
            <w:rStyle w:val="Hyperlink"/>
            <w:rFonts w:eastAsia="黑体" w:hAnsi="黑体" w:hint="eastAsia"/>
          </w:rPr>
          <w:t>　建设单位</w:t>
        </w:r>
        <w:r>
          <w:tab/>
        </w:r>
        <w:r>
          <w:fldChar w:fldCharType="begin"/>
        </w:r>
        <w:r>
          <w:instrText xml:space="preserve"> PAGEREF _Toc404626407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240"/>
        <w:rPr>
          <w:rFonts w:ascii="Calibri" w:hAnsi="Calibri"/>
          <w:sz w:val="21"/>
          <w:szCs w:val="22"/>
        </w:rPr>
      </w:pPr>
      <w:hyperlink w:anchor="_Toc404626408" w:history="1">
        <w:r>
          <w:rPr>
            <w:rStyle w:val="Hyperlink"/>
            <w:rFonts w:eastAsia="黑体"/>
          </w:rPr>
          <w:t>7.2</w:t>
        </w:r>
        <w:r>
          <w:rPr>
            <w:rStyle w:val="Hyperlink"/>
            <w:rFonts w:eastAsia="黑体" w:hAnsi="黑体" w:hint="eastAsia"/>
          </w:rPr>
          <w:t>　环评单位</w:t>
        </w:r>
        <w:r>
          <w:tab/>
        </w:r>
        <w:r>
          <w:fldChar w:fldCharType="begin"/>
        </w:r>
        <w:r>
          <w:instrText xml:space="preserve"> PAGEREF _Toc404626408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spacing w:line="360" w:lineRule="auto"/>
        <w:rPr>
          <w:rFonts w:eastAsia="黑体"/>
          <w:sz w:val="24"/>
          <w:highlight w:val="yellow"/>
        </w:rPr>
      </w:pPr>
      <w:r>
        <w:rPr>
          <w:rFonts w:eastAsia="黑体"/>
          <w:sz w:val="24"/>
          <w:highlight w:val="yellow"/>
        </w:rPr>
        <w:fldChar w:fldCharType="end"/>
      </w:r>
    </w:p>
    <w:p>
      <w:pPr>
        <w:spacing w:line="360" w:lineRule="auto"/>
        <w:ind w:firstLine="720"/>
        <w:rPr>
          <w:sz w:val="24"/>
          <w:highlight w:val="yellow"/>
        </w:rPr>
      </w:pPr>
    </w:p>
    <w:p>
      <w:pPr>
        <w:spacing w:line="360" w:lineRule="auto"/>
        <w:ind w:firstLine="840" w:firstLineChars="300"/>
        <w:rPr>
          <w:rFonts w:eastAsia="黑体"/>
          <w:sz w:val="28"/>
          <w:szCs w:val="28"/>
          <w:highlight w:val="yellow"/>
        </w:rPr>
        <w:sectPr>
          <w:footerReference w:type="even" r:id="rId6"/>
          <w:footerReference w:type="default" r:id="rId7"/>
          <w:pgSz w:w="11906" w:h="16838"/>
          <w:pgMar w:top="1418" w:right="1418" w:bottom="1418" w:left="1418" w:header="851" w:footer="992" w:gutter="0"/>
          <w:pgNumType w:start="1"/>
          <w:cols w:space="708"/>
          <w:docGrid w:type="lines" w:linePitch="312"/>
        </w:sectPr>
      </w:pPr>
    </w:p>
    <w:tbl>
      <w:tblPr>
        <w:tblStyle w:val="TableNormal"/>
        <w:tblW w:w="500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293"/>
      </w:tblGrid>
      <w:tr>
        <w:tblPrEx>
          <w:tblW w:w="5004" w:type="pc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3824"/>
        </w:trPr>
        <w:tc>
          <w:tcPr>
            <w:tcW w:w="5000" w:type="pct"/>
            <w:vAlign w:val="center"/>
          </w:tcPr>
          <w:p>
            <w:pPr>
              <w:pStyle w:val="Heading1"/>
              <w:numPr>
                <w:ilvl w:val="0"/>
                <w:numId w:val="0"/>
              </w:numPr>
              <w:tabs>
                <w:tab w:val="clear" w:pos="432"/>
              </w:tabs>
              <w:rPr>
                <w:sz w:val="32"/>
                <w:szCs w:val="32"/>
              </w:rPr>
            </w:pPr>
            <w:r>
              <w:rPr>
                <w:b w:val="0"/>
                <w:bCs w:val="0"/>
                <w:sz w:val="21"/>
                <w:szCs w:val="24"/>
                <w:highlight w:val="yellow"/>
              </w:rPr>
              <w:br w:type="page"/>
            </w:r>
            <w:bookmarkStart w:id="0" w:name="_Toc404626387"/>
            <w:r>
              <w:rPr>
                <w:b w:val="0"/>
                <w:sz w:val="32"/>
                <w:szCs w:val="32"/>
              </w:rPr>
              <w:t>1　建设项目基本情况</w:t>
            </w:r>
            <w:bookmarkEnd w:id="0"/>
          </w:p>
          <w:p>
            <w:pPr>
              <w:pStyle w:val="Heading2"/>
              <w:numPr>
                <w:ilvl w:val="0"/>
                <w:numId w:val="0"/>
              </w:numPr>
              <w:tabs>
                <w:tab w:val="clear" w:pos="576"/>
              </w:tabs>
              <w:spacing w:before="0" w:after="0" w:line="300" w:lineRule="auto"/>
              <w:jc w:val="both"/>
              <w:rPr>
                <w:rFonts w:eastAsia="黑体"/>
              </w:rPr>
            </w:pPr>
            <w:bookmarkStart w:id="1" w:name="_Toc404626388"/>
            <w:r>
              <w:rPr>
                <w:rFonts w:eastAsia="黑体"/>
                <w:b w:val="0"/>
              </w:rPr>
              <w:t>1.1</w:t>
            </w:r>
            <w:r>
              <w:rPr>
                <w:rFonts w:eastAsia="黑体" w:hAnsi="黑体"/>
                <w:b w:val="0"/>
              </w:rPr>
              <w:t>　项目组成</w:t>
            </w:r>
            <w:bookmarkEnd w:id="1"/>
          </w:p>
          <w:p>
            <w:pPr>
              <w:pStyle w:val="BodyTextFirstIndent"/>
              <w:jc w:val="both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110kV禹陵输变电工程包括新建110kV禹陵变电站、九里-袍南线</w:t>
            </w:r>
            <w:r>
              <w:rPr>
                <w:rFonts w:hint="eastAsia"/>
                <w:lang w:val="en-US" w:eastAsia="zh-CN"/>
              </w:rPr>
              <w:t>π</w:t>
            </w:r>
            <w:r>
              <w:rPr>
                <w:rFonts w:hint="eastAsia"/>
                <w:lang w:val="en-US" w:eastAsia="zh-CN"/>
              </w:rPr>
              <w:t>入禹陵变110kV线路。</w:t>
            </w:r>
            <w:r>
              <w:rPr>
                <w:lang w:val="en-US" w:eastAsia="zh-CN"/>
              </w:rPr>
              <w:t>项目组成详见表1.1-1。</w:t>
            </w:r>
          </w:p>
          <w:p>
            <w:pPr>
              <w:pStyle w:val="a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项目组成一览表</w:t>
            </w:r>
          </w:p>
          <w:p>
            <w:pPr>
              <w:pStyle w:val="a9"/>
            </w:pPr>
            <w:r>
              <w:t>表1.1-</w:t>
            </w:r>
            <w:r>
              <w:fldChar w:fldCharType="begin"/>
            </w:r>
            <w:r>
              <w:instrText xml:space="preserve"> SEQ 表 \* ARABIC \s 3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tbl>
            <w:tblPr>
              <w:tblStyle w:val="TableNormal"/>
              <w:tblW w:w="9002" w:type="dxa"/>
              <w:tblInd w:w="1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1129"/>
              <w:gridCol w:w="2835"/>
              <w:gridCol w:w="750"/>
              <w:gridCol w:w="810"/>
              <w:gridCol w:w="3478"/>
            </w:tblGrid>
            <w:tr>
              <w:tblPrEx>
                <w:tblW w:w="9002" w:type="dxa"/>
                <w:tblInd w:w="113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65"/>
              </w:trPr>
              <w:tc>
                <w:tcPr>
                  <w:tcW w:w="1129" w:type="dxa"/>
                  <w:vAlign w:val="center"/>
                </w:tcPr>
                <w:p>
                  <w:pPr>
                    <w:pStyle w:val="a8"/>
                    <w:widowControl w:val="0"/>
                    <w:adjustRightInd w:val="0"/>
                    <w:snapToGrid w:val="0"/>
                    <w:spacing w:before="62" w:beforeLines="20" w:after="62" w:afterLines="20"/>
                    <w:rPr>
                      <w:rFonts w:ascii="Times New Roman" w:eastAsia="黑体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</w:rPr>
                    <w:t>项目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a8"/>
                    <w:widowControl w:val="0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rPr>
                      <w:rFonts w:ascii="Times New Roman" w:eastAsia="黑体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</w:rPr>
                    <w:t>项目组成</w:t>
                  </w:r>
                </w:p>
              </w:tc>
              <w:tc>
                <w:tcPr>
                  <w:tcW w:w="750" w:type="dxa"/>
                  <w:vAlign w:val="center"/>
                </w:tcPr>
                <w:p>
                  <w:pPr>
                    <w:pStyle w:val="a7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jc w:val="center"/>
                    <w:rPr>
                      <w:rFonts w:eastAsia="黑体"/>
                      <w:b/>
                      <w:bCs/>
                      <w:sz w:val="30"/>
                      <w:szCs w:val="21"/>
                    </w:rPr>
                  </w:pPr>
                  <w:r>
                    <w:rPr>
                      <w:szCs w:val="21"/>
                    </w:rPr>
                    <w:t>性质</w:t>
                  </w:r>
                </w:p>
              </w:tc>
              <w:tc>
                <w:tcPr>
                  <w:tcW w:w="4288" w:type="dxa"/>
                  <w:gridSpan w:val="2"/>
                  <w:vAlign w:val="center"/>
                </w:tcPr>
                <w:p>
                  <w:pPr>
                    <w:pStyle w:val="a7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jc w:val="center"/>
                    <w:rPr>
                      <w:rFonts w:eastAsia="黑体"/>
                      <w:b/>
                      <w:bCs/>
                      <w:sz w:val="30"/>
                      <w:szCs w:val="21"/>
                    </w:rPr>
                  </w:pPr>
                  <w:r>
                    <w:rPr>
                      <w:szCs w:val="21"/>
                    </w:rPr>
                    <w:t>建设规模</w:t>
                  </w:r>
                </w:p>
              </w:tc>
            </w:tr>
            <w:tr>
              <w:tblPrEx>
                <w:tblW w:w="9002" w:type="dxa"/>
                <w:tblInd w:w="113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249"/>
              </w:trPr>
              <w:tc>
                <w:tcPr>
                  <w:tcW w:w="1129" w:type="dxa"/>
                  <w:vMerge w:val="restart"/>
                  <w:vAlign w:val="center"/>
                </w:tcPr>
                <w:p>
                  <w:pPr>
                    <w:pStyle w:val="a8"/>
                    <w:widowControl w:val="0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rPr>
                      <w:rFonts w:ascii="Times New Roman" w:eastAsia="黑体" w:hAnsi="Times New Roman"/>
                      <w:b/>
                      <w:bCs/>
                      <w:highlight w:val="yellow"/>
                    </w:rPr>
                  </w:pPr>
                  <w:r>
                    <w:rPr>
                      <w:rFonts w:ascii="Times New Roman" w:hAnsi="Times New Roman" w:hint="eastAsia"/>
                    </w:rPr>
                    <w:t>110kV禹陵输变电工程</w:t>
                  </w:r>
                </w:p>
              </w:tc>
              <w:tc>
                <w:tcPr>
                  <w:tcW w:w="2835" w:type="dxa"/>
                  <w:vMerge w:val="restart"/>
                  <w:vAlign w:val="center"/>
                </w:tcPr>
                <w:p>
                  <w:pPr>
                    <w:pStyle w:val="a8"/>
                    <w:widowControl w:val="0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rPr>
                      <w:rFonts w:ascii="Times New Roman" w:eastAsia="黑体" w:hAnsi="Times New Roman"/>
                      <w:b/>
                      <w:bCs/>
                      <w:highlight w:val="yellow"/>
                    </w:rPr>
                  </w:pPr>
                  <w:r>
                    <w:rPr>
                      <w:rFonts w:ascii="Times New Roman" w:hAnsi="Times New Roman" w:hint="eastAsia"/>
                    </w:rPr>
                    <w:t>110kV禹陵变电站</w:t>
                  </w:r>
                  <w:r>
                    <w:rPr>
                      <w:rFonts w:ascii="Times New Roman" w:hAnsi="Times New Roman"/>
                    </w:rPr>
                    <w:t>(半户内式布置)</w:t>
                  </w:r>
                </w:p>
              </w:tc>
              <w:tc>
                <w:tcPr>
                  <w:tcW w:w="750" w:type="dxa"/>
                  <w:vMerge w:val="restart"/>
                  <w:vAlign w:val="center"/>
                </w:tcPr>
                <w:p>
                  <w:pPr>
                    <w:pStyle w:val="a7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jc w:val="center"/>
                    <w:rPr>
                      <w:rFonts w:eastAsia="黑体"/>
                      <w:b/>
                      <w:bCs/>
                      <w:sz w:val="30"/>
                      <w:szCs w:val="21"/>
                      <w:highlight w:val="yellow"/>
                    </w:rPr>
                  </w:pPr>
                  <w:r>
                    <w:rPr>
                      <w:szCs w:val="21"/>
                    </w:rPr>
                    <w:t>新建</w:t>
                  </w:r>
                </w:p>
              </w:tc>
              <w:tc>
                <w:tcPr>
                  <w:tcW w:w="810" w:type="dxa"/>
                  <w:vAlign w:val="center"/>
                </w:tcPr>
                <w:p>
                  <w:pPr>
                    <w:pStyle w:val="a7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jc w:val="center"/>
                    <w:rPr>
                      <w:rFonts w:eastAsia="黑体"/>
                      <w:b/>
                      <w:bCs/>
                      <w:sz w:val="30"/>
                      <w:szCs w:val="21"/>
                      <w:highlight w:val="yellow"/>
                    </w:rPr>
                  </w:pPr>
                  <w:r>
                    <w:rPr>
                      <w:szCs w:val="21"/>
                    </w:rPr>
                    <w:t>本期</w:t>
                  </w:r>
                </w:p>
              </w:tc>
              <w:tc>
                <w:tcPr>
                  <w:tcW w:w="3478" w:type="dxa"/>
                  <w:vAlign w:val="center"/>
                </w:tcPr>
                <w:p>
                  <w:pPr>
                    <w:pStyle w:val="a7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jc w:val="center"/>
                    <w:rPr>
                      <w:rFonts w:eastAsia="黑体"/>
                      <w:b/>
                      <w:bCs/>
                      <w:sz w:val="30"/>
                      <w:szCs w:val="21"/>
                      <w:highlight w:val="yellow"/>
                    </w:rPr>
                  </w:pPr>
                  <w:r>
                    <w:rPr>
                      <w:szCs w:val="21"/>
                    </w:rPr>
                    <w:t>主变2台(2×50MVA)，110kV进线2回，10kV出线24回</w:t>
                  </w:r>
                </w:p>
              </w:tc>
            </w:tr>
            <w:tr>
              <w:tblPrEx>
                <w:tblW w:w="9002" w:type="dxa"/>
                <w:tblInd w:w="113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68"/>
              </w:trPr>
              <w:tc>
                <w:tcPr>
                  <w:tcW w:w="1129" w:type="dxa"/>
                  <w:vMerge/>
                  <w:vAlign w:val="center"/>
                </w:tcPr>
                <w:p>
                  <w:pPr>
                    <w:pStyle w:val="a8"/>
                    <w:widowControl w:val="0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rPr>
                      <w:rFonts w:ascii="Times New Roman" w:eastAsia="黑体" w:hAnsi="Times New Roman"/>
                      <w:b/>
                      <w:bCs/>
                      <w:highlight w:val="yellow"/>
                    </w:rPr>
                  </w:pPr>
                </w:p>
              </w:tc>
              <w:tc>
                <w:tcPr>
                  <w:tcW w:w="2835" w:type="dxa"/>
                  <w:vMerge/>
                  <w:vAlign w:val="center"/>
                </w:tcPr>
                <w:p>
                  <w:pPr>
                    <w:pStyle w:val="a8"/>
                    <w:widowControl w:val="0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rPr>
                      <w:rFonts w:ascii="Times New Roman" w:eastAsia="黑体" w:hAnsi="Times New Roman"/>
                      <w:b/>
                      <w:bCs/>
                      <w:highlight w:val="yellow"/>
                    </w:rPr>
                  </w:pPr>
                </w:p>
              </w:tc>
              <w:tc>
                <w:tcPr>
                  <w:tcW w:w="750" w:type="dxa"/>
                  <w:vMerge/>
                  <w:vAlign w:val="center"/>
                </w:tcPr>
                <w:p>
                  <w:pPr>
                    <w:pStyle w:val="a7"/>
                    <w:adjustRightInd w:val="0"/>
                    <w:snapToGrid w:val="0"/>
                    <w:spacing w:before="62" w:beforeLines="20" w:after="62" w:afterLines="20"/>
                    <w:ind w:left="195" w:hanging="195" w:hangingChars="65"/>
                    <w:jc w:val="center"/>
                    <w:rPr>
                      <w:rFonts w:eastAsia="黑体"/>
                      <w:b/>
                      <w:bCs/>
                      <w:sz w:val="30"/>
                      <w:szCs w:val="21"/>
                      <w:highlight w:val="yellow"/>
                    </w:rPr>
                  </w:pPr>
                </w:p>
              </w:tc>
              <w:tc>
                <w:tcPr>
                  <w:tcW w:w="810" w:type="dxa"/>
                  <w:vAlign w:val="center"/>
                </w:tcPr>
                <w:p>
                  <w:pPr>
                    <w:pStyle w:val="a7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jc w:val="center"/>
                    <w:rPr>
                      <w:szCs w:val="21"/>
                      <w:highlight w:val="yellow"/>
                    </w:rPr>
                  </w:pPr>
                  <w:r>
                    <w:rPr>
                      <w:szCs w:val="21"/>
                    </w:rPr>
                    <w:t>远期</w:t>
                  </w:r>
                </w:p>
              </w:tc>
              <w:tc>
                <w:tcPr>
                  <w:tcW w:w="3478" w:type="dxa"/>
                  <w:vAlign w:val="center"/>
                </w:tcPr>
                <w:p>
                  <w:pPr>
                    <w:pStyle w:val="a7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jc w:val="center"/>
                    <w:rPr>
                      <w:szCs w:val="21"/>
                      <w:highlight w:val="yellow"/>
                    </w:rPr>
                  </w:pPr>
                  <w:r>
                    <w:rPr>
                      <w:szCs w:val="21"/>
                    </w:rPr>
                    <w:t>主变3台(3×50MVA)，110kV进线3回，10kV出线36回</w:t>
                  </w:r>
                </w:p>
              </w:tc>
            </w:tr>
            <w:tr>
              <w:tblPrEx>
                <w:tblW w:w="9002" w:type="dxa"/>
                <w:tblInd w:w="113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68"/>
              </w:trPr>
              <w:tc>
                <w:tcPr>
                  <w:tcW w:w="1129" w:type="dxa"/>
                  <w:vMerge/>
                  <w:vAlign w:val="center"/>
                </w:tcPr>
                <w:p>
                  <w:pPr>
                    <w:pStyle w:val="a8"/>
                    <w:widowControl w:val="0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rPr>
                      <w:rFonts w:ascii="Times New Roman" w:eastAsia="黑体" w:hAnsi="Times New Roman"/>
                      <w:b/>
                      <w:bCs/>
                      <w:highlight w:val="yellow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DocumentMap"/>
                    <w:shd w:val="clear" w:color="auto" w:fill="auto"/>
                    <w:adjustRightInd w:val="0"/>
                    <w:snapToGrid w:val="0"/>
                    <w:spacing w:before="62" w:beforeLines="20" w:after="62" w:afterLines="20"/>
                    <w:jc w:val="center"/>
                    <w:rPr>
                      <w:highlight w:val="yellow"/>
                    </w:rPr>
                  </w:pPr>
                  <w:r>
                    <w:rPr>
                      <w:rFonts w:hint="eastAsia"/>
                    </w:rPr>
                    <w:t>九里-袍南线</w:t>
                  </w:r>
                  <w:r>
                    <w:rPr>
                      <w:rFonts w:hint="eastAsia"/>
                    </w:rPr>
                    <w:t>π</w:t>
                  </w:r>
                  <w:r>
                    <w:rPr>
                      <w:rFonts w:hint="eastAsia"/>
                    </w:rPr>
                    <w:t>入禹陵变110kV线路</w:t>
                  </w:r>
                </w:p>
              </w:tc>
              <w:tc>
                <w:tcPr>
                  <w:tcW w:w="750" w:type="dxa"/>
                  <w:vAlign w:val="center"/>
                </w:tcPr>
                <w:p>
                  <w:pPr>
                    <w:pStyle w:val="a7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新建</w:t>
                  </w:r>
                </w:p>
              </w:tc>
              <w:tc>
                <w:tcPr>
                  <w:tcW w:w="4288" w:type="dxa"/>
                  <w:gridSpan w:val="2"/>
                  <w:vAlign w:val="center"/>
                </w:tcPr>
                <w:p>
                  <w:pPr>
                    <w:pStyle w:val="a7"/>
                    <w:adjustRightInd w:val="0"/>
                    <w:snapToGrid w:val="0"/>
                    <w:spacing w:before="62" w:beforeLines="20" w:after="62" w:afterLines="20"/>
                    <w:ind w:left="136" w:hanging="136" w:hangingChars="65"/>
                    <w:jc w:val="center"/>
                    <w:rPr>
                      <w:szCs w:val="21"/>
                      <w:highlight w:val="yellow"/>
                    </w:rPr>
                  </w:pPr>
                  <w:r>
                    <w:rPr>
                      <w:szCs w:val="21"/>
                    </w:rPr>
                    <w:t>线路长2×</w:t>
                  </w:r>
                  <w:r>
                    <w:rPr>
                      <w:rFonts w:hint="eastAsia"/>
                      <w:szCs w:val="21"/>
                    </w:rPr>
                    <w:t>0.1</w:t>
                  </w:r>
                  <w:r>
                    <w:rPr>
                      <w:szCs w:val="21"/>
                    </w:rPr>
                    <w:t>km，</w:t>
                  </w:r>
                  <w:r>
                    <w:rPr>
                      <w:rFonts w:hint="eastAsia"/>
                      <w:szCs w:val="21"/>
                    </w:rPr>
                    <w:t>同塔双回路架设</w:t>
                  </w:r>
                  <w:r>
                    <w:rPr>
                      <w:szCs w:val="21"/>
                    </w:rPr>
                    <w:t>。</w:t>
                  </w:r>
                </w:p>
              </w:tc>
            </w:tr>
          </w:tbl>
          <w:p>
            <w:pPr>
              <w:rPr>
                <w:szCs w:val="21"/>
                <w:highlight w:val="yellow"/>
              </w:rPr>
            </w:pPr>
            <w:r>
              <w:rPr>
                <w:szCs w:val="21"/>
              </w:rPr>
              <w:t>注：本次</w:t>
            </w:r>
            <w:r>
              <w:rPr>
                <w:rFonts w:hint="eastAsia"/>
                <w:szCs w:val="21"/>
              </w:rPr>
              <w:t>评价110kV禹陵变电站</w:t>
            </w:r>
            <w:r>
              <w:rPr>
                <w:szCs w:val="21"/>
              </w:rPr>
              <w:t>按远期规模评价。</w:t>
            </w:r>
          </w:p>
          <w:p>
            <w:pPr>
              <w:pStyle w:val="Heading2"/>
              <w:numPr>
                <w:ilvl w:val="0"/>
                <w:numId w:val="0"/>
              </w:numPr>
              <w:tabs>
                <w:tab w:val="clear" w:pos="576"/>
              </w:tabs>
              <w:spacing w:before="0" w:after="0" w:line="300" w:lineRule="auto"/>
              <w:jc w:val="both"/>
              <w:rPr>
                <w:highlight w:val="yellow"/>
              </w:rPr>
            </w:pPr>
          </w:p>
          <w:p>
            <w:pPr>
              <w:pStyle w:val="Heading2"/>
              <w:numPr>
                <w:ilvl w:val="0"/>
                <w:numId w:val="0"/>
              </w:numPr>
              <w:tabs>
                <w:tab w:val="clear" w:pos="576"/>
              </w:tabs>
              <w:spacing w:before="0" w:after="0" w:line="300" w:lineRule="auto"/>
              <w:jc w:val="both"/>
              <w:rPr>
                <w:rFonts w:eastAsia="黑体"/>
              </w:rPr>
            </w:pPr>
            <w:bookmarkStart w:id="2" w:name="_Toc404626389"/>
            <w:r>
              <w:rPr>
                <w:rFonts w:eastAsia="黑体"/>
                <w:b w:val="0"/>
              </w:rPr>
              <w:t>1.2</w:t>
            </w:r>
            <w:r>
              <w:rPr>
                <w:rFonts w:eastAsia="黑体" w:hAnsi="黑体"/>
                <w:b w:val="0"/>
              </w:rPr>
              <w:t>　地理位置</w:t>
            </w:r>
            <w:bookmarkEnd w:id="2"/>
          </w:p>
          <w:p>
            <w:pPr>
              <w:pStyle w:val="BodyTextFirstIndent"/>
              <w:jc w:val="both"/>
              <w:rPr>
                <w:highlight w:val="yellow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110kV禹陵变电站和九里-袍南线</w:t>
            </w:r>
            <w:r>
              <w:rPr>
                <w:rFonts w:hint="eastAsia"/>
                <w:lang w:val="en-US" w:eastAsia="zh-CN"/>
              </w:rPr>
              <w:t>π</w:t>
            </w:r>
            <w:r>
              <w:rPr>
                <w:rFonts w:hint="eastAsia"/>
                <w:lang w:val="en-US" w:eastAsia="zh-CN"/>
              </w:rPr>
              <w:t>入禹陵变110kV线路均位于绍兴市区城东，二环路东侧，属于会稽山旅游度假区，行政区划上隶属越城区。</w:t>
            </w:r>
          </w:p>
          <w:p>
            <w:pPr>
              <w:pStyle w:val="Heading2"/>
              <w:numPr>
                <w:ilvl w:val="0"/>
                <w:numId w:val="0"/>
              </w:numPr>
              <w:tabs>
                <w:tab w:val="clear" w:pos="576"/>
              </w:tabs>
              <w:spacing w:before="0" w:after="0" w:line="300" w:lineRule="auto"/>
              <w:jc w:val="both"/>
              <w:rPr>
                <w:rFonts w:eastAsia="黑体"/>
              </w:rPr>
            </w:pPr>
            <w:bookmarkStart w:id="3" w:name="_Toc404626390"/>
            <w:r>
              <w:rPr>
                <w:rFonts w:eastAsia="黑体"/>
                <w:b w:val="0"/>
              </w:rPr>
              <w:t>1.3</w:t>
            </w:r>
            <w:r>
              <w:rPr>
                <w:rFonts w:eastAsia="黑体" w:hAnsi="黑体"/>
                <w:b w:val="0"/>
              </w:rPr>
              <w:t>工程概况</w:t>
            </w:r>
            <w:bookmarkEnd w:id="3"/>
          </w:p>
          <w:p>
            <w:pPr>
              <w:pStyle w:val="Heading4"/>
              <w:numPr>
                <w:ilvl w:val="0"/>
                <w:numId w:val="0"/>
              </w:numPr>
              <w:tabs>
                <w:tab w:val="clear" w:pos="1224"/>
              </w:tabs>
              <w:jc w:val="both"/>
            </w:pPr>
            <w:r>
              <w:rPr>
                <w:b w:val="0"/>
              </w:rPr>
              <w:t>1.3.</w:t>
            </w:r>
            <w:r>
              <w:rPr>
                <w:rFonts w:hint="eastAsia"/>
                <w:b w:val="0"/>
              </w:rPr>
              <w:t>1变电站</w:t>
            </w:r>
            <w:r>
              <w:rPr>
                <w:b w:val="0"/>
              </w:rPr>
              <w:t>概况</w:t>
            </w:r>
          </w:p>
          <w:p>
            <w:pPr>
              <w:pStyle w:val="BodyTextFirstIndent"/>
              <w:rPr>
                <w:highlight w:val="yellow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110kV禹陵变电站站址位于绍兴市区城东，二环路东侧，宝业四季园北侧美女山脚下。从地貌形态上看属平原与坡地交接地带，东侧部分位于低山坡略高，西侧略低，地表高程在5.50～6.70m 之间。场区现状主要为棚屋区。变电站土地使用性质为非农保地。</w:t>
            </w:r>
          </w:p>
          <w:p>
            <w:pPr>
              <w:pStyle w:val="a4"/>
              <w:spacing w:line="360" w:lineRule="auto"/>
              <w:ind w:firstLine="480" w:firstLineChars="200"/>
              <w:jc w:val="both"/>
              <w:rPr>
                <w:rFonts w:ascii="Times New Roman" w:eastAsia="宋体" w:hAnsi="Times New Roman"/>
                <w:sz w:val="24"/>
              </w:rPr>
            </w:pPr>
            <w:r>
              <w:rPr>
                <w:rFonts w:ascii="Times New Roman" w:eastAsia="宋体" w:hAnsi="Times New Roman" w:hint="eastAsia"/>
                <w:sz w:val="24"/>
              </w:rPr>
              <w:t>110kV禹陵变电站建设规模情况见表1.3-1。</w:t>
            </w:r>
          </w:p>
          <w:p>
            <w:pPr>
              <w:pStyle w:val="a4"/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110kV禹陵变电站</w:t>
            </w:r>
            <w:r>
              <w:rPr>
                <w:rFonts w:ascii="Times New Roman" w:hAnsi="Times New Roman"/>
                <w:sz w:val="24"/>
              </w:rPr>
              <w:t>建设规模技术参数一览表</w:t>
            </w:r>
          </w:p>
          <w:p>
            <w:pPr>
              <w:pStyle w:val="a9"/>
            </w:pPr>
            <w:r>
              <w:t>表1.3-1</w:t>
            </w:r>
          </w:p>
          <w:tbl>
            <w:tblPr>
              <w:tblStyle w:val="TableNormal"/>
              <w:tblW w:w="9028" w:type="dxa"/>
              <w:jc w:val="center"/>
              <w:tblInd w:w="118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2" w:space="0" w:color="auto"/>
                <w:insideV w:val="single" w:sz="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2859"/>
              <w:gridCol w:w="1260"/>
              <w:gridCol w:w="4909"/>
            </w:tblGrid>
            <w:tr>
              <w:tblPrEx>
                <w:tblW w:w="9028" w:type="dxa"/>
                <w:jc w:val="center"/>
                <w:tblInd w:w="118" w:type="dxa"/>
                <w:tbl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  <w:insideH w:val="single" w:sz="2" w:space="0" w:color="auto"/>
                  <w:insideV w:val="single" w:sz="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33"/>
                <w:jc w:val="center"/>
              </w:trPr>
              <w:tc>
                <w:tcPr>
                  <w:tcW w:w="2859" w:type="dxa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项目</w:t>
                  </w:r>
                </w:p>
              </w:tc>
              <w:tc>
                <w:tcPr>
                  <w:tcW w:w="6169" w:type="dxa"/>
                  <w:gridSpan w:val="2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</w:rPr>
                    <w:t>110kV禹陵变电站</w:t>
                  </w:r>
                </w:p>
              </w:tc>
            </w:tr>
            <w:tr>
              <w:tblPrEx>
                <w:tblW w:w="9028" w:type="dxa"/>
                <w:jc w:val="center"/>
                <w:tblInd w:w="118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17"/>
                <w:jc w:val="center"/>
              </w:trPr>
              <w:tc>
                <w:tcPr>
                  <w:tcW w:w="2859" w:type="dxa"/>
                  <w:vMerge w:val="restart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主变容量</w:t>
                  </w:r>
                </w:p>
              </w:tc>
              <w:tc>
                <w:tcPr>
                  <w:tcW w:w="1260" w:type="dxa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本期</w:t>
                  </w:r>
                </w:p>
              </w:tc>
              <w:tc>
                <w:tcPr>
                  <w:tcW w:w="4909" w:type="dxa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2×50MVA</w:t>
                  </w:r>
                </w:p>
              </w:tc>
            </w:tr>
            <w:tr>
              <w:tblPrEx>
                <w:tblW w:w="9028" w:type="dxa"/>
                <w:jc w:val="center"/>
                <w:tblInd w:w="118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152"/>
                <w:jc w:val="center"/>
              </w:trPr>
              <w:tc>
                <w:tcPr>
                  <w:tcW w:w="2859" w:type="dxa"/>
                  <w:vMerge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rFonts w:eastAsia="黑体"/>
                      <w:b/>
                      <w:bCs/>
                      <w:sz w:val="30"/>
                      <w:szCs w:val="21"/>
                    </w:rPr>
                  </w:pPr>
                </w:p>
              </w:tc>
              <w:tc>
                <w:tcPr>
                  <w:tcW w:w="1260" w:type="dxa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远期</w:t>
                  </w:r>
                </w:p>
              </w:tc>
              <w:tc>
                <w:tcPr>
                  <w:tcW w:w="4909" w:type="dxa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3×50MVA</w:t>
                  </w:r>
                </w:p>
              </w:tc>
            </w:tr>
            <w:tr>
              <w:tblPrEx>
                <w:tblW w:w="9028" w:type="dxa"/>
                <w:jc w:val="center"/>
                <w:tblInd w:w="118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651"/>
                <w:jc w:val="center"/>
              </w:trPr>
              <w:tc>
                <w:tcPr>
                  <w:tcW w:w="2859" w:type="dxa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主变型号</w:t>
                  </w:r>
                </w:p>
              </w:tc>
              <w:tc>
                <w:tcPr>
                  <w:tcW w:w="6169" w:type="dxa"/>
                  <w:gridSpan w:val="2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110kV 三相双绕组有载调压变压器</w:t>
                  </w:r>
                </w:p>
              </w:tc>
            </w:tr>
          </w:tbl>
          <w:p/>
        </w:tc>
      </w:tr>
    </w:tbl>
    <w:p>
      <w:pPr>
        <w:sectPr>
          <w:footerReference w:type="even" r:id="rId8"/>
          <w:footerReference w:type="default" r:id="rId9"/>
          <w:pgSz w:w="11906" w:h="16838"/>
          <w:pgMar w:top="1418" w:right="1418" w:bottom="1418" w:left="1418" w:header="851" w:footer="992" w:gutter="0"/>
          <w:pgNumType w:start="2"/>
          <w:cols w:space="708"/>
          <w:docGrid w:type="lines" w:linePitch="312"/>
        </w:sectPr>
      </w:pPr>
    </w:p>
    <w:tbl>
      <w:tblPr>
        <w:tblStyle w:val="TableNormal"/>
        <w:tblW w:w="500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293"/>
      </w:tblGrid>
      <w:tr>
        <w:tblPrEx>
          <w:tblW w:w="5004" w:type="pc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3824"/>
        </w:trPr>
        <w:tc>
          <w:tcPr>
            <w:tcW w:w="5000" w:type="pct"/>
            <w:vAlign w:val="center"/>
          </w:tcPr>
          <w:tbl>
            <w:tblPr>
              <w:tblStyle w:val="TableNormal"/>
              <w:tblW w:w="9028" w:type="dxa"/>
              <w:jc w:val="center"/>
              <w:tblInd w:w="118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2" w:space="0" w:color="auto"/>
                <w:insideV w:val="single" w:sz="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2859"/>
              <w:gridCol w:w="1260"/>
              <w:gridCol w:w="2400"/>
              <w:gridCol w:w="2509"/>
            </w:tblGrid>
            <w:tr>
              <w:tblPrEx>
                <w:tblW w:w="9028" w:type="dxa"/>
                <w:jc w:val="center"/>
                <w:tblInd w:w="118" w:type="dxa"/>
                <w:tbl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  <w:insideH w:val="single" w:sz="2" w:space="0" w:color="auto"/>
                  <w:insideV w:val="single" w:sz="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502"/>
                <w:jc w:val="center"/>
              </w:trPr>
              <w:tc>
                <w:tcPr>
                  <w:tcW w:w="2859" w:type="dxa"/>
                  <w:vMerge w:val="restart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电气主接线</w:t>
                  </w:r>
                </w:p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(内桥接线/线变组接线/单母线分段接线)</w:t>
                  </w:r>
                </w:p>
              </w:tc>
              <w:tc>
                <w:tcPr>
                  <w:tcW w:w="1260" w:type="dxa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本期</w:t>
                  </w:r>
                </w:p>
              </w:tc>
              <w:tc>
                <w:tcPr>
                  <w:tcW w:w="2400" w:type="dxa"/>
                  <w:tcBorders>
                    <w:right w:val="single" w:sz="4" w:space="0" w:color="auto"/>
                  </w:tcBorders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110kV进线2回</w:t>
                  </w:r>
                </w:p>
              </w:tc>
              <w:tc>
                <w:tcPr>
                  <w:tcW w:w="2509" w:type="dxa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10kV出线24回</w:t>
                  </w:r>
                </w:p>
              </w:tc>
            </w:tr>
            <w:tr>
              <w:tblPrEx>
                <w:tblW w:w="9028" w:type="dxa"/>
                <w:jc w:val="center"/>
                <w:tblInd w:w="118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463"/>
                <w:jc w:val="center"/>
              </w:trPr>
              <w:tc>
                <w:tcPr>
                  <w:tcW w:w="2859" w:type="dxa"/>
                  <w:vMerge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rFonts w:eastAsia="黑体"/>
                      <w:b/>
                      <w:bCs/>
                      <w:sz w:val="30"/>
                      <w:szCs w:val="21"/>
                    </w:rPr>
                  </w:pPr>
                </w:p>
              </w:tc>
              <w:tc>
                <w:tcPr>
                  <w:tcW w:w="1260" w:type="dxa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远期</w:t>
                  </w:r>
                </w:p>
              </w:tc>
              <w:tc>
                <w:tcPr>
                  <w:tcW w:w="2400" w:type="dxa"/>
                  <w:tcBorders>
                    <w:right w:val="single" w:sz="4" w:space="0" w:color="auto"/>
                  </w:tcBorders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110kV进线3回</w:t>
                  </w:r>
                </w:p>
              </w:tc>
              <w:tc>
                <w:tcPr>
                  <w:tcW w:w="2509" w:type="dxa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10kV出线36回</w:t>
                  </w:r>
                </w:p>
              </w:tc>
            </w:tr>
            <w:tr>
              <w:tblPrEx>
                <w:tblW w:w="9028" w:type="dxa"/>
                <w:jc w:val="center"/>
                <w:tblInd w:w="118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7"/>
                <w:jc w:val="center"/>
              </w:trPr>
              <w:tc>
                <w:tcPr>
                  <w:tcW w:w="2859" w:type="dxa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并联电容器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</w:tcBorders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本期</w:t>
                  </w:r>
                </w:p>
              </w:tc>
              <w:tc>
                <w:tcPr>
                  <w:tcW w:w="4909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 xml:space="preserve">2×(4800＋3600)kvar </w:t>
                  </w:r>
                </w:p>
              </w:tc>
            </w:tr>
            <w:tr>
              <w:tblPrEx>
                <w:tblW w:w="9028" w:type="dxa"/>
                <w:jc w:val="center"/>
                <w:tblInd w:w="118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664"/>
                <w:jc w:val="center"/>
              </w:trPr>
              <w:tc>
                <w:tcPr>
                  <w:tcW w:w="2859" w:type="dxa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接地变和消弧线圈</w:t>
                  </w:r>
                </w:p>
              </w:tc>
              <w:tc>
                <w:tcPr>
                  <w:tcW w:w="1260" w:type="dxa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本期</w:t>
                  </w:r>
                </w:p>
              </w:tc>
              <w:tc>
                <w:tcPr>
                  <w:tcW w:w="4909" w:type="dxa"/>
                  <w:gridSpan w:val="2"/>
                  <w:vAlign w:val="center"/>
                </w:tcPr>
                <w:p>
                  <w:pPr>
                    <w:spacing w:before="62" w:beforeLines="20" w:after="62" w:afterLines="20"/>
                    <w:jc w:val="center"/>
                    <w:rPr>
                      <w:szCs w:val="21"/>
                    </w:rPr>
                  </w:pPr>
                  <w:r>
                    <w:rPr>
                      <w:szCs w:val="21"/>
                    </w:rPr>
                    <w:t>容量为</w:t>
                  </w:r>
                  <w:r>
                    <w:rPr>
                      <w:rFonts w:hint="eastAsia"/>
                      <w:szCs w:val="21"/>
                    </w:rPr>
                    <w:t>11</w:t>
                  </w:r>
                  <w:r>
                    <w:rPr>
                      <w:szCs w:val="21"/>
                    </w:rPr>
                    <w:t>00kVA接地变兼所用变2台，容量为</w:t>
                  </w:r>
                  <w:r>
                    <w:rPr>
                      <w:rFonts w:hint="eastAsia"/>
                      <w:szCs w:val="21"/>
                    </w:rPr>
                    <w:t>100</w:t>
                  </w:r>
                  <w:r>
                    <w:rPr>
                      <w:szCs w:val="21"/>
                    </w:rPr>
                    <w:t>0kVA的消弧线圈2台</w:t>
                  </w:r>
                </w:p>
              </w:tc>
            </w:tr>
          </w:tbl>
          <w:p>
            <w:pPr>
              <w:pStyle w:val="a17"/>
              <w:ind w:right="107" w:firstLine="82"/>
              <w:jc w:val="both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/>
                <w:szCs w:val="21"/>
              </w:rPr>
              <w:t>注：本次</w:t>
            </w:r>
            <w:r>
              <w:rPr>
                <w:rFonts w:ascii="Times New Roman" w:eastAsia="宋体" w:hAnsi="Times New Roman" w:hint="eastAsia"/>
                <w:szCs w:val="21"/>
              </w:rPr>
              <w:t>评价110kV禹陵变电站</w:t>
            </w:r>
            <w:r>
              <w:rPr>
                <w:rFonts w:ascii="Times New Roman" w:eastAsia="宋体" w:hAnsi="Times New Roman"/>
                <w:szCs w:val="21"/>
              </w:rPr>
              <w:t>按远期规模评价。</w:t>
            </w:r>
          </w:p>
          <w:p>
            <w:pPr>
              <w:rPr>
                <w:sz w:val="24"/>
                <w:highlight w:val="yellow"/>
              </w:rPr>
            </w:pPr>
          </w:p>
          <w:p>
            <w:pPr>
              <w:pStyle w:val="Heading4"/>
              <w:numPr>
                <w:ilvl w:val="0"/>
                <w:numId w:val="0"/>
              </w:numPr>
              <w:tabs>
                <w:tab w:val="clear" w:pos="1224"/>
              </w:tabs>
              <w:jc w:val="both"/>
            </w:pPr>
            <w:r>
              <w:rPr>
                <w:b w:val="0"/>
              </w:rPr>
              <w:t>1.3.2输电线路概况</w:t>
            </w:r>
          </w:p>
          <w:p>
            <w:pPr>
              <w:pStyle w:val="BodyTextFirstIndent"/>
              <w:rPr>
                <w:lang w:val="en-US" w:eastAsia="zh-CN"/>
              </w:rPr>
            </w:pPr>
            <w:r>
              <w:rPr>
                <w:lang w:val="en-US" w:eastAsia="zh-CN"/>
              </w:rPr>
              <w:t>工程</w:t>
            </w:r>
            <w:r>
              <w:rPr>
                <w:rFonts w:hint="eastAsia"/>
                <w:lang w:val="en-US" w:eastAsia="zh-CN"/>
              </w:rPr>
              <w:t>九里-袍</w:t>
            </w:r>
            <w:r>
              <w:rPr>
                <w:lang w:val="en-US" w:eastAsia="zh-CN"/>
              </w:rPr>
              <w:t>南线π入禹陵变110kV线路长2×0.1km</w:t>
            </w:r>
            <w:r>
              <w:rPr>
                <w:rFonts w:hint="eastAsia"/>
                <w:lang w:val="en-US" w:eastAsia="zh-CN"/>
              </w:rPr>
              <w:t>，同塔双回架设</w:t>
            </w:r>
            <w:r>
              <w:rPr>
                <w:lang w:val="en-US" w:eastAsia="zh-CN"/>
              </w:rPr>
              <w:t>，起自</w:t>
            </w:r>
            <w:r>
              <w:rPr>
                <w:rFonts w:hint="eastAsia"/>
                <w:lang w:val="en-US" w:eastAsia="zh-CN"/>
              </w:rPr>
              <w:t>110kV九里至袍南的线路(目前为110kV九樊1403 线</w:t>
            </w:r>
            <w:r>
              <w:rPr>
                <w:lang w:val="en-US" w:eastAsia="zh-CN"/>
              </w:rPr>
              <w:t>34#-36#之间</w:t>
            </w:r>
            <w:r>
              <w:rPr>
                <w:rFonts w:hint="eastAsia"/>
                <w:lang w:val="en-US" w:eastAsia="zh-CN"/>
              </w:rPr>
              <w:t>)</w:t>
            </w:r>
            <w:r>
              <w:rPr>
                <w:lang w:val="en-US" w:eastAsia="zh-CN"/>
              </w:rPr>
              <w:t>，止于110kV禹陵变电站。</w:t>
            </w:r>
          </w:p>
          <w:p>
            <w:pPr>
              <w:pStyle w:val="BodyTextFirstIndent"/>
              <w:ind w:firstLine="0" w:firstLineChars="0"/>
              <w:jc w:val="both"/>
              <w:rPr>
                <w:highlight w:val="yellow"/>
                <w:lang w:val="en-US" w:eastAsia="zh-CN"/>
              </w:rPr>
            </w:pPr>
          </w:p>
        </w:tc>
      </w:tr>
    </w:tbl>
    <w:p>
      <w:pPr>
        <w:pStyle w:val="Heading1"/>
        <w:tabs>
          <w:tab w:val="left" w:pos="432"/>
        </w:tabs>
        <w:rPr>
          <w:highlight w:val="yellow"/>
        </w:rPr>
        <w:sectPr>
          <w:footerReference w:type="even" r:id="rId10"/>
          <w:footerReference w:type="default" r:id="rId11"/>
          <w:type w:val="nextPage"/>
          <w:pgSz w:w="11906" w:h="16838"/>
          <w:pgMar w:top="1418" w:right="1418" w:bottom="1418" w:left="1418" w:header="851" w:footer="992" w:gutter="0"/>
          <w:pgNumType w:start="3"/>
          <w:cols w:space="708"/>
          <w:titlePg w:val="0"/>
          <w:docGrid w:type="lines" w:linePitch="312"/>
        </w:sectPr>
      </w:pPr>
    </w:p>
    <w:p>
      <w:pPr>
        <w:pStyle w:val="Heading1"/>
        <w:numPr>
          <w:ilvl w:val="0"/>
          <w:numId w:val="0"/>
        </w:numPr>
        <w:tabs>
          <w:tab w:val="clear" w:pos="432"/>
        </w:tabs>
        <w:rPr>
          <w:sz w:val="32"/>
          <w:szCs w:val="32"/>
        </w:rPr>
      </w:pPr>
      <w:bookmarkStart w:id="4" w:name="_Toc404626391"/>
      <w:r>
        <w:rPr>
          <w:rFonts w:hint="eastAsia"/>
          <w:b w:val="0"/>
          <w:sz w:val="32"/>
          <w:szCs w:val="32"/>
        </w:rPr>
        <w:t>2</w:t>
      </w:r>
      <w:r>
        <w:rPr>
          <w:b w:val="0"/>
          <w:sz w:val="32"/>
          <w:szCs w:val="32"/>
        </w:rPr>
        <w:t>　环境质量现状</w:t>
      </w:r>
    </w:p>
    <w:tbl>
      <w:tblPr>
        <w:tblStyle w:val="TableNormal"/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288"/>
      </w:tblGrid>
      <w:tr>
        <w:tblPrEx>
          <w:tblW w:w="5001" w:type="pc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95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>
            <w:pPr>
              <w:pStyle w:val="Heading2"/>
              <w:numPr>
                <w:ilvl w:val="0"/>
                <w:numId w:val="0"/>
              </w:numPr>
              <w:tabs>
                <w:tab w:val="clear" w:pos="576"/>
              </w:tabs>
              <w:spacing w:before="0" w:after="0"/>
              <w:jc w:val="both"/>
              <w:rPr>
                <w:rFonts w:eastAsia="黑体"/>
                <w:snapToGrid w:val="0"/>
                <w:kern w:val="0"/>
              </w:rPr>
            </w:pPr>
            <w:bookmarkEnd w:id="4"/>
            <w:bookmarkStart w:id="5" w:name="_Toc404626392"/>
            <w:r>
              <w:rPr>
                <w:rFonts w:eastAsia="黑体" w:hint="eastAsia"/>
                <w:b w:val="0"/>
                <w:snapToGrid w:val="0"/>
                <w:kern w:val="0"/>
              </w:rPr>
              <w:t>2</w:t>
            </w:r>
            <w:r>
              <w:rPr>
                <w:rFonts w:eastAsia="黑体"/>
                <w:b w:val="0"/>
                <w:snapToGrid w:val="0"/>
                <w:kern w:val="0"/>
              </w:rPr>
              <w:t>.1电磁环境质量现状</w:t>
            </w:r>
            <w:bookmarkEnd w:id="5"/>
          </w:p>
          <w:p>
            <w:pPr>
              <w:spacing w:line="360" w:lineRule="auto"/>
              <w:ind w:firstLine="480"/>
              <w:rPr>
                <w:snapToGrid w:val="0"/>
                <w:kern w:val="0"/>
                <w:sz w:val="24"/>
              </w:rPr>
            </w:pPr>
            <w:r>
              <w:rPr>
                <w:snapToGrid w:val="0"/>
                <w:kern w:val="0"/>
                <w:sz w:val="24"/>
              </w:rPr>
              <w:t>110kV禹陵变电站所在区域工频电场强度在</w:t>
            </w:r>
            <w:r>
              <w:rPr>
                <w:rFonts w:hint="eastAsia"/>
                <w:snapToGrid w:val="0"/>
                <w:kern w:val="0"/>
                <w:sz w:val="24"/>
              </w:rPr>
              <w:t>0.004</w:t>
            </w:r>
            <w:r>
              <w:rPr>
                <w:snapToGrid w:val="0"/>
                <w:kern w:val="0"/>
                <w:sz w:val="24"/>
              </w:rPr>
              <w:t>～</w:t>
            </w:r>
            <w:r>
              <w:rPr>
                <w:rFonts w:hint="eastAsia"/>
                <w:snapToGrid w:val="0"/>
                <w:kern w:val="0"/>
                <w:sz w:val="24"/>
              </w:rPr>
              <w:t>0.143k</w:t>
            </w:r>
            <w:r>
              <w:rPr>
                <w:snapToGrid w:val="0"/>
                <w:kern w:val="0"/>
                <w:sz w:val="24"/>
              </w:rPr>
              <w:t>V/m之间，</w:t>
            </w:r>
            <w:r>
              <w:rPr>
                <w:rFonts w:hint="eastAsia"/>
                <w:snapToGrid w:val="0"/>
                <w:kern w:val="0"/>
                <w:sz w:val="24"/>
              </w:rPr>
              <w:t>工频</w:t>
            </w:r>
            <w:r>
              <w:rPr>
                <w:snapToGrid w:val="0"/>
                <w:kern w:val="0"/>
                <w:sz w:val="24"/>
              </w:rPr>
              <w:t>磁感应强度在</w:t>
            </w:r>
            <w:r>
              <w:rPr>
                <w:rFonts w:hint="eastAsia"/>
                <w:snapToGrid w:val="0"/>
                <w:kern w:val="0"/>
                <w:sz w:val="24"/>
              </w:rPr>
              <w:t>0.020</w:t>
            </w:r>
            <w:r>
              <w:rPr>
                <w:snapToGrid w:val="0"/>
                <w:kern w:val="0"/>
                <w:sz w:val="24"/>
              </w:rPr>
              <w:t>～</w:t>
            </w:r>
            <w:r>
              <w:rPr>
                <w:rFonts w:hint="eastAsia"/>
                <w:snapToGrid w:val="0"/>
                <w:kern w:val="0"/>
                <w:sz w:val="24"/>
              </w:rPr>
              <w:t>0.032</w:t>
            </w:r>
            <w:r>
              <w:rPr>
                <w:kern w:val="0"/>
                <w:sz w:val="24"/>
              </w:rPr>
              <w:t>μ</w:t>
            </w:r>
            <w:r>
              <w:rPr>
                <w:snapToGrid w:val="0"/>
                <w:kern w:val="0"/>
                <w:sz w:val="24"/>
              </w:rPr>
              <w:t>T之间</w:t>
            </w:r>
            <w:r>
              <w:rPr>
                <w:rFonts w:hint="eastAsia"/>
                <w:snapToGrid w:val="0"/>
                <w:kern w:val="0"/>
                <w:sz w:val="24"/>
              </w:rPr>
              <w:t>；</w:t>
            </w:r>
            <w:r>
              <w:rPr>
                <w:snapToGrid w:val="0"/>
                <w:kern w:val="0"/>
                <w:sz w:val="24"/>
              </w:rPr>
              <w:t>变电站周边敏感点的工频电场强度在</w:t>
            </w:r>
            <w:r>
              <w:rPr>
                <w:rFonts w:hint="eastAsia"/>
                <w:snapToGrid w:val="0"/>
                <w:kern w:val="0"/>
                <w:sz w:val="24"/>
              </w:rPr>
              <w:t>0.002</w:t>
            </w:r>
            <w:r>
              <w:rPr>
                <w:snapToGrid w:val="0"/>
                <w:kern w:val="0"/>
                <w:sz w:val="24"/>
              </w:rPr>
              <w:t>～</w:t>
            </w:r>
            <w:r>
              <w:rPr>
                <w:rFonts w:hint="eastAsia"/>
                <w:snapToGrid w:val="0"/>
                <w:kern w:val="0"/>
                <w:sz w:val="24"/>
              </w:rPr>
              <w:t>0.004 k</w:t>
            </w:r>
            <w:r>
              <w:rPr>
                <w:snapToGrid w:val="0"/>
                <w:kern w:val="0"/>
                <w:sz w:val="24"/>
              </w:rPr>
              <w:t>V/m之间，</w:t>
            </w:r>
            <w:r>
              <w:rPr>
                <w:rFonts w:hint="eastAsia"/>
                <w:snapToGrid w:val="0"/>
                <w:kern w:val="0"/>
                <w:sz w:val="24"/>
              </w:rPr>
              <w:t>工频</w:t>
            </w:r>
            <w:r>
              <w:rPr>
                <w:snapToGrid w:val="0"/>
                <w:kern w:val="0"/>
                <w:sz w:val="24"/>
              </w:rPr>
              <w:t>磁感应强度在</w:t>
            </w:r>
            <w:r>
              <w:rPr>
                <w:rFonts w:hint="eastAsia"/>
                <w:snapToGrid w:val="0"/>
                <w:kern w:val="0"/>
                <w:sz w:val="24"/>
              </w:rPr>
              <w:t>0.019</w:t>
            </w:r>
            <w:r>
              <w:rPr>
                <w:snapToGrid w:val="0"/>
                <w:kern w:val="0"/>
                <w:sz w:val="24"/>
              </w:rPr>
              <w:t>～</w:t>
            </w:r>
            <w:r>
              <w:rPr>
                <w:rFonts w:hint="eastAsia"/>
                <w:snapToGrid w:val="0"/>
                <w:kern w:val="0"/>
                <w:sz w:val="24"/>
              </w:rPr>
              <w:t>0.021</w:t>
            </w:r>
            <w:r>
              <w:rPr>
                <w:kern w:val="0"/>
                <w:sz w:val="24"/>
              </w:rPr>
              <w:t>μ</w:t>
            </w:r>
            <w:r>
              <w:rPr>
                <w:snapToGrid w:val="0"/>
                <w:kern w:val="0"/>
                <w:sz w:val="24"/>
              </w:rPr>
              <w:t>T之间。监测结果均小于居民区工频电场评价标准4kV/m，</w:t>
            </w:r>
            <w:r>
              <w:rPr>
                <w:rFonts w:hint="eastAsia"/>
                <w:snapToGrid w:val="0"/>
                <w:kern w:val="0"/>
                <w:sz w:val="24"/>
              </w:rPr>
              <w:t>工频</w:t>
            </w:r>
            <w:r>
              <w:rPr>
                <w:snapToGrid w:val="0"/>
                <w:kern w:val="0"/>
                <w:sz w:val="24"/>
              </w:rPr>
              <w:t>磁感应强度评价标准0.1mT。</w:t>
            </w:r>
          </w:p>
          <w:p>
            <w:pPr>
              <w:spacing w:line="360" w:lineRule="auto"/>
              <w:ind w:firstLine="480"/>
              <w:rPr>
                <w:snapToGrid w:val="0"/>
                <w:kern w:val="0"/>
                <w:sz w:val="24"/>
              </w:rPr>
            </w:pPr>
            <w:r>
              <w:rPr>
                <w:snapToGrid w:val="0"/>
                <w:kern w:val="0"/>
                <w:sz w:val="24"/>
              </w:rPr>
              <w:t>监测频率为0.5MHz时，110kV禹陵变电站所在区域无线电干扰值为</w:t>
            </w:r>
            <w:r>
              <w:rPr>
                <w:rFonts w:hint="eastAsia"/>
                <w:snapToGrid w:val="0"/>
                <w:kern w:val="0"/>
                <w:sz w:val="24"/>
              </w:rPr>
              <w:t>41.1</w:t>
            </w:r>
            <w:r>
              <w:rPr>
                <w:snapToGrid w:val="0"/>
                <w:kern w:val="0"/>
                <w:sz w:val="24"/>
              </w:rPr>
              <w:t>dB(μV/m)，变电站周边敏感点的无线电干扰值在</w:t>
            </w:r>
            <w:r>
              <w:rPr>
                <w:rFonts w:hint="eastAsia"/>
                <w:snapToGrid w:val="0"/>
                <w:kern w:val="0"/>
                <w:sz w:val="24"/>
              </w:rPr>
              <w:t>38.9</w:t>
            </w:r>
            <w:r>
              <w:rPr>
                <w:snapToGrid w:val="0"/>
                <w:kern w:val="0"/>
                <w:sz w:val="24"/>
              </w:rPr>
              <w:t>～</w:t>
            </w:r>
            <w:r>
              <w:rPr>
                <w:rFonts w:hint="eastAsia"/>
                <w:snapToGrid w:val="0"/>
                <w:kern w:val="0"/>
                <w:sz w:val="24"/>
              </w:rPr>
              <w:t>45.0</w:t>
            </w:r>
            <w:r>
              <w:rPr>
                <w:snapToGrid w:val="0"/>
                <w:kern w:val="0"/>
                <w:sz w:val="24"/>
              </w:rPr>
              <w:t>dB(μV/m)之间</w:t>
            </w:r>
            <w:r>
              <w:rPr>
                <w:rFonts w:hint="eastAsia"/>
                <w:snapToGrid w:val="0"/>
                <w:kern w:val="0"/>
                <w:sz w:val="24"/>
              </w:rPr>
              <w:t>，</w:t>
            </w:r>
            <w:r>
              <w:rPr>
                <w:snapToGrid w:val="0"/>
                <w:kern w:val="0"/>
                <w:sz w:val="24"/>
              </w:rPr>
              <w:t>监测结果均小于无线电干扰限值</w:t>
            </w:r>
            <w:r>
              <w:rPr>
                <w:rFonts w:hint="eastAsia"/>
                <w:snapToGrid w:val="0"/>
                <w:kern w:val="0"/>
                <w:sz w:val="24"/>
              </w:rPr>
              <w:t>46</w:t>
            </w:r>
            <w:r>
              <w:rPr>
                <w:snapToGrid w:val="0"/>
                <w:kern w:val="0"/>
                <w:sz w:val="24"/>
              </w:rPr>
              <w:t>dB(μV/m)(晴天条件下，测试频率为0.5MHz)。</w:t>
            </w:r>
          </w:p>
          <w:p>
            <w:pPr>
              <w:pStyle w:val="Heading2"/>
              <w:numPr>
                <w:ilvl w:val="0"/>
                <w:numId w:val="0"/>
              </w:numPr>
              <w:tabs>
                <w:tab w:val="clear" w:pos="576"/>
              </w:tabs>
              <w:spacing w:before="0" w:after="0"/>
              <w:jc w:val="both"/>
              <w:rPr>
                <w:rFonts w:eastAsia="黑体"/>
                <w:snapToGrid w:val="0"/>
                <w:kern w:val="0"/>
              </w:rPr>
            </w:pPr>
            <w:bookmarkStart w:id="6" w:name="_Toc404626393"/>
            <w:r>
              <w:rPr>
                <w:rFonts w:eastAsia="黑体" w:hint="eastAsia"/>
                <w:b w:val="0"/>
                <w:snapToGrid w:val="0"/>
                <w:kern w:val="0"/>
              </w:rPr>
              <w:t>2</w:t>
            </w:r>
            <w:r>
              <w:rPr>
                <w:rFonts w:eastAsia="黑体"/>
                <w:b w:val="0"/>
                <w:snapToGrid w:val="0"/>
                <w:kern w:val="0"/>
              </w:rPr>
              <w:t>.2　声环境质量现状</w:t>
            </w:r>
            <w:bookmarkEnd w:id="6"/>
          </w:p>
          <w:p>
            <w:pPr>
              <w:spacing w:line="500" w:lineRule="exact"/>
              <w:ind w:firstLine="480" w:firstLineChars="200"/>
              <w:rPr>
                <w:sz w:val="24"/>
              </w:rPr>
            </w:pPr>
            <w:bookmarkStart w:id="7" w:name="OLE_LINK4"/>
            <w:r>
              <w:rPr>
                <w:rFonts w:hint="eastAsia"/>
                <w:sz w:val="24"/>
              </w:rPr>
              <w:t>11</w:t>
            </w:r>
            <w:r>
              <w:rPr>
                <w:sz w:val="24"/>
              </w:rPr>
              <w:t>0kV</w:t>
            </w:r>
            <w:r>
              <w:rPr>
                <w:rFonts w:hint="eastAsia"/>
                <w:sz w:val="24"/>
              </w:rPr>
              <w:t>禹陵变电站站址西厂界</w:t>
            </w:r>
            <w:r>
              <w:rPr>
                <w:sz w:val="24"/>
              </w:rPr>
              <w:t>昼间噪声值</w:t>
            </w:r>
            <w:r>
              <w:rPr>
                <w:rFonts w:hint="eastAsia"/>
                <w:sz w:val="24"/>
              </w:rPr>
              <w:t>为59.0</w:t>
            </w:r>
            <w:r>
              <w:rPr>
                <w:sz w:val="24"/>
              </w:rPr>
              <w:t>dB(A)，夜间噪声值</w:t>
            </w:r>
            <w:r>
              <w:rPr>
                <w:rFonts w:hint="eastAsia"/>
                <w:sz w:val="24"/>
              </w:rPr>
              <w:t>为43.1</w:t>
            </w:r>
            <w:r>
              <w:rPr>
                <w:sz w:val="24"/>
              </w:rPr>
              <w:t>dB</w:t>
            </w:r>
            <w:r>
              <w:rPr>
                <w:rFonts w:hint="eastAsia"/>
                <w:sz w:val="24"/>
              </w:rPr>
              <w:t>(A)，</w:t>
            </w:r>
            <w:r>
              <w:rPr>
                <w:sz w:val="24"/>
              </w:rPr>
              <w:t>满足《声环境质量标准》中</w:t>
            </w:r>
            <w:r>
              <w:rPr>
                <w:rFonts w:hint="eastAsia"/>
                <w:sz w:val="24"/>
              </w:rPr>
              <w:t>4a</w:t>
            </w:r>
            <w:r>
              <w:rPr>
                <w:sz w:val="24"/>
              </w:rPr>
              <w:t>类标准</w:t>
            </w:r>
            <w:r>
              <w:rPr>
                <w:rFonts w:hint="eastAsia"/>
                <w:sz w:val="24"/>
              </w:rPr>
              <w:t>(</w:t>
            </w:r>
            <w:r>
              <w:rPr>
                <w:sz w:val="24"/>
              </w:rPr>
              <w:t>昼间≤</w:t>
            </w:r>
            <w:r>
              <w:rPr>
                <w:rFonts w:hint="eastAsia"/>
                <w:sz w:val="24"/>
              </w:rPr>
              <w:t>7</w:t>
            </w:r>
            <w:r>
              <w:rPr>
                <w:sz w:val="24"/>
              </w:rPr>
              <w:t>0dB</w:t>
            </w:r>
            <w:r>
              <w:rPr>
                <w:rFonts w:hint="eastAsia"/>
                <w:sz w:val="24"/>
              </w:rPr>
              <w:t>(A)</w:t>
            </w:r>
            <w:r>
              <w:rPr>
                <w:sz w:val="24"/>
              </w:rPr>
              <w:t>，夜间≤5</w:t>
            </w: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dB</w:t>
            </w:r>
            <w:r>
              <w:rPr>
                <w:rFonts w:hint="eastAsia"/>
                <w:sz w:val="24"/>
              </w:rPr>
              <w:t>(A))</w:t>
            </w:r>
            <w:r>
              <w:rPr>
                <w:sz w:val="24"/>
              </w:rPr>
              <w:t>要求</w:t>
            </w:r>
            <w:r>
              <w:rPr>
                <w:rFonts w:hint="eastAsia"/>
                <w:sz w:val="24"/>
              </w:rPr>
              <w:t>；站址其余厂界</w:t>
            </w:r>
            <w:r>
              <w:rPr>
                <w:sz w:val="24"/>
              </w:rPr>
              <w:t>昼间噪声值在</w:t>
            </w:r>
            <w:r>
              <w:rPr>
                <w:rFonts w:hint="eastAsia"/>
                <w:sz w:val="24"/>
              </w:rPr>
              <w:t>47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7</w:t>
            </w:r>
            <w:r>
              <w:rPr>
                <w:sz w:val="24"/>
              </w:rPr>
              <w:t>～</w:t>
            </w:r>
            <w:r>
              <w:rPr>
                <w:rFonts w:hint="eastAsia"/>
                <w:sz w:val="24"/>
              </w:rPr>
              <w:t>54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0</w:t>
            </w:r>
            <w:r>
              <w:rPr>
                <w:sz w:val="24"/>
              </w:rPr>
              <w:t>dB</w:t>
            </w:r>
            <w:r>
              <w:rPr>
                <w:rFonts w:hint="eastAsia"/>
                <w:sz w:val="24"/>
              </w:rPr>
              <w:t>(A)</w:t>
            </w:r>
            <w:r>
              <w:rPr>
                <w:sz w:val="24"/>
              </w:rPr>
              <w:t>之间</w:t>
            </w:r>
            <w:r>
              <w:rPr>
                <w:rFonts w:hint="eastAsia"/>
                <w:sz w:val="24"/>
              </w:rPr>
              <w:t>，夜间</w:t>
            </w:r>
            <w:r>
              <w:rPr>
                <w:sz w:val="24"/>
              </w:rPr>
              <w:t>噪声值在39.</w:t>
            </w:r>
            <w:r>
              <w:rPr>
                <w:rFonts w:hint="eastAsia"/>
                <w:sz w:val="24"/>
              </w:rPr>
              <w:t>7</w:t>
            </w:r>
            <w:r>
              <w:rPr>
                <w:sz w:val="24"/>
              </w:rPr>
              <w:t>～4</w:t>
            </w: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8</w:t>
            </w:r>
            <w:r>
              <w:rPr>
                <w:sz w:val="24"/>
              </w:rPr>
              <w:t>dB</w:t>
            </w:r>
            <w:r>
              <w:rPr>
                <w:rFonts w:hint="eastAsia"/>
                <w:sz w:val="24"/>
              </w:rPr>
              <w:t>(A)</w:t>
            </w:r>
            <w:r>
              <w:rPr>
                <w:sz w:val="24"/>
              </w:rPr>
              <w:t>之间</w:t>
            </w:r>
            <w:r>
              <w:rPr>
                <w:rFonts w:hint="eastAsia"/>
                <w:sz w:val="24"/>
              </w:rPr>
              <w:t>，均</w:t>
            </w:r>
            <w:r>
              <w:rPr>
                <w:sz w:val="24"/>
              </w:rPr>
              <w:t>满足《声环境质量标准》中</w:t>
            </w: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类标准</w:t>
            </w:r>
            <w:r>
              <w:rPr>
                <w:rFonts w:hint="eastAsia"/>
                <w:sz w:val="24"/>
              </w:rPr>
              <w:t>(</w:t>
            </w:r>
            <w:r>
              <w:rPr>
                <w:sz w:val="24"/>
              </w:rPr>
              <w:t>夜间≤</w:t>
            </w:r>
            <w:r>
              <w:rPr>
                <w:rFonts w:hint="eastAsia"/>
                <w:sz w:val="24"/>
              </w:rPr>
              <w:t>45</w:t>
            </w:r>
            <w:r>
              <w:rPr>
                <w:sz w:val="24"/>
              </w:rPr>
              <w:t>dB</w:t>
            </w:r>
            <w:r>
              <w:rPr>
                <w:rFonts w:hint="eastAsia"/>
                <w:sz w:val="24"/>
              </w:rPr>
              <w:t>(A))</w:t>
            </w:r>
            <w:r>
              <w:rPr>
                <w:sz w:val="24"/>
              </w:rPr>
              <w:t>要求</w:t>
            </w:r>
            <w:r>
              <w:rPr>
                <w:rFonts w:hint="eastAsia"/>
                <w:sz w:val="24"/>
              </w:rPr>
              <w:t>。</w:t>
            </w:r>
          </w:p>
          <w:p>
            <w:pPr>
              <w:spacing w:line="500" w:lineRule="exact"/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站址周边的敏感点中，</w:t>
            </w:r>
            <w:r>
              <w:rPr>
                <w:sz w:val="24"/>
              </w:rPr>
              <w:t>森海豪庭和北侧规划住宅昼间噪声值在</w:t>
            </w:r>
            <w:r>
              <w:rPr>
                <w:rFonts w:hint="eastAsia"/>
                <w:sz w:val="24"/>
              </w:rPr>
              <w:t>49.8</w:t>
            </w:r>
            <w:r>
              <w:rPr>
                <w:sz w:val="24"/>
              </w:rPr>
              <w:t>～5</w:t>
            </w:r>
            <w:r>
              <w:rPr>
                <w:rFonts w:hint="eastAsia"/>
                <w:sz w:val="24"/>
              </w:rPr>
              <w:t>0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dB</w:t>
            </w:r>
            <w:r>
              <w:rPr>
                <w:rFonts w:hint="eastAsia"/>
                <w:sz w:val="24"/>
              </w:rPr>
              <w:t>(A)</w:t>
            </w:r>
            <w:r>
              <w:rPr>
                <w:sz w:val="24"/>
              </w:rPr>
              <w:t>之间，夜间噪声值在</w:t>
            </w:r>
            <w:r>
              <w:rPr>
                <w:rFonts w:hint="eastAsia"/>
                <w:sz w:val="24"/>
              </w:rPr>
              <w:t>40.3</w:t>
            </w:r>
            <w:r>
              <w:rPr>
                <w:sz w:val="24"/>
              </w:rPr>
              <w:t>～42.</w:t>
            </w: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dB</w:t>
            </w:r>
            <w:r>
              <w:rPr>
                <w:rFonts w:hint="eastAsia"/>
                <w:sz w:val="24"/>
              </w:rPr>
              <w:t>(A)</w:t>
            </w:r>
            <w:r>
              <w:rPr>
                <w:sz w:val="24"/>
              </w:rPr>
              <w:t>之间，均能满足《声环境质量标准》中2类标准</w:t>
            </w:r>
            <w:r>
              <w:rPr>
                <w:rFonts w:hint="eastAsia"/>
                <w:sz w:val="24"/>
              </w:rPr>
              <w:t>(</w:t>
            </w:r>
            <w:r>
              <w:rPr>
                <w:sz w:val="24"/>
              </w:rPr>
              <w:t>昼间≤60dB</w:t>
            </w:r>
            <w:r>
              <w:rPr>
                <w:rFonts w:hint="eastAsia"/>
                <w:sz w:val="24"/>
              </w:rPr>
              <w:t>(A)</w:t>
            </w:r>
            <w:r>
              <w:rPr>
                <w:sz w:val="24"/>
              </w:rPr>
              <w:t>，夜间≤50dB</w:t>
            </w:r>
            <w:r>
              <w:rPr>
                <w:rFonts w:hint="eastAsia"/>
                <w:sz w:val="24"/>
              </w:rPr>
              <w:t>(A))</w:t>
            </w:r>
            <w:r>
              <w:rPr>
                <w:sz w:val="24"/>
              </w:rPr>
              <w:t>要求</w:t>
            </w:r>
            <w:r>
              <w:rPr>
                <w:rFonts w:hint="eastAsia"/>
                <w:sz w:val="24"/>
              </w:rPr>
              <w:t>；</w:t>
            </w:r>
            <w:r>
              <w:rPr>
                <w:sz w:val="24"/>
              </w:rPr>
              <w:t>宝业四季园和南侧规划住宅昼间噪声值在</w:t>
            </w:r>
            <w:r>
              <w:rPr>
                <w:rFonts w:hint="eastAsia"/>
                <w:sz w:val="24"/>
              </w:rPr>
              <w:t>47.4</w:t>
            </w:r>
            <w:r>
              <w:rPr>
                <w:sz w:val="24"/>
              </w:rPr>
              <w:t>～</w:t>
            </w:r>
            <w:r>
              <w:rPr>
                <w:rFonts w:hint="eastAsia"/>
                <w:sz w:val="24"/>
              </w:rPr>
              <w:t>48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4</w:t>
            </w:r>
            <w:r>
              <w:rPr>
                <w:sz w:val="24"/>
              </w:rPr>
              <w:t>dB</w:t>
            </w:r>
            <w:r>
              <w:rPr>
                <w:rFonts w:hint="eastAsia"/>
                <w:sz w:val="24"/>
              </w:rPr>
              <w:t>(A)</w:t>
            </w:r>
            <w:r>
              <w:rPr>
                <w:sz w:val="24"/>
              </w:rPr>
              <w:t>之间，夜间噪声值在</w:t>
            </w:r>
            <w:r>
              <w:rPr>
                <w:rFonts w:hint="eastAsia"/>
                <w:sz w:val="24"/>
              </w:rPr>
              <w:t>37.6</w:t>
            </w:r>
            <w:r>
              <w:rPr>
                <w:sz w:val="24"/>
              </w:rPr>
              <w:t>～</w:t>
            </w:r>
            <w:r>
              <w:rPr>
                <w:rFonts w:hint="eastAsia"/>
                <w:sz w:val="24"/>
              </w:rPr>
              <w:t>38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dB</w:t>
            </w:r>
            <w:r>
              <w:rPr>
                <w:rFonts w:hint="eastAsia"/>
                <w:sz w:val="24"/>
              </w:rPr>
              <w:t>(A)</w:t>
            </w:r>
            <w:r>
              <w:rPr>
                <w:sz w:val="24"/>
              </w:rPr>
              <w:t>之间，均能满足《声环境质量标准》中</w:t>
            </w: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类标准</w:t>
            </w:r>
            <w:r>
              <w:rPr>
                <w:rFonts w:hint="eastAsia"/>
                <w:sz w:val="24"/>
              </w:rPr>
              <w:t>(</w:t>
            </w:r>
            <w:r>
              <w:rPr>
                <w:sz w:val="24"/>
              </w:rPr>
              <w:t>昼间≤</w:t>
            </w:r>
            <w:r>
              <w:rPr>
                <w:rFonts w:hint="eastAsia"/>
                <w:sz w:val="24"/>
              </w:rPr>
              <w:t>55</w:t>
            </w:r>
            <w:r>
              <w:rPr>
                <w:sz w:val="24"/>
              </w:rPr>
              <w:t>dB</w:t>
            </w:r>
            <w:r>
              <w:rPr>
                <w:rFonts w:hint="eastAsia"/>
                <w:sz w:val="24"/>
              </w:rPr>
              <w:t>(A)</w:t>
            </w:r>
            <w:r>
              <w:rPr>
                <w:sz w:val="24"/>
              </w:rPr>
              <w:t>，夜间≤</w:t>
            </w:r>
            <w:r>
              <w:rPr>
                <w:rFonts w:hint="eastAsia"/>
                <w:sz w:val="24"/>
              </w:rPr>
              <w:t>45</w:t>
            </w:r>
            <w:r>
              <w:rPr>
                <w:sz w:val="24"/>
              </w:rPr>
              <w:t>dB</w:t>
            </w:r>
            <w:r>
              <w:rPr>
                <w:rFonts w:hint="eastAsia"/>
                <w:sz w:val="24"/>
              </w:rPr>
              <w:t>(A))</w:t>
            </w:r>
            <w:r>
              <w:rPr>
                <w:sz w:val="24"/>
              </w:rPr>
              <w:t>要求</w:t>
            </w:r>
            <w:r>
              <w:rPr>
                <w:rFonts w:hint="eastAsia"/>
                <w:sz w:val="24"/>
              </w:rPr>
              <w:t>。</w:t>
            </w:r>
          </w:p>
          <w:p>
            <w:pPr>
              <w:pStyle w:val="Heading2"/>
              <w:numPr>
                <w:ilvl w:val="0"/>
                <w:numId w:val="0"/>
              </w:numPr>
              <w:tabs>
                <w:tab w:val="clear" w:pos="576"/>
              </w:tabs>
              <w:spacing w:before="0" w:after="0"/>
              <w:jc w:val="both"/>
              <w:rPr>
                <w:rFonts w:eastAsia="黑体"/>
                <w:snapToGrid w:val="0"/>
                <w:kern w:val="0"/>
              </w:rPr>
            </w:pPr>
            <w:bookmarkStart w:id="8" w:name="_Toc404626394"/>
            <w:bookmarkEnd w:id="7"/>
            <w:r>
              <w:rPr>
                <w:rFonts w:eastAsia="黑体" w:hint="eastAsia"/>
                <w:b w:val="0"/>
                <w:snapToGrid w:val="0"/>
                <w:kern w:val="0"/>
              </w:rPr>
              <w:t>2</w:t>
            </w:r>
            <w:r>
              <w:rPr>
                <w:rFonts w:eastAsia="黑体"/>
                <w:b w:val="0"/>
                <w:snapToGrid w:val="0"/>
                <w:kern w:val="0"/>
              </w:rPr>
              <w:t>.3　主要环境保护目标</w:t>
            </w:r>
            <w:bookmarkEnd w:id="8"/>
          </w:p>
          <w:p>
            <w:pPr>
              <w:pStyle w:val="NormalIndent"/>
              <w:spacing w:line="360" w:lineRule="auto"/>
              <w:rPr>
                <w:snapToGrid w:val="0"/>
                <w:kern w:val="0"/>
              </w:rPr>
            </w:pPr>
            <w:r>
              <w:rPr>
                <w:snapToGrid w:val="0"/>
                <w:kern w:val="0"/>
              </w:rPr>
              <w:t>变电站评价范围内无军事设施、无线电广播电台、电视差转台、微波站等无线电设施敏感目标</w:t>
            </w:r>
            <w:r>
              <w:t>。</w:t>
            </w:r>
            <w:r>
              <w:rPr>
                <w:snapToGrid w:val="0"/>
                <w:kern w:val="0"/>
              </w:rPr>
              <w:t>本工程主要环境保护目标及其环境保护要求详见表</w:t>
            </w:r>
            <w:r>
              <w:rPr>
                <w:rFonts w:hint="eastAsia"/>
                <w:snapToGrid w:val="0"/>
                <w:kern w:val="0"/>
              </w:rPr>
              <w:t>2</w:t>
            </w:r>
            <w:r>
              <w:rPr>
                <w:snapToGrid w:val="0"/>
                <w:kern w:val="0"/>
              </w:rPr>
              <w:t>.3-1。</w:t>
            </w:r>
          </w:p>
          <w:p>
            <w:pPr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环境保护目标一览表</w:t>
            </w:r>
          </w:p>
          <w:p>
            <w:pPr>
              <w:ind w:firstLine="420" w:firstLineChars="200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表</w:t>
            </w:r>
            <w:r>
              <w:rPr>
                <w:rFonts w:hAnsi="宋体" w:hint="eastAsia"/>
                <w:szCs w:val="21"/>
              </w:rPr>
              <w:t>2</w:t>
            </w:r>
            <w:r>
              <w:rPr>
                <w:rFonts w:hAnsi="宋体"/>
                <w:szCs w:val="21"/>
              </w:rPr>
              <w:t>.3-1</w:t>
            </w:r>
          </w:p>
          <w:tbl>
            <w:tblPr>
              <w:tblStyle w:val="TableNormal"/>
              <w:tblW w:w="5000" w:type="pct"/>
              <w:tblInd w:w="1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1051"/>
              <w:gridCol w:w="1278"/>
              <w:gridCol w:w="1345"/>
              <w:gridCol w:w="1571"/>
              <w:gridCol w:w="2302"/>
              <w:gridCol w:w="1515"/>
            </w:tblGrid>
            <w:tr>
              <w:tblPrEx>
                <w:tblW w:w="5000" w:type="pct"/>
                <w:tblInd w:w="113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298"/>
              </w:trPr>
              <w:tc>
                <w:tcPr>
                  <w:tcW w:w="1285" w:type="pct"/>
                  <w:gridSpan w:val="2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bCs/>
                      <w:szCs w:val="21"/>
                    </w:rPr>
                    <w:t>项目</w:t>
                  </w:r>
                </w:p>
              </w:tc>
              <w:tc>
                <w:tcPr>
                  <w:tcW w:w="742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bCs/>
                      <w:szCs w:val="21"/>
                    </w:rPr>
                    <w:t>环境要素</w:t>
                  </w:r>
                </w:p>
              </w:tc>
              <w:tc>
                <w:tcPr>
                  <w:tcW w:w="867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bCs/>
                      <w:szCs w:val="21"/>
                    </w:rPr>
                    <w:t>环境保护目标</w:t>
                  </w:r>
                </w:p>
              </w:tc>
              <w:tc>
                <w:tcPr>
                  <w:tcW w:w="1270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bCs/>
                      <w:szCs w:val="21"/>
                    </w:rPr>
                    <w:t>与工程位置关系</w:t>
                  </w:r>
                </w:p>
              </w:tc>
              <w:tc>
                <w:tcPr>
                  <w:tcW w:w="836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bCs/>
                      <w:szCs w:val="21"/>
                    </w:rPr>
                    <w:t>环境保护要求</w:t>
                  </w:r>
                </w:p>
              </w:tc>
            </w:tr>
            <w:tr>
              <w:tblPrEx>
                <w:tblW w:w="5000" w:type="pct"/>
                <w:tblInd w:w="113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238"/>
              </w:trPr>
              <w:tc>
                <w:tcPr>
                  <w:tcW w:w="580" w:type="pct"/>
                  <w:vMerge w:val="restar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  <w:r>
                    <w:rPr>
                      <w:rFonts w:hint="eastAsia"/>
                      <w:szCs w:val="21"/>
                    </w:rPr>
                    <w:t>110kV禹陵输变电工程</w:t>
                  </w:r>
                </w:p>
              </w:tc>
              <w:tc>
                <w:tcPr>
                  <w:tcW w:w="705" w:type="pct"/>
                  <w:vMerge w:val="restar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  <w:r>
                    <w:rPr>
                      <w:rFonts w:hint="eastAsia"/>
                      <w:szCs w:val="21"/>
                    </w:rPr>
                    <w:t>110kV禹陵变电站</w:t>
                  </w:r>
                </w:p>
              </w:tc>
              <w:tc>
                <w:tcPr>
                  <w:tcW w:w="742" w:type="pct"/>
                  <w:vMerge w:val="restar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  <w:r>
                    <w:rPr>
                      <w:bCs/>
                      <w:szCs w:val="21"/>
                    </w:rPr>
                    <w:t>电磁环境、声环境</w:t>
                  </w:r>
                </w:p>
              </w:tc>
              <w:tc>
                <w:tcPr>
                  <w:tcW w:w="867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ind w:firstLine="71" w:firstLineChars="34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</w:pP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森海</w:t>
                  </w: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豪庭</w:t>
                  </w:r>
                </w:p>
              </w:tc>
              <w:tc>
                <w:tcPr>
                  <w:tcW w:w="1270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</w:pP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位于变电站西侧约1</w:t>
                  </w: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60</w:t>
                  </w: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m</w:t>
                  </w:r>
                </w:p>
              </w:tc>
              <w:tc>
                <w:tcPr>
                  <w:tcW w:w="836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  <w:r>
                    <w:rPr>
                      <w:bCs/>
                      <w:szCs w:val="21"/>
                    </w:rPr>
                    <w:t>E、B、R、Z2</w:t>
                  </w:r>
                </w:p>
              </w:tc>
            </w:tr>
            <w:tr>
              <w:tblPrEx>
                <w:tblW w:w="5000" w:type="pct"/>
                <w:tblInd w:w="113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238"/>
              </w:trPr>
              <w:tc>
                <w:tcPr>
                  <w:tcW w:w="580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742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867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ind w:firstLine="71" w:firstLineChars="34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  <w:highlight w:val="yellow"/>
                    </w:rPr>
                  </w:pP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宝业</w:t>
                  </w: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四季园</w:t>
                  </w:r>
                </w:p>
              </w:tc>
              <w:tc>
                <w:tcPr>
                  <w:tcW w:w="1270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  <w:highlight w:val="yellow"/>
                    </w:rPr>
                  </w:pP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位于变电站</w:t>
                  </w: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东南</w:t>
                  </w: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侧约</w:t>
                  </w: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440</w:t>
                  </w: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m</w:t>
                  </w:r>
                </w:p>
              </w:tc>
              <w:tc>
                <w:tcPr>
                  <w:tcW w:w="836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  <w:r>
                    <w:rPr>
                      <w:bCs/>
                      <w:szCs w:val="21"/>
                    </w:rPr>
                    <w:t>E、B、R、Z</w:t>
                  </w:r>
                  <w:r>
                    <w:rPr>
                      <w:rFonts w:hint="eastAsia"/>
                      <w:bCs/>
                      <w:szCs w:val="21"/>
                    </w:rPr>
                    <w:t>1</w:t>
                  </w:r>
                </w:p>
              </w:tc>
            </w:tr>
            <w:tr>
              <w:tblPrEx>
                <w:tblW w:w="5000" w:type="pct"/>
                <w:tblInd w:w="113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238"/>
              </w:trPr>
              <w:tc>
                <w:tcPr>
                  <w:tcW w:w="580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742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867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spacing w:after="0"/>
                    <w:ind w:firstLine="71" w:firstLineChars="34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</w:pPr>
                </w:p>
              </w:tc>
              <w:tc>
                <w:tcPr>
                  <w:tcW w:w="1270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spacing w:after="0"/>
                    <w:ind w:firstLine="71" w:firstLineChars="34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  <w:highlight w:val="yellow"/>
                    </w:rPr>
                  </w:pP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位于变电站</w:t>
                  </w: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北</w:t>
                  </w: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侧约</w:t>
                  </w:r>
                </w:p>
              </w:tc>
              <w:tc>
                <w:tcPr>
                  <w:tcW w:w="836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  <w:r>
                    <w:rPr>
                      <w:bCs/>
                      <w:szCs w:val="21"/>
                    </w:rPr>
                    <w:t>E、B、R、Z2</w:t>
                  </w:r>
                </w:p>
              </w:tc>
            </w:tr>
          </w:tbl>
          <w:p/>
        </w:tc>
      </w:tr>
    </w:tbl>
    <w:p>
      <w:pPr>
        <w:sectPr>
          <w:footerReference w:type="even" r:id="rId12"/>
          <w:footerReference w:type="default" r:id="rId13"/>
          <w:pgSz w:w="11906" w:h="16838"/>
          <w:pgMar w:top="1418" w:right="1418" w:bottom="1418" w:left="1418" w:header="851" w:footer="992" w:gutter="0"/>
          <w:pgNumType w:start="4"/>
          <w:cols w:space="708"/>
          <w:docGrid w:type="linesAndChars" w:linePitch="312"/>
        </w:sectPr>
      </w:pPr>
    </w:p>
    <w:tbl>
      <w:tblPr>
        <w:tblStyle w:val="TableNormal"/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288"/>
      </w:tblGrid>
      <w:tr>
        <w:tblPrEx>
          <w:tblW w:w="5001" w:type="pc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95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tbl>
            <w:tblPr>
              <w:tblStyle w:val="TableNormal"/>
              <w:tblW w:w="5000" w:type="pct"/>
              <w:tblInd w:w="1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1051"/>
              <w:gridCol w:w="1278"/>
              <w:gridCol w:w="1345"/>
              <w:gridCol w:w="1571"/>
              <w:gridCol w:w="2302"/>
              <w:gridCol w:w="1515"/>
            </w:tblGrid>
            <w:tr>
              <w:tblPrEx>
                <w:tblW w:w="5000" w:type="pct"/>
                <w:tblInd w:w="113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238"/>
              </w:trPr>
              <w:tc>
                <w:tcPr>
                  <w:tcW w:w="580" w:type="pct"/>
                  <w:vMerge w:val="restart"/>
                  <w:vAlign w:val="center"/>
                </w:tcPr>
                <w:p/>
              </w:tc>
              <w:tc>
                <w:tcPr>
                  <w:tcW w:w="705" w:type="pct"/>
                  <w:vMerge w:val="restart"/>
                  <w:vAlign w:val="center"/>
                </w:tcPr>
                <w:p/>
              </w:tc>
              <w:tc>
                <w:tcPr>
                  <w:tcW w:w="742" w:type="pct"/>
                  <w:vMerge w:val="restart"/>
                  <w:vAlign w:val="center"/>
                </w:tcPr>
                <w:p/>
              </w:tc>
              <w:tc>
                <w:tcPr>
                  <w:tcW w:w="867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spacing w:before="0"/>
                    <w:ind w:firstLine="71" w:firstLineChars="34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</w:pP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北侧规划住宅</w:t>
                  </w:r>
                </w:p>
              </w:tc>
              <w:tc>
                <w:tcPr>
                  <w:tcW w:w="1270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spacing w:before="0"/>
                    <w:ind w:firstLine="71" w:firstLineChars="34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  <w:highlight w:val="yellow"/>
                    </w:rPr>
                  </w:pP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240</w:t>
                  </w: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m</w:t>
                  </w:r>
                </w:p>
              </w:tc>
              <w:tc>
                <w:tcPr>
                  <w:tcW w:w="836" w:type="pct"/>
                  <w:vAlign w:val="center"/>
                </w:tcPr>
                <w:p/>
              </w:tc>
            </w:tr>
            <w:tr>
              <w:tblPrEx>
                <w:tblW w:w="5000" w:type="pct"/>
                <w:tblInd w:w="113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238"/>
              </w:trPr>
              <w:tc>
                <w:tcPr>
                  <w:tcW w:w="580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742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867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ind w:firstLine="71" w:firstLineChars="34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</w:pP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南侧规划住宅</w:t>
                  </w:r>
                </w:p>
              </w:tc>
              <w:tc>
                <w:tcPr>
                  <w:tcW w:w="1270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  <w:highlight w:val="yellow"/>
                    </w:rPr>
                  </w:pP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位于变电站</w:t>
                  </w: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东南</w:t>
                  </w: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侧约</w:t>
                  </w: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30</w:t>
                  </w: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m</w:t>
                  </w:r>
                </w:p>
              </w:tc>
              <w:tc>
                <w:tcPr>
                  <w:tcW w:w="836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  <w:r>
                    <w:rPr>
                      <w:bCs/>
                      <w:szCs w:val="21"/>
                    </w:rPr>
                    <w:t>E、B、R、Z</w:t>
                  </w:r>
                  <w:r>
                    <w:rPr>
                      <w:rFonts w:hint="eastAsia"/>
                      <w:bCs/>
                      <w:szCs w:val="21"/>
                    </w:rPr>
                    <w:t>1</w:t>
                  </w:r>
                </w:p>
              </w:tc>
            </w:tr>
            <w:tr>
              <w:tblPrEx>
                <w:tblW w:w="5000" w:type="pct"/>
                <w:tblInd w:w="113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238"/>
              </w:trPr>
              <w:tc>
                <w:tcPr>
                  <w:tcW w:w="580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742" w:type="pct"/>
                  <w:vMerge w:val="restar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bCs/>
                      <w:szCs w:val="21"/>
                    </w:rPr>
                    <w:t>水环境</w:t>
                  </w:r>
                </w:p>
              </w:tc>
              <w:tc>
                <w:tcPr>
                  <w:tcW w:w="867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ind w:firstLine="71" w:firstLineChars="34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</w:pP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佛石头河</w:t>
                  </w:r>
                </w:p>
              </w:tc>
              <w:tc>
                <w:tcPr>
                  <w:tcW w:w="1270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</w:pP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位于变电站</w:t>
                  </w: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西南</w:t>
                  </w: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侧约</w:t>
                  </w: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30</w:t>
                  </w: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m</w:t>
                  </w:r>
                </w:p>
              </w:tc>
              <w:tc>
                <w:tcPr>
                  <w:tcW w:w="836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bCs/>
                      <w:szCs w:val="21"/>
                    </w:rPr>
                    <w:t>W</w:t>
                  </w:r>
                  <w:r>
                    <w:rPr>
                      <w:rFonts w:hint="eastAsia"/>
                      <w:bCs/>
                      <w:szCs w:val="21"/>
                    </w:rPr>
                    <w:t>3</w:t>
                  </w:r>
                </w:p>
              </w:tc>
            </w:tr>
            <w:tr>
              <w:tblPrEx>
                <w:tblW w:w="5000" w:type="pct"/>
                <w:tblInd w:w="113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70"/>
              </w:trPr>
              <w:tc>
                <w:tcPr>
                  <w:tcW w:w="580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742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</w:rPr>
                  </w:pPr>
                </w:p>
              </w:tc>
              <w:tc>
                <w:tcPr>
                  <w:tcW w:w="867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rFonts w:hint="eastAsia"/>
                      <w:bCs/>
                      <w:szCs w:val="21"/>
                    </w:rPr>
                    <w:t>二环河</w:t>
                  </w:r>
                </w:p>
              </w:tc>
              <w:tc>
                <w:tcPr>
                  <w:tcW w:w="1270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bCs/>
                      <w:spacing w:val="5"/>
                      <w:szCs w:val="21"/>
                    </w:rPr>
                    <w:t>位于变电站</w:t>
                  </w:r>
                  <w:r>
                    <w:rPr>
                      <w:rFonts w:hint="eastAsia"/>
                      <w:bCs/>
                      <w:spacing w:val="5"/>
                      <w:szCs w:val="21"/>
                    </w:rPr>
                    <w:t>西</w:t>
                  </w:r>
                  <w:r>
                    <w:rPr>
                      <w:bCs/>
                      <w:spacing w:val="5"/>
                      <w:szCs w:val="21"/>
                    </w:rPr>
                    <w:t>侧约</w:t>
                  </w:r>
                  <w:r>
                    <w:rPr>
                      <w:rFonts w:hint="eastAsia"/>
                      <w:bCs/>
                      <w:spacing w:val="5"/>
                      <w:szCs w:val="21"/>
                    </w:rPr>
                    <w:t>110</w:t>
                  </w:r>
                  <w:r>
                    <w:rPr>
                      <w:bCs/>
                      <w:spacing w:val="5"/>
                      <w:szCs w:val="21"/>
                    </w:rPr>
                    <w:t>m</w:t>
                  </w:r>
                </w:p>
              </w:tc>
              <w:tc>
                <w:tcPr>
                  <w:tcW w:w="836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bCs/>
                      <w:szCs w:val="21"/>
                    </w:rPr>
                    <w:t>W</w:t>
                  </w:r>
                  <w:r>
                    <w:rPr>
                      <w:rFonts w:hint="eastAsia"/>
                      <w:bCs/>
                      <w:szCs w:val="21"/>
                    </w:rPr>
                    <w:t>3</w:t>
                  </w:r>
                </w:p>
              </w:tc>
            </w:tr>
            <w:tr>
              <w:tblPrEx>
                <w:tblW w:w="5000" w:type="pct"/>
                <w:tblInd w:w="113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70"/>
              </w:trPr>
              <w:tc>
                <w:tcPr>
                  <w:tcW w:w="580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705" w:type="pct"/>
                  <w:vMerge w:val="restar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szCs w:val="21"/>
                      <w:highlight w:val="yellow"/>
                    </w:rPr>
                  </w:pPr>
                  <w:r>
                    <w:rPr>
                      <w:rFonts w:hint="eastAsia"/>
                      <w:szCs w:val="21"/>
                    </w:rPr>
                    <w:t>九里-袍南线</w:t>
                  </w:r>
                  <w:r>
                    <w:rPr>
                      <w:rFonts w:hint="eastAsia"/>
                      <w:szCs w:val="21"/>
                    </w:rPr>
                    <w:t>π</w:t>
                  </w:r>
                  <w:r>
                    <w:rPr>
                      <w:rFonts w:hint="eastAsia"/>
                      <w:szCs w:val="21"/>
                    </w:rPr>
                    <w:t>入禹陵变110kV线路</w:t>
                  </w:r>
                </w:p>
              </w:tc>
              <w:tc>
                <w:tcPr>
                  <w:tcW w:w="742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  <w:r>
                    <w:rPr>
                      <w:rFonts w:hint="eastAsia"/>
                      <w:bCs/>
                      <w:szCs w:val="21"/>
                    </w:rPr>
                    <w:t>电磁环境</w:t>
                  </w:r>
                </w:p>
              </w:tc>
              <w:tc>
                <w:tcPr>
                  <w:tcW w:w="867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ind w:firstLine="71" w:firstLineChars="34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</w:pP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/</w:t>
                  </w:r>
                </w:p>
              </w:tc>
              <w:tc>
                <w:tcPr>
                  <w:tcW w:w="1270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ind w:firstLine="71" w:firstLineChars="34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</w:pP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/</w:t>
                  </w:r>
                </w:p>
              </w:tc>
              <w:tc>
                <w:tcPr>
                  <w:tcW w:w="836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rFonts w:hint="eastAsia"/>
                      <w:bCs/>
                      <w:szCs w:val="21"/>
                    </w:rPr>
                    <w:t>/</w:t>
                  </w:r>
                </w:p>
              </w:tc>
            </w:tr>
            <w:tr>
              <w:tblPrEx>
                <w:tblW w:w="5000" w:type="pct"/>
                <w:tblInd w:w="113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70"/>
              </w:trPr>
              <w:tc>
                <w:tcPr>
                  <w:tcW w:w="580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szCs w:val="21"/>
                    </w:rPr>
                  </w:pPr>
                </w:p>
              </w:tc>
              <w:tc>
                <w:tcPr>
                  <w:tcW w:w="742" w:type="pct"/>
                  <w:vMerge w:val="restar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bCs/>
                      <w:szCs w:val="21"/>
                    </w:rPr>
                    <w:t>水环境</w:t>
                  </w:r>
                </w:p>
              </w:tc>
              <w:tc>
                <w:tcPr>
                  <w:tcW w:w="867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ind w:firstLine="71" w:firstLineChars="34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</w:pP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佛石头河</w:t>
                  </w:r>
                </w:p>
              </w:tc>
              <w:tc>
                <w:tcPr>
                  <w:tcW w:w="1270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adjustRightInd w:val="0"/>
                    <w:snapToGrid w:val="0"/>
                    <w:ind w:firstLine="71" w:firstLineChars="34"/>
                    <w:jc w:val="center"/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</w:pP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位于</w:t>
                  </w: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线路南</w:t>
                  </w: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侧约</w:t>
                  </w:r>
                  <w:r>
                    <w:rPr>
                      <w:rFonts w:hint="eastAsia"/>
                      <w:bCs/>
                      <w:snapToGrid w:val="0"/>
                      <w:spacing w:val="5"/>
                      <w:kern w:val="0"/>
                      <w:szCs w:val="21"/>
                    </w:rPr>
                    <w:t>50</w:t>
                  </w:r>
                  <w:r>
                    <w:rPr>
                      <w:bCs/>
                      <w:snapToGrid w:val="0"/>
                      <w:spacing w:val="5"/>
                      <w:kern w:val="0"/>
                      <w:szCs w:val="21"/>
                    </w:rPr>
                    <w:t>m</w:t>
                  </w:r>
                </w:p>
              </w:tc>
              <w:tc>
                <w:tcPr>
                  <w:tcW w:w="836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bCs/>
                      <w:szCs w:val="21"/>
                    </w:rPr>
                    <w:t>W</w:t>
                  </w:r>
                  <w:r>
                    <w:rPr>
                      <w:rFonts w:hint="eastAsia"/>
                      <w:bCs/>
                      <w:szCs w:val="21"/>
                    </w:rPr>
                    <w:t>3</w:t>
                  </w:r>
                </w:p>
              </w:tc>
            </w:tr>
            <w:tr>
              <w:tblPrEx>
                <w:tblW w:w="5000" w:type="pct"/>
                <w:tblInd w:w="113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70"/>
              </w:trPr>
              <w:tc>
                <w:tcPr>
                  <w:tcW w:w="580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szCs w:val="21"/>
                      <w:highlight w:val="yellow"/>
                    </w:rPr>
                  </w:pPr>
                </w:p>
              </w:tc>
              <w:tc>
                <w:tcPr>
                  <w:tcW w:w="742" w:type="pct"/>
                  <w:vMerge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  <w:highlight w:val="yellow"/>
                    </w:rPr>
                  </w:pPr>
                </w:p>
              </w:tc>
              <w:tc>
                <w:tcPr>
                  <w:tcW w:w="867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rFonts w:hint="eastAsia"/>
                      <w:bCs/>
                      <w:szCs w:val="21"/>
                    </w:rPr>
                    <w:t>二环河</w:t>
                  </w:r>
                </w:p>
              </w:tc>
              <w:tc>
                <w:tcPr>
                  <w:tcW w:w="1270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bCs/>
                      <w:spacing w:val="5"/>
                      <w:szCs w:val="21"/>
                    </w:rPr>
                    <w:t>位于</w:t>
                  </w:r>
                  <w:r>
                    <w:rPr>
                      <w:rFonts w:hint="eastAsia"/>
                      <w:bCs/>
                      <w:spacing w:val="5"/>
                      <w:szCs w:val="21"/>
                    </w:rPr>
                    <w:t>线路西</w:t>
                  </w:r>
                  <w:r>
                    <w:rPr>
                      <w:bCs/>
                      <w:spacing w:val="5"/>
                      <w:szCs w:val="21"/>
                    </w:rPr>
                    <w:t>侧约</w:t>
                  </w:r>
                  <w:r>
                    <w:rPr>
                      <w:rFonts w:hint="eastAsia"/>
                      <w:bCs/>
                      <w:spacing w:val="5"/>
                      <w:szCs w:val="21"/>
                    </w:rPr>
                    <w:t>90</w:t>
                  </w:r>
                  <w:r>
                    <w:rPr>
                      <w:bCs/>
                      <w:spacing w:val="5"/>
                      <w:szCs w:val="21"/>
                    </w:rPr>
                    <w:t>m</w:t>
                  </w:r>
                </w:p>
              </w:tc>
              <w:tc>
                <w:tcPr>
                  <w:tcW w:w="836" w:type="pct"/>
                  <w:vAlign w:val="center"/>
                </w:tcPr>
                <w:p>
                  <w:pPr>
                    <w:tabs>
                      <w:tab w:val="right" w:leader="dot" w:pos="9060"/>
                    </w:tabs>
                    <w:ind w:firstLine="71" w:firstLineChars="34"/>
                    <w:jc w:val="center"/>
                    <w:rPr>
                      <w:bCs/>
                      <w:szCs w:val="21"/>
                    </w:rPr>
                  </w:pPr>
                  <w:r>
                    <w:rPr>
                      <w:bCs/>
                      <w:szCs w:val="21"/>
                    </w:rPr>
                    <w:t>W</w:t>
                  </w:r>
                  <w:r>
                    <w:rPr>
                      <w:rFonts w:hint="eastAsia"/>
                      <w:bCs/>
                      <w:szCs w:val="21"/>
                    </w:rPr>
                    <w:t>3</w:t>
                  </w:r>
                </w:p>
              </w:tc>
            </w:tr>
          </w:tbl>
          <w:p>
            <w:pPr>
              <w:rPr>
                <w:szCs w:val="21"/>
              </w:rPr>
            </w:pPr>
            <w:r>
              <w:rPr>
                <w:szCs w:val="21"/>
              </w:rPr>
              <w:t>注：E——电场强度小于4kV/m；B——磁感应强度小于0.1mT；R——无线电干扰小于46dB(0.5MHz)；</w:t>
            </w:r>
            <w:r>
              <w:rPr>
                <w:rFonts w:hint="eastAsia"/>
                <w:szCs w:val="21"/>
              </w:rPr>
              <w:t>Z1、</w:t>
            </w:r>
            <w:r>
              <w:rPr>
                <w:szCs w:val="21"/>
              </w:rPr>
              <w:t>Z2－－声环境分别符合《声环境质量标准》</w:t>
            </w:r>
            <w:r>
              <w:rPr>
                <w:rFonts w:hint="eastAsia"/>
                <w:szCs w:val="21"/>
              </w:rPr>
              <w:t>1类、</w:t>
            </w:r>
            <w:r>
              <w:rPr>
                <w:szCs w:val="21"/>
              </w:rPr>
              <w:t>2类标准；W</w:t>
            </w:r>
            <w:r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>――《地表水环境质量标准》</w:t>
            </w:r>
            <w:r>
              <w:rPr>
                <w:rFonts w:hAnsi="宋体"/>
                <w:szCs w:val="21"/>
              </w:rPr>
              <w:t>Ⅲ</w:t>
            </w:r>
            <w:r>
              <w:rPr>
                <w:szCs w:val="21"/>
              </w:rPr>
              <w:t>类标准。</w:t>
            </w: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rFonts w:hint="eastAsia"/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sz w:val="24"/>
                <w:szCs w:val="21"/>
                <w:highlight w:val="yellow"/>
              </w:rPr>
            </w:pPr>
          </w:p>
          <w:p>
            <w:pPr>
              <w:jc w:val="center"/>
              <w:rPr>
                <w:sz w:val="24"/>
                <w:szCs w:val="21"/>
                <w:highlight w:val="yellow"/>
              </w:rPr>
            </w:pPr>
          </w:p>
        </w:tc>
      </w:tr>
    </w:tbl>
    <w:p>
      <w:pPr>
        <w:pStyle w:val="Heading1"/>
        <w:tabs>
          <w:tab w:val="left" w:pos="432"/>
        </w:tabs>
        <w:ind w:left="0" w:right="107" w:firstLine="102" w:rightChars="51" w:firstLineChars="34"/>
        <w:rPr>
          <w:highlight w:val="yellow"/>
        </w:rPr>
        <w:sectPr>
          <w:footerReference w:type="even" r:id="rId14"/>
          <w:footerReference w:type="default" r:id="rId15"/>
          <w:type w:val="nextPage"/>
          <w:pgSz w:w="11906" w:h="16838"/>
          <w:pgMar w:top="1418" w:right="1418" w:bottom="1418" w:left="1418" w:header="851" w:footer="992" w:gutter="0"/>
          <w:pgNumType w:start="5"/>
          <w:cols w:space="708"/>
          <w:titlePg w:val="0"/>
          <w:docGrid w:type="linesAndChars" w:linePitch="312"/>
        </w:sectPr>
      </w:pPr>
    </w:p>
    <w:p>
      <w:pPr>
        <w:pStyle w:val="Heading1"/>
        <w:numPr>
          <w:ilvl w:val="0"/>
          <w:numId w:val="0"/>
        </w:numPr>
        <w:tabs>
          <w:tab w:val="clear" w:pos="432"/>
        </w:tabs>
        <w:rPr>
          <w:sz w:val="32"/>
          <w:szCs w:val="32"/>
        </w:rPr>
      </w:pPr>
      <w:bookmarkStart w:id="9" w:name="_Toc404626395"/>
      <w:r>
        <w:rPr>
          <w:rFonts w:hint="eastAsia"/>
          <w:b w:val="0"/>
          <w:sz w:val="32"/>
          <w:szCs w:val="32"/>
        </w:rPr>
        <w:t>3</w:t>
      </w:r>
      <w:r>
        <w:rPr>
          <w:b w:val="0"/>
          <w:sz w:val="32"/>
          <w:szCs w:val="32"/>
        </w:rPr>
        <w:t>　项目主要污染物产生及预计排放情况</w:t>
      </w:r>
    </w:p>
    <w:tbl>
      <w:tblPr>
        <w:tblStyle w:val="TableNormal"/>
        <w:tblW w:w="501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15"/>
        <w:gridCol w:w="1560"/>
        <w:gridCol w:w="1561"/>
        <w:gridCol w:w="2691"/>
        <w:gridCol w:w="2678"/>
      </w:tblGrid>
      <w:tr>
        <w:tblPrEx>
          <w:tblW w:w="5010" w:type="pc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141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2" w:space="0" w:color="auto"/>
            </w:tcBorders>
            <w:vAlign w:val="center"/>
          </w:tcPr>
          <w:p>
            <w:pPr>
              <w:jc w:val="right"/>
              <w:rPr>
                <w:szCs w:val="21"/>
              </w:rPr>
            </w:pPr>
            <w:bookmarkEnd w:id="9"/>
            <w:r>
              <w:rPr>
                <w:szCs w:val="21"/>
              </w:rPr>
              <w:t>内容</w:t>
            </w:r>
          </w:p>
          <w:p>
            <w:pPr>
              <w:jc w:val="right"/>
              <w:rPr>
                <w:szCs w:val="21"/>
              </w:rPr>
            </w:pPr>
          </w:p>
          <w:p>
            <w:pPr>
              <w:rPr>
                <w:szCs w:val="21"/>
              </w:rPr>
            </w:pPr>
            <w:r>
              <w:rPr>
                <w:szCs w:val="21"/>
              </w:rPr>
              <w:t>类型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排放源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(编号)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污染物名称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处理前产生浓度及产生量(单位)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排放浓度及排放量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(单位)</w:t>
            </w:r>
          </w:p>
        </w:tc>
      </w:tr>
      <w:tr>
        <w:tblPrEx>
          <w:tblW w:w="5010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395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大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气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污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染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物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施工扬尘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施工机械尾气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TSP、CO、SO</w:t>
            </w:r>
            <w:r>
              <w:rPr>
                <w:szCs w:val="21"/>
                <w:vertAlign w:val="subscript"/>
              </w:rPr>
              <w:t>2</w:t>
            </w:r>
            <w:r>
              <w:rPr>
                <w:szCs w:val="21"/>
              </w:rPr>
              <w:t>、NO</w:t>
            </w:r>
            <w:r>
              <w:rPr>
                <w:szCs w:val="21"/>
                <w:vertAlign w:val="subscript"/>
              </w:rPr>
              <w:t>2</w:t>
            </w:r>
            <w:r>
              <w:rPr>
                <w:szCs w:val="21"/>
              </w:rPr>
              <w:t>、C</w:t>
            </w:r>
            <w:r>
              <w:rPr>
                <w:szCs w:val="21"/>
                <w:vertAlign w:val="subscript"/>
              </w:rPr>
              <w:t>n</w:t>
            </w:r>
            <w:r>
              <w:rPr>
                <w:szCs w:val="21"/>
              </w:rPr>
              <w:t>H</w:t>
            </w:r>
            <w:r>
              <w:rPr>
                <w:szCs w:val="21"/>
                <w:vertAlign w:val="subscript"/>
              </w:rPr>
              <w:t>m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/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/</w:t>
            </w:r>
          </w:p>
        </w:tc>
      </w:tr>
      <w:tr>
        <w:tblPrEx>
          <w:tblW w:w="5010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478"/>
        </w:trPr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水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污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染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物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生产废水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SS、pH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石油类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施工期：基础开挖废水</w:t>
            </w:r>
            <w:r>
              <w:rPr>
                <w:szCs w:val="21"/>
              </w:rPr>
              <w:t>SS</w:t>
            </w:r>
            <w:r>
              <w:rPr>
                <w:rFonts w:hint="eastAsia"/>
                <w:szCs w:val="21"/>
              </w:rPr>
              <w:t>≈</w:t>
            </w:r>
            <w:r>
              <w:rPr>
                <w:rFonts w:hint="eastAsia"/>
                <w:szCs w:val="21"/>
              </w:rPr>
              <w:t>500～10000</w:t>
            </w:r>
            <w:r>
              <w:rPr>
                <w:szCs w:val="21"/>
              </w:rPr>
              <w:t>mg/L</w:t>
            </w:r>
            <w:r>
              <w:rPr>
                <w:rFonts w:hint="eastAsia"/>
                <w:szCs w:val="21"/>
              </w:rPr>
              <w:t>，10～30m</w:t>
            </w:r>
            <w:r>
              <w:rPr>
                <w:rFonts w:hint="eastAsia"/>
                <w:szCs w:val="21"/>
                <w:vertAlign w:val="superscript"/>
              </w:rPr>
              <w:t>3</w:t>
            </w:r>
            <w:r>
              <w:rPr>
                <w:rFonts w:hint="eastAsia"/>
                <w:szCs w:val="21"/>
              </w:rPr>
              <w:t>/d；混凝土搅拌系统冲洗废水</w:t>
            </w:r>
            <w:r>
              <w:rPr>
                <w:szCs w:val="21"/>
              </w:rPr>
              <w:t>SS</w:t>
            </w:r>
            <w:r>
              <w:rPr>
                <w:rFonts w:hint="eastAsia"/>
                <w:szCs w:val="21"/>
              </w:rPr>
              <w:t>≈</w:t>
            </w:r>
            <w:r>
              <w:rPr>
                <w:szCs w:val="21"/>
              </w:rPr>
              <w:t>500～3000mg/L</w:t>
            </w:r>
            <w:r>
              <w:rPr>
                <w:rFonts w:hint="eastAsia"/>
                <w:szCs w:val="21"/>
              </w:rPr>
              <w:t>、</w:t>
            </w:r>
            <w:r>
              <w:rPr>
                <w:szCs w:val="21"/>
              </w:rPr>
              <w:t>pH</w:t>
            </w:r>
            <w:r>
              <w:rPr>
                <w:rFonts w:hint="eastAsia"/>
                <w:szCs w:val="21"/>
              </w:rPr>
              <w:t>≈</w:t>
            </w:r>
            <w:r>
              <w:rPr>
                <w:szCs w:val="21"/>
              </w:rPr>
              <w:t>10</w:t>
            </w:r>
            <w:r>
              <w:rPr>
                <w:rFonts w:hint="eastAsia"/>
                <w:szCs w:val="21"/>
              </w:rPr>
              <w:t>，1～3m</w:t>
            </w:r>
            <w:r>
              <w:rPr>
                <w:rFonts w:hint="eastAsia"/>
                <w:szCs w:val="21"/>
                <w:vertAlign w:val="superscript"/>
              </w:rPr>
              <w:t>3</w:t>
            </w:r>
            <w:r>
              <w:rPr>
                <w:rFonts w:hint="eastAsia"/>
                <w:szCs w:val="21"/>
              </w:rPr>
              <w:t>/d；机械维护冲洗废水</w:t>
            </w:r>
            <w:r>
              <w:rPr>
                <w:szCs w:val="21"/>
              </w:rPr>
              <w:t>石油类</w:t>
            </w:r>
            <w:r>
              <w:rPr>
                <w:rFonts w:hint="eastAsia"/>
                <w:szCs w:val="21"/>
              </w:rPr>
              <w:t>≈</w:t>
            </w:r>
            <w:r>
              <w:rPr>
                <w:szCs w:val="21"/>
              </w:rPr>
              <w:t>15mg/L</w:t>
            </w:r>
            <w:r>
              <w:rPr>
                <w:rFonts w:hint="eastAsia"/>
                <w:szCs w:val="21"/>
              </w:rPr>
              <w:t>，5m</w:t>
            </w:r>
            <w:r>
              <w:rPr>
                <w:rFonts w:hint="eastAsia"/>
                <w:szCs w:val="21"/>
                <w:vertAlign w:val="superscript"/>
              </w:rPr>
              <w:t>3</w:t>
            </w:r>
            <w:r>
              <w:rPr>
                <w:rFonts w:hint="eastAsia"/>
                <w:szCs w:val="21"/>
              </w:rPr>
              <w:t>/d。</w:t>
            </w:r>
          </w:p>
          <w:p>
            <w:pPr>
              <w:ind w:left="-116" w:right="-94" w:leftChars="-55" w:rightChars="-45"/>
              <w:jc w:val="center"/>
              <w:rPr>
                <w:szCs w:val="21"/>
                <w:highlight w:val="yellow"/>
              </w:rPr>
            </w:pPr>
            <w:r>
              <w:rPr>
                <w:rFonts w:hint="eastAsia"/>
              </w:rPr>
              <w:t>运行期：少量含油废水。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  <w:highlight w:val="yellow"/>
              </w:rPr>
            </w:pPr>
            <w:r>
              <w:rPr>
                <w:szCs w:val="21"/>
              </w:rPr>
              <w:t>变电站工程施工废水经隔油、沉淀后</w:t>
            </w:r>
            <w:r>
              <w:rPr>
                <w:rFonts w:hint="eastAsia"/>
                <w:szCs w:val="21"/>
              </w:rPr>
              <w:t>达到《污水综合排放标准》(GB8978-1996)一级标准排放</w:t>
            </w:r>
            <w:r>
              <w:rPr>
                <w:szCs w:val="21"/>
              </w:rPr>
              <w:t>；线路工程经沉淀后自然渗漏。</w:t>
            </w:r>
          </w:p>
        </w:tc>
      </w:tr>
      <w:tr>
        <w:tblPrEx>
          <w:tblW w:w="5010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478"/>
        </w:trPr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生活污水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  <w:vertAlign w:val="subscript"/>
              </w:rPr>
            </w:pPr>
            <w:r>
              <w:rPr>
                <w:szCs w:val="21"/>
              </w:rPr>
              <w:t>COD</w:t>
            </w:r>
            <w:r>
              <w:rPr>
                <w:szCs w:val="21"/>
                <w:vertAlign w:val="subscript"/>
              </w:rPr>
              <w:t>Cr</w:t>
            </w:r>
            <w:r>
              <w:rPr>
                <w:szCs w:val="21"/>
              </w:rPr>
              <w:t>、BOD</w:t>
            </w:r>
            <w:r>
              <w:rPr>
                <w:szCs w:val="21"/>
                <w:vertAlign w:val="subscript"/>
              </w:rPr>
              <w:t>5</w:t>
            </w:r>
            <w:r>
              <w:rPr>
                <w:szCs w:val="21"/>
              </w:rPr>
              <w:t>、氨氮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施工期：</w:t>
            </w:r>
            <w:r>
              <w:rPr>
                <w:rFonts w:hint="eastAsia"/>
                <w:szCs w:val="21"/>
              </w:rPr>
              <w:t>7.2</w:t>
            </w:r>
            <w:r>
              <w:rPr>
                <w:szCs w:val="21"/>
              </w:rPr>
              <w:t>m</w:t>
            </w:r>
            <w:r>
              <w:rPr>
                <w:szCs w:val="21"/>
                <w:vertAlign w:val="superscript"/>
              </w:rPr>
              <w:t>3</w:t>
            </w:r>
            <w:r>
              <w:rPr>
                <w:szCs w:val="21"/>
              </w:rPr>
              <w:t>/d；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运行期：0.14m</w:t>
            </w:r>
            <w:r>
              <w:rPr>
                <w:szCs w:val="21"/>
                <w:vertAlign w:val="superscript"/>
              </w:rPr>
              <w:t>3</w:t>
            </w:r>
            <w:r>
              <w:rPr>
                <w:szCs w:val="21"/>
              </w:rPr>
              <w:t>/d。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</w:rPr>
              <w:t>施工期：</w:t>
            </w:r>
            <w:r>
              <w:rPr>
                <w:rFonts w:hint="eastAsia"/>
                <w:snapToGrid w:val="0"/>
                <w:kern w:val="0"/>
              </w:rPr>
              <w:t>变电站施工生活污水</w:t>
            </w:r>
            <w:r>
              <w:rPr>
                <w:snapToGrid w:val="0"/>
                <w:kern w:val="0"/>
              </w:rPr>
              <w:t>设置简易厕所和化粪池处理</w:t>
            </w:r>
            <w:r>
              <w:rPr>
                <w:rFonts w:hint="eastAsia"/>
                <w:snapToGrid w:val="0"/>
                <w:kern w:val="0"/>
              </w:rPr>
              <w:t>，</w:t>
            </w:r>
            <w:r>
              <w:rPr>
                <w:rFonts w:hint="eastAsia"/>
              </w:rPr>
              <w:t>线路工程施工生活污水</w:t>
            </w:r>
            <w:r>
              <w:rPr>
                <w:rFonts w:hint="eastAsia"/>
                <w:szCs w:val="21"/>
              </w:rPr>
              <w:t>纳入当地现有污水处理系统。</w:t>
            </w:r>
          </w:p>
          <w:p>
            <w:pPr>
              <w:jc w:val="distribute"/>
              <w:rPr>
                <w:szCs w:val="21"/>
                <w:highlight w:val="yellow"/>
              </w:rPr>
            </w:pPr>
            <w:r>
              <w:rPr>
                <w:rFonts w:hint="eastAsia"/>
                <w:snapToGrid w:val="0"/>
                <w:kern w:val="0"/>
              </w:rPr>
              <w:t>运行期，变电站生活污水经化粪池处理后排入废水储存池收集，定期清运。</w:t>
            </w:r>
          </w:p>
        </w:tc>
      </w:tr>
      <w:tr>
        <w:tblPrEx>
          <w:tblW w:w="5010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43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固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体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废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物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杆塔拆除物料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建筑垃圾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生活垃圾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危险固废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杆塔拆除物料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建筑垃圾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生活垃圾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废油、废弃电池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施工期：50kg/d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运行期：1kg/d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杆塔拆除物料由建设单位回收利用。</w:t>
            </w:r>
          </w:p>
          <w:p>
            <w:pPr>
              <w:jc w:val="left"/>
              <w:rPr>
                <w:szCs w:val="21"/>
              </w:rPr>
            </w:pPr>
            <w:r>
              <w:rPr>
                <w:szCs w:val="21"/>
              </w:rPr>
              <w:t>设立垃圾收集系统，纳入当地垃圾处理系统。</w:t>
            </w:r>
          </w:p>
          <w:p>
            <w:pPr>
              <w:rPr>
                <w:szCs w:val="21"/>
                <w:highlight w:val="yellow"/>
              </w:rPr>
            </w:pPr>
            <w:r>
              <w:rPr>
                <w:szCs w:val="21"/>
              </w:rPr>
              <w:t>变电站内设置危废暂存场所，废油等危废委托有资质单位处理</w:t>
            </w:r>
            <w:r>
              <w:rPr>
                <w:rFonts w:hint="eastAsia"/>
                <w:szCs w:val="21"/>
              </w:rPr>
              <w:t>；</w:t>
            </w:r>
            <w:r>
              <w:rPr>
                <w:szCs w:val="21"/>
              </w:rPr>
              <w:t>废蓄电池</w:t>
            </w:r>
            <w:r>
              <w:rPr>
                <w:rFonts w:hint="eastAsia"/>
                <w:szCs w:val="21"/>
              </w:rPr>
              <w:t>先由有资质单位及时回收综合利用</w:t>
            </w:r>
            <w:r>
              <w:rPr>
                <w:szCs w:val="21"/>
              </w:rPr>
              <w:t>。</w:t>
            </w:r>
          </w:p>
        </w:tc>
      </w:tr>
      <w:tr>
        <w:tblPrEx>
          <w:tblW w:w="5010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54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噪</w:t>
            </w:r>
          </w:p>
          <w:p>
            <w:pPr>
              <w:jc w:val="center"/>
              <w:rPr>
                <w:szCs w:val="21"/>
              </w:rPr>
            </w:pP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施工机械噪声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主变压器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风机等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L</w:t>
            </w:r>
            <w:r>
              <w:rPr>
                <w:szCs w:val="21"/>
                <w:vertAlign w:val="subscript"/>
              </w:rPr>
              <w:t>Aeq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施工期：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</w:rPr>
              <w:t>重型运输车</w:t>
            </w:r>
            <w:r>
              <w:rPr>
                <w:szCs w:val="21"/>
              </w:rPr>
              <w:t>：</w:t>
            </w:r>
            <w:r>
              <w:rPr>
                <w:rFonts w:hint="eastAsia"/>
              </w:rPr>
              <w:t>82~</w:t>
            </w:r>
            <w:r>
              <w:rPr>
                <w:rFonts w:hint="eastAsia"/>
                <w:szCs w:val="21"/>
              </w:rPr>
              <w:t>9</w:t>
            </w:r>
            <w:r>
              <w:rPr>
                <w:szCs w:val="21"/>
              </w:rPr>
              <w:t>0dB(5m处)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>挖掘机：</w:t>
            </w:r>
            <w:r>
              <w:rPr>
                <w:rFonts w:hint="eastAsia"/>
              </w:rPr>
              <w:t>82~</w:t>
            </w:r>
            <w:r>
              <w:rPr>
                <w:rFonts w:hint="eastAsia"/>
                <w:szCs w:val="21"/>
              </w:rPr>
              <w:t>90</w:t>
            </w:r>
            <w:r>
              <w:rPr>
                <w:szCs w:val="21"/>
              </w:rPr>
              <w:t>dB(5m处)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打桩</w:t>
            </w:r>
            <w:r>
              <w:rPr>
                <w:szCs w:val="21"/>
              </w:rPr>
              <w:t>机：</w:t>
            </w:r>
            <w:r>
              <w:rPr>
                <w:rFonts w:hint="eastAsia"/>
              </w:rPr>
              <w:t>100~</w:t>
            </w:r>
            <w:r>
              <w:rPr>
                <w:rFonts w:hint="eastAsia"/>
                <w:szCs w:val="21"/>
              </w:rPr>
              <w:t>110</w:t>
            </w:r>
            <w:r>
              <w:rPr>
                <w:szCs w:val="21"/>
              </w:rPr>
              <w:t>dB(</w:t>
            </w:r>
            <w:r>
              <w:rPr>
                <w:rFonts w:hint="eastAsia"/>
                <w:szCs w:val="21"/>
              </w:rPr>
              <w:t>5</w:t>
            </w:r>
            <w:r>
              <w:rPr>
                <w:szCs w:val="21"/>
              </w:rPr>
              <w:t>m处)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</w:rPr>
              <w:t>混凝土</w:t>
            </w:r>
            <w:r>
              <w:rPr>
                <w:szCs w:val="21"/>
              </w:rPr>
              <w:t>振捣器：</w:t>
            </w:r>
            <w:r>
              <w:rPr>
                <w:rFonts w:hint="eastAsia"/>
              </w:rPr>
              <w:t>80~</w:t>
            </w:r>
            <w:r>
              <w:rPr>
                <w:szCs w:val="21"/>
              </w:rPr>
              <w:t>8</w:t>
            </w:r>
            <w:r>
              <w:rPr>
                <w:rFonts w:hint="eastAsia"/>
                <w:szCs w:val="21"/>
              </w:rPr>
              <w:t>8</w:t>
            </w:r>
            <w:r>
              <w:rPr>
                <w:szCs w:val="21"/>
              </w:rPr>
              <w:t>dB(</w:t>
            </w:r>
            <w:r>
              <w:rPr>
                <w:rFonts w:hint="eastAsia"/>
                <w:szCs w:val="21"/>
              </w:rPr>
              <w:t>5</w:t>
            </w:r>
            <w:r>
              <w:rPr>
                <w:szCs w:val="21"/>
              </w:rPr>
              <w:t>m处)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</w:rPr>
              <w:t>商砼搅拌车</w:t>
            </w:r>
            <w:r>
              <w:rPr>
                <w:szCs w:val="21"/>
              </w:rPr>
              <w:t>：</w:t>
            </w:r>
            <w:r>
              <w:rPr>
                <w:rFonts w:hint="eastAsia"/>
              </w:rPr>
              <w:t>85~</w:t>
            </w:r>
            <w:r>
              <w:rPr>
                <w:rFonts w:hint="eastAsia"/>
                <w:szCs w:val="21"/>
              </w:rPr>
              <w:t>90</w:t>
            </w:r>
            <w:r>
              <w:rPr>
                <w:szCs w:val="21"/>
              </w:rPr>
              <w:t>dB(5m处)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>电锯：</w:t>
            </w:r>
            <w:r>
              <w:rPr>
                <w:rFonts w:hint="eastAsia"/>
              </w:rPr>
              <w:t>93~</w:t>
            </w:r>
            <w:r>
              <w:rPr>
                <w:rFonts w:hint="eastAsia"/>
                <w:szCs w:val="21"/>
              </w:rPr>
              <w:t>99</w:t>
            </w:r>
            <w:r>
              <w:rPr>
                <w:szCs w:val="21"/>
              </w:rPr>
              <w:t>dB(5m处)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>运行期：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>主变压器：60dB(1m处)</w:t>
            </w:r>
          </w:p>
          <w:p>
            <w:pPr>
              <w:rPr>
                <w:szCs w:val="21"/>
                <w:highlight w:val="yellow"/>
              </w:rPr>
            </w:pPr>
            <w:r>
              <w:rPr>
                <w:szCs w:val="21"/>
              </w:rPr>
              <w:t>风机：62 dB(1m处)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施工期：</w:t>
            </w:r>
            <w:r>
              <w:rPr>
                <w:rFonts w:hint="eastAsia"/>
              </w:rPr>
              <w:t>执行《建筑施工场界环境噪声排放标准》限值；</w:t>
            </w:r>
          </w:p>
          <w:p>
            <w:pPr>
              <w:rPr>
                <w:szCs w:val="21"/>
                <w:highlight w:val="yellow"/>
              </w:rPr>
            </w:pPr>
            <w:r>
              <w:rPr>
                <w:rFonts w:hint="eastAsia"/>
                <w:szCs w:val="21"/>
              </w:rPr>
              <w:t>运行期：声环境分别执行《工业企业厂界环境噪声排放标准》(GB12348-2008)1类、4类标准。</w:t>
            </w:r>
          </w:p>
        </w:tc>
      </w:tr>
    </w:tbl>
    <w:p>
      <w:pPr>
        <w:sectPr>
          <w:headerReference w:type="default" r:id="rId16"/>
          <w:footerReference w:type="even" r:id="rId17"/>
          <w:footerReference w:type="default" r:id="rId18"/>
          <w:pgSz w:w="11906" w:h="16838"/>
          <w:pgMar w:top="1418" w:right="1418" w:bottom="1418" w:left="1418" w:header="851" w:footer="992" w:gutter="0"/>
          <w:pgNumType w:start="6"/>
          <w:cols w:space="708"/>
          <w:docGrid w:linePitch="312"/>
        </w:sectPr>
      </w:pPr>
    </w:p>
    <w:tbl>
      <w:tblPr>
        <w:tblStyle w:val="TableNormal"/>
        <w:tblW w:w="501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15"/>
        <w:gridCol w:w="1560"/>
        <w:gridCol w:w="1561"/>
        <w:gridCol w:w="2691"/>
        <w:gridCol w:w="2678"/>
      </w:tblGrid>
      <w:tr>
        <w:tblPrEx>
          <w:tblW w:w="5010" w:type="pc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电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磁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环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境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主变、电容器、开关柜、高压母线等站内配电装置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架空输电线路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6" w:right="-99" w:firstLine="1" w:leftChars="-55" w:rightChars="-47"/>
              <w:jc w:val="center"/>
              <w:rPr>
                <w:szCs w:val="21"/>
              </w:rPr>
            </w:pPr>
            <w:r>
              <w:rPr>
                <w:szCs w:val="21"/>
              </w:rPr>
              <w:t>工频电场</w:t>
            </w:r>
            <w:r>
              <w:rPr>
                <w:bCs/>
                <w:szCs w:val="21"/>
              </w:rPr>
              <w:t>强度</w:t>
            </w:r>
          </w:p>
          <w:p>
            <w:pPr>
              <w:ind w:left="-116" w:right="-99" w:firstLine="1" w:leftChars="-55" w:rightChars="-47"/>
              <w:jc w:val="center"/>
              <w:rPr>
                <w:szCs w:val="21"/>
              </w:rPr>
            </w:pPr>
            <w:r>
              <w:rPr>
                <w:szCs w:val="21"/>
              </w:rPr>
              <w:t>工频磁感应强度</w:t>
            </w:r>
          </w:p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无线电干扰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工频电场强度≤4kV/m</w:t>
            </w:r>
          </w:p>
          <w:p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工频磁感应强度≤0.1mT</w:t>
            </w:r>
          </w:p>
          <w:p>
            <w:pPr>
              <w:jc w:val="center"/>
              <w:rPr>
                <w:szCs w:val="21"/>
              </w:rPr>
            </w:pPr>
            <w:r>
              <w:rPr>
                <w:bCs/>
                <w:szCs w:val="21"/>
              </w:rPr>
              <w:t>无线电干扰强度≤46dB(μV/m)(0.5MHz)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工频电场强度≤4kV/m</w:t>
            </w:r>
          </w:p>
          <w:p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工频磁感应强度≤0.1mT</w:t>
            </w:r>
          </w:p>
          <w:p>
            <w:pPr>
              <w:jc w:val="center"/>
              <w:rPr>
                <w:szCs w:val="21"/>
              </w:rPr>
            </w:pPr>
            <w:r>
              <w:rPr>
                <w:bCs/>
                <w:szCs w:val="21"/>
              </w:rPr>
              <w:t>无线电干扰强度≤46dB(μV/m)(0.5MHz)</w:t>
            </w:r>
          </w:p>
        </w:tc>
      </w:tr>
    </w:tbl>
    <w:p>
      <w:pPr>
        <w:sectPr>
          <w:headerReference w:type="default" r:id="rId19"/>
          <w:footerReference w:type="even" r:id="rId20"/>
          <w:footerReference w:type="default" r:id="rId21"/>
          <w:type w:val="nextPage"/>
          <w:pgSz w:w="11906" w:h="16838"/>
          <w:pgMar w:top="1418" w:right="1418" w:bottom="1418" w:left="1418" w:header="851" w:footer="992" w:gutter="0"/>
          <w:pgNumType w:start="7"/>
          <w:cols w:space="708"/>
          <w:titlePg w:val="0"/>
          <w:docGrid w:linePitch="312"/>
        </w:sectPr>
      </w:pPr>
    </w:p>
    <w:tbl>
      <w:tblPr>
        <w:tblStyle w:val="TableNormal"/>
        <w:tblW w:w="501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305"/>
      </w:tblGrid>
      <w:tr>
        <w:tblPrEx>
          <w:tblW w:w="5010" w:type="pc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384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BodyTextFirstIndent"/>
              <w:ind w:firstLine="0" w:firstLineChars="0"/>
              <w:jc w:val="both"/>
              <w:rPr>
                <w:rFonts w:ascii="黑体" w:eastAsia="黑体" w:hAnsi="黑体"/>
                <w:lang w:val="en-US" w:eastAsia="zh-CN"/>
              </w:rPr>
            </w:pPr>
            <w:r>
              <w:rPr>
                <w:rFonts w:ascii="黑体" w:eastAsia="黑体" w:hAnsi="黑体"/>
                <w:lang w:val="en-US" w:eastAsia="zh-CN"/>
              </w:rPr>
              <w:t>主要生态影响</w:t>
            </w:r>
            <w:r>
              <w:rPr>
                <w:rFonts w:ascii="黑体" w:eastAsia="黑体" w:hAnsi="黑体" w:hint="eastAsia"/>
                <w:lang w:val="en-US" w:eastAsia="zh-CN"/>
              </w:rPr>
              <w:t>：</w:t>
            </w:r>
          </w:p>
          <w:p>
            <w:pPr>
              <w:pStyle w:val="BodyTextFirstInden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(1)  植被破坏</w:t>
            </w:r>
          </w:p>
          <w:p>
            <w:pPr>
              <w:pStyle w:val="BodyTextFirstInden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110kV禹陵输变电工程对生态环境的影响主要为工程占地(包括变电站、塔基永久占地)和各类施工作业引起的植被砍伐和破坏。</w:t>
            </w:r>
          </w:p>
          <w:p>
            <w:pPr>
              <w:pStyle w:val="BodyTextFirstIndent"/>
              <w:rPr>
                <w:lang w:val="en-US" w:eastAsia="zh-CN"/>
              </w:rPr>
            </w:pPr>
            <w:r>
              <w:rPr>
                <w:lang w:val="en-US" w:eastAsia="zh-CN"/>
              </w:rPr>
              <w:t>工程区域不涉及古树名木和国家重点保护珍稀动植物。</w:t>
            </w:r>
          </w:p>
          <w:p>
            <w:pPr>
              <w:pStyle w:val="BodyTextFirstInden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110kV禹陵变电站占地为非农保地，</w:t>
            </w:r>
            <w:r>
              <w:rPr>
                <w:lang w:val="en-US" w:eastAsia="zh-CN"/>
              </w:rPr>
              <w:t>主要影响植被</w:t>
            </w:r>
            <w:r>
              <w:rPr>
                <w:rFonts w:hint="eastAsia"/>
                <w:lang w:val="en-US" w:eastAsia="zh-CN"/>
              </w:rPr>
              <w:t>为</w:t>
            </w:r>
            <w:r>
              <w:rPr>
                <w:rFonts w:hint="eastAsia"/>
                <w:snapToGrid w:val="0"/>
                <w:lang w:val="en-US" w:eastAsia="zh-CN"/>
              </w:rPr>
              <w:t>杂草、灌木等</w:t>
            </w:r>
            <w:r>
              <w:rPr>
                <w:lang w:val="en-US" w:eastAsia="zh-CN"/>
              </w:rPr>
              <w:t>。</w:t>
            </w:r>
          </w:p>
          <w:p>
            <w:pPr>
              <w:pStyle w:val="BodyTextFirstIndent"/>
              <w:rPr>
                <w:lang w:val="en-US" w:eastAsia="zh-CN"/>
              </w:rPr>
            </w:pPr>
            <w:r>
              <w:rPr>
                <w:lang w:val="en-US" w:eastAsia="zh-CN"/>
              </w:rPr>
              <w:t>架空线路施工塔基占地植被以杂草为主，占地面积很小，且塔基四周的植被可以恢复。</w:t>
            </w:r>
          </w:p>
          <w:p>
            <w:pPr>
              <w:pStyle w:val="BodyTextFirstInden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(2)  水土流失</w:t>
            </w:r>
          </w:p>
          <w:p>
            <w:pPr>
              <w:pStyle w:val="BodyTextFirstIndent"/>
              <w:rPr>
                <w:highlight w:val="yellow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110kV禹陵输变电工程变电站填挖土方、场地平整、线路塔基开挖以及施工占地和施工作业将造成一定植被破坏，损坏水土保持设施，可能引发新的水土流失。</w:t>
            </w:r>
          </w:p>
          <w:p>
            <w:pPr>
              <w:pStyle w:val="BodyTextFirstIndent"/>
              <w:rPr>
                <w:highlight w:val="yellow"/>
                <w:lang w:val="en-US" w:eastAsia="zh-CN"/>
              </w:rPr>
            </w:pPr>
          </w:p>
        </w:tc>
      </w:tr>
    </w:tbl>
    <w:p>
      <w:pPr>
        <w:sectPr>
          <w:headerReference w:type="default" r:id="rId22"/>
          <w:footerReference w:type="even" r:id="rId23"/>
          <w:footerReference w:type="default" r:id="rId24"/>
          <w:type w:val="nextPage"/>
          <w:pgSz w:w="11906" w:h="16838"/>
          <w:pgMar w:top="1418" w:right="1418" w:bottom="1418" w:left="1418" w:header="851" w:footer="992" w:gutter="0"/>
          <w:pgNumType w:start="8"/>
          <w:cols w:space="708"/>
          <w:titlePg w:val="0"/>
          <w:docGrid w:linePitch="312"/>
        </w:sectPr>
      </w:pPr>
    </w:p>
    <w:p>
      <w:pPr>
        <w:pStyle w:val="Heading1"/>
        <w:numPr>
          <w:ilvl w:val="0"/>
          <w:numId w:val="0"/>
        </w:numPr>
        <w:tabs>
          <w:tab w:val="clear" w:pos="432"/>
        </w:tabs>
        <w:rPr>
          <w:sz w:val="32"/>
          <w:szCs w:val="32"/>
          <w:highlight w:val="yellow"/>
        </w:rPr>
      </w:pPr>
      <w:bookmarkStart w:id="10" w:name="_Toc404626396"/>
      <w:r>
        <w:rPr>
          <w:rFonts w:hint="eastAsia"/>
          <w:b w:val="0"/>
          <w:sz w:val="32"/>
          <w:szCs w:val="32"/>
        </w:rPr>
        <w:t>4</w:t>
      </w:r>
      <w:r>
        <w:rPr>
          <w:b w:val="0"/>
          <w:sz w:val="32"/>
          <w:szCs w:val="32"/>
        </w:rPr>
        <w:t>　环境影响分析</w:t>
      </w:r>
      <w:bookmarkEnd w:id="10"/>
    </w:p>
    <w:tbl>
      <w:tblPr>
        <w:tblStyle w:val="TableNormal"/>
        <w:tblpPr w:leftFromText="181" w:rightFromText="181" w:vertAnchor="text" w:tblpY="1"/>
        <w:tblOverlap w:val="never"/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297"/>
      </w:tblGrid>
      <w:tr>
        <w:tblPrEx>
          <w:tblW w:w="5006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3520"/>
        </w:trPr>
        <w:tc>
          <w:tcPr>
            <w:tcW w:w="5000" w:type="pct"/>
            <w:vAlign w:val="center"/>
          </w:tcPr>
          <w:p>
            <w:pPr>
              <w:pStyle w:val="Heading2"/>
              <w:numPr>
                <w:ilvl w:val="0"/>
                <w:numId w:val="0"/>
              </w:numPr>
              <w:tabs>
                <w:tab w:val="clear" w:pos="576"/>
              </w:tabs>
              <w:spacing w:before="120" w:beforeLines="50" w:after="0"/>
              <w:jc w:val="both"/>
              <w:rPr>
                <w:rFonts w:eastAsia="黑体"/>
              </w:rPr>
            </w:pPr>
            <w:bookmarkStart w:id="11" w:name="_Toc156380123"/>
            <w:bookmarkStart w:id="12" w:name="_Toc160531451"/>
            <w:bookmarkStart w:id="13" w:name="_Toc198085060"/>
            <w:bookmarkStart w:id="14" w:name="_Toc404626397"/>
            <w:bookmarkStart w:id="15" w:name="_Toc153700111"/>
            <w:bookmarkStart w:id="16" w:name="_Toc180457609"/>
            <w:bookmarkStart w:id="17" w:name="_Toc119483838"/>
            <w:bookmarkStart w:id="18" w:name="_Toc155109837"/>
            <w:bookmarkStart w:id="19" w:name="_Toc119482139"/>
            <w:bookmarkStart w:id="20" w:name="_Toc153252456"/>
            <w:r>
              <w:rPr>
                <w:rFonts w:eastAsia="黑体" w:hint="eastAsia"/>
                <w:b w:val="0"/>
              </w:rPr>
              <w:t>4</w:t>
            </w:r>
            <w:r>
              <w:rPr>
                <w:rFonts w:eastAsia="黑体"/>
                <w:b w:val="0"/>
              </w:rPr>
              <w:t>.1</w:t>
            </w:r>
            <w:r>
              <w:rPr>
                <w:rFonts w:eastAsia="黑体" w:hAnsi="黑体"/>
                <w:b w:val="0"/>
              </w:rPr>
              <w:t>　施工期环境影响</w:t>
            </w:r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</w:p>
          <w:p>
            <w:pPr>
              <w:pStyle w:val="Heading4"/>
              <w:numPr>
                <w:ilvl w:val="0"/>
                <w:numId w:val="0"/>
              </w:numPr>
              <w:tabs>
                <w:tab w:val="clear" w:pos="1224"/>
              </w:tabs>
              <w:spacing w:before="0" w:after="0"/>
              <w:jc w:val="both"/>
            </w:pPr>
            <w:r>
              <w:rPr>
                <w:rFonts w:hint="eastAsia"/>
                <w:b w:val="0"/>
              </w:rPr>
              <w:t>4</w:t>
            </w:r>
            <w:r>
              <w:rPr>
                <w:b w:val="0"/>
              </w:rPr>
              <w:t>.1.1　声环境影响</w:t>
            </w:r>
          </w:p>
          <w:p>
            <w:pPr>
              <w:pStyle w:val="NormalIndent"/>
              <w:spacing w:line="360" w:lineRule="auto"/>
            </w:pPr>
            <w:r>
              <w:t>(1)变电站</w:t>
            </w:r>
          </w:p>
          <w:p>
            <w:pPr>
              <w:pStyle w:val="NormalIndent"/>
              <w:spacing w:line="360" w:lineRule="auto"/>
            </w:pPr>
            <w:r>
              <w:t>根据预测，</w:t>
            </w:r>
            <w:r>
              <w:rPr>
                <w:rFonts w:hint="eastAsia"/>
              </w:rPr>
              <w:t>昼间作业时，单台施工机械噪声在</w:t>
            </w:r>
            <w:r>
              <w:t>230m</w:t>
            </w:r>
            <w:r>
              <w:rPr>
                <w:rFonts w:hint="eastAsia"/>
              </w:rPr>
              <w:t>以外可达到施工场界噪声限值要求；夜间作业时，需在</w:t>
            </w:r>
            <w:r>
              <w:t>503m</w:t>
            </w:r>
            <w:r>
              <w:rPr>
                <w:rFonts w:hint="eastAsia"/>
              </w:rPr>
              <w:t>以外才可达到限值要求，110kV禹陵变电站周围场界较近，昼、夜施工场界噪声均将超出限值要求。在不考虑背景噪声的情况下，</w:t>
            </w:r>
            <w:r>
              <w:t>场平和建筑施工阶段昼间在</w:t>
            </w:r>
            <w:r>
              <w:rPr>
                <w:rFonts w:hint="eastAsia"/>
              </w:rPr>
              <w:t>402</w:t>
            </w:r>
            <w:r>
              <w:t>m外</w:t>
            </w:r>
            <w:r>
              <w:rPr>
                <w:rFonts w:hint="eastAsia"/>
              </w:rPr>
              <w:t>、</w:t>
            </w:r>
            <w:r>
              <w:t>夜间在</w:t>
            </w:r>
            <w:r>
              <w:rPr>
                <w:rFonts w:hint="eastAsia"/>
              </w:rPr>
              <w:t>612</w:t>
            </w:r>
            <w:r>
              <w:t>m外的噪声</w:t>
            </w:r>
            <w:r>
              <w:rPr>
                <w:rFonts w:hint="eastAsia"/>
              </w:rPr>
              <w:t>贡献值分别</w:t>
            </w:r>
            <w:r>
              <w:t>可达到</w:t>
            </w:r>
            <w:r>
              <w:rPr>
                <w:rFonts w:hint="eastAsia"/>
              </w:rPr>
              <w:t>60</w:t>
            </w:r>
            <w:r>
              <w:t>dB</w:t>
            </w:r>
            <w:r>
              <w:rPr>
                <w:rFonts w:hint="eastAsia"/>
              </w:rPr>
              <w:t>(A)、50</w:t>
            </w:r>
            <w:r>
              <w:t>dB</w:t>
            </w:r>
            <w:r>
              <w:rPr>
                <w:rFonts w:hint="eastAsia"/>
              </w:rPr>
              <w:t>(A)，</w:t>
            </w:r>
            <w:r>
              <w:t>昼间在</w:t>
            </w:r>
            <w:r>
              <w:rPr>
                <w:rFonts w:hint="eastAsia"/>
              </w:rPr>
              <w:t>503</w:t>
            </w:r>
            <w:r>
              <w:t>m外</w:t>
            </w:r>
            <w:r>
              <w:rPr>
                <w:rFonts w:hint="eastAsia"/>
              </w:rPr>
              <w:t>、</w:t>
            </w:r>
            <w:r>
              <w:t>夜间在</w:t>
            </w:r>
            <w:r>
              <w:rPr>
                <w:rFonts w:hint="eastAsia"/>
              </w:rPr>
              <w:t>730</w:t>
            </w:r>
            <w:r>
              <w:t>m外的噪声</w:t>
            </w:r>
            <w:r>
              <w:rPr>
                <w:rFonts w:hint="eastAsia"/>
              </w:rPr>
              <w:t>贡献值分别</w:t>
            </w:r>
            <w:r>
              <w:t>可达到</w:t>
            </w:r>
            <w:r>
              <w:rPr>
                <w:rFonts w:hint="eastAsia"/>
              </w:rPr>
              <w:t>55</w:t>
            </w:r>
            <w:r>
              <w:t>dB</w:t>
            </w:r>
            <w:r>
              <w:rPr>
                <w:rFonts w:hint="eastAsia"/>
              </w:rPr>
              <w:t>(A)、45</w:t>
            </w:r>
            <w:r>
              <w:t>dB</w:t>
            </w:r>
            <w:r>
              <w:rPr>
                <w:rFonts w:hint="eastAsia"/>
              </w:rPr>
              <w:t>(A)</w:t>
            </w:r>
            <w:r>
              <w:t>。</w:t>
            </w:r>
            <w:r>
              <w:rPr>
                <w:rFonts w:hint="eastAsia"/>
              </w:rPr>
              <w:t>110kV禹陵变电站</w:t>
            </w:r>
            <w:r>
              <w:t>站址距围墙西侧的</w:t>
            </w:r>
            <w:r>
              <w:rPr>
                <w:rFonts w:hint="eastAsia"/>
              </w:rPr>
              <w:t>森海</w:t>
            </w:r>
            <w:r>
              <w:t>豪庭最近约1</w:t>
            </w:r>
            <w:r>
              <w:rPr>
                <w:rFonts w:hint="eastAsia"/>
              </w:rPr>
              <w:t>60</w:t>
            </w:r>
            <w:r>
              <w:t>m，距围墙</w:t>
            </w:r>
            <w:r>
              <w:rPr>
                <w:rFonts w:hint="eastAsia"/>
              </w:rPr>
              <w:t>南</w:t>
            </w:r>
            <w:r>
              <w:t>侧的宝业四季园最近约</w:t>
            </w:r>
            <w:r>
              <w:rPr>
                <w:rFonts w:hint="eastAsia"/>
              </w:rPr>
              <w:t>440</w:t>
            </w:r>
            <w:r>
              <w:t>m</w:t>
            </w:r>
            <w:r>
              <w:rPr>
                <w:rFonts w:hint="eastAsia"/>
              </w:rPr>
              <w:t>，</w:t>
            </w:r>
            <w:r>
              <w:t>因此</w:t>
            </w:r>
            <w:r>
              <w:rPr>
                <w:rFonts w:hint="eastAsia"/>
              </w:rPr>
              <w:t>，昼夜间2</w:t>
            </w:r>
            <w:r>
              <w:t>处敏感点噪声均将超标。工程需严格避开夜间及昼间休息时间段施工，并减少打桩机、电</w:t>
            </w:r>
            <w:r>
              <w:rPr>
                <w:rFonts w:hint="eastAsia"/>
              </w:rPr>
              <w:t>锯</w:t>
            </w:r>
            <w:r>
              <w:t>等噪声较大设备的使用时间。</w:t>
            </w:r>
          </w:p>
          <w:p>
            <w:pPr>
              <w:pStyle w:val="NormalIndent"/>
              <w:spacing w:line="360" w:lineRule="auto"/>
            </w:pPr>
            <w:r>
              <w:rPr>
                <w:rFonts w:hint="eastAsia"/>
              </w:rPr>
              <w:t>由于110kV禹陵变电站施工历时较短，噪声影响并随着施工结束而消除；且施工先进行围墙施工，对噪声的影响有所减弱，同时要求变电站工程禁止夜间施工，以降低对周围居民声环境的影响。因此，变电站施工应合理安排施工时间，禁止夜间工作，如确需夜间施工，需报经当地环保局审批后方可作业，并进行告示通知附近居民。</w:t>
            </w:r>
          </w:p>
          <w:p>
            <w:pPr>
              <w:pStyle w:val="NormalIndent"/>
              <w:spacing w:line="360" w:lineRule="auto"/>
            </w:pPr>
            <w:r>
              <w:t>(2)输电线路</w:t>
            </w:r>
          </w:p>
          <w:p>
            <w:pPr>
              <w:pStyle w:val="NormalIndent"/>
              <w:spacing w:line="360" w:lineRule="auto"/>
              <w:rPr>
                <w:highlight w:val="yellow"/>
              </w:rPr>
            </w:pPr>
            <w:r>
              <w:t>九里-袍南线π入禹陵变110kV线路</w:t>
            </w:r>
            <w:r>
              <w:rPr>
                <w:rFonts w:hint="eastAsia"/>
              </w:rPr>
              <w:t>2</w:t>
            </w:r>
            <w:r>
              <w:t>基</w:t>
            </w:r>
            <w:r>
              <w:rPr>
                <w:rFonts w:hint="eastAsia"/>
              </w:rPr>
              <w:t>塔均位于平地，线路评价范围内无敏感点。平地塔基采用挖掘机作业，产生的施工机械噪声对声环境影响不大。</w:t>
            </w:r>
          </w:p>
          <w:p>
            <w:pPr>
              <w:pStyle w:val="NormalIndent"/>
              <w:spacing w:line="360" w:lineRule="auto"/>
            </w:pPr>
            <w:r>
              <w:t>架线施工中绞磨机、牵张机等施工机械将产生施工机械噪声，但噪声影响不大；线路架设以人工为主，由于施工人员较少，喧哗声持续时间短，影响范围不大；施工汽车运输交通量小，交通噪声影响很小。</w:t>
            </w:r>
          </w:p>
          <w:p>
            <w:pPr>
              <w:pStyle w:val="NormalIndent"/>
              <w:spacing w:line="360" w:lineRule="auto"/>
            </w:pPr>
            <w:r>
              <w:t>另外，线路架设跨距长、点分散且作业时间较短，影响范围很小，因此，输电线路的施工噪声对沿线居民不会有明显的影响。</w:t>
            </w:r>
          </w:p>
          <w:p>
            <w:pPr>
              <w:pStyle w:val="Heading4"/>
              <w:numPr>
                <w:ilvl w:val="0"/>
                <w:numId w:val="0"/>
              </w:numPr>
              <w:tabs>
                <w:tab w:val="clear" w:pos="1224"/>
              </w:tabs>
              <w:jc w:val="both"/>
            </w:pPr>
            <w:r>
              <w:rPr>
                <w:rFonts w:hint="eastAsia"/>
                <w:b w:val="0"/>
              </w:rPr>
              <w:t>4</w:t>
            </w:r>
            <w:r>
              <w:rPr>
                <w:b w:val="0"/>
              </w:rPr>
              <w:t>.1.2　污废水影响</w:t>
            </w:r>
          </w:p>
          <w:p>
            <w:pPr>
              <w:spacing w:after="0" w:line="360" w:lineRule="auto"/>
              <w:ind w:firstLine="480"/>
              <w:rPr>
                <w:sz w:val="24"/>
              </w:rPr>
            </w:pPr>
            <w:r>
              <w:rPr>
                <w:sz w:val="24"/>
              </w:rPr>
              <w:t>各变电站施工高峰期生活污水排放量约</w:t>
            </w:r>
            <w:r>
              <w:rPr>
                <w:rFonts w:hint="eastAsia"/>
                <w:sz w:val="24"/>
              </w:rPr>
              <w:t>7.2</w:t>
            </w: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/d，主要为施工人员洗涤废水和粪便污水等，含有COD</w:t>
            </w:r>
            <w:r>
              <w:rPr>
                <w:sz w:val="24"/>
                <w:vertAlign w:val="subscript"/>
              </w:rPr>
              <w:t>Cr</w:t>
            </w:r>
            <w:r>
              <w:rPr>
                <w:sz w:val="24"/>
              </w:rPr>
              <w:t>、BOD</w:t>
            </w:r>
            <w:r>
              <w:rPr>
                <w:sz w:val="24"/>
                <w:vertAlign w:val="subscript"/>
              </w:rPr>
              <w:t>5</w:t>
            </w:r>
            <w:r>
              <w:rPr>
                <w:sz w:val="24"/>
              </w:rPr>
              <w:t>及动植物油等，其中CODcr浓度约400mg/l、BOD</w:t>
            </w:r>
            <w:r>
              <w:rPr>
                <w:sz w:val="24"/>
                <w:vertAlign w:val="subscript"/>
              </w:rPr>
              <w:t>5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https://d.book118.com/668053006110006025</w:t>
        </w:r>
      </w:hyperlink>
    </w:p>
    <w:p/>
    <w:sectPr>
      <w:headerReference w:type="default" r:id="rId26"/>
      <w:footerReference w:type="even" r:id="rId27"/>
      <w:footerReference w:type="default" r:id="rId28"/>
      <w:type w:val="nextPage"/>
      <w:pgSz w:w="11906" w:h="16838"/>
      <w:pgMar w:top="1418" w:right="1418" w:bottom="1418" w:left="1418" w:header="851" w:footer="992" w:gutter="0"/>
      <w:pgNumType w:start="9"/>
      <w:cols w:space="708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default"/>
    <w:sig w:usb0="F7FFAEFF" w:usb1="F9DFFFFF" w:usb2="0000007F" w:usb3="00000000" w:csb0="203F01FF" w:csb1="DFFF0000"/>
  </w:font>
  <w:font w:name="汉仪书宋二简">
    <w:panose1 w:val="02010600000101010101"/>
    <w:charset w:val="86"/>
    <w:family w:val="modern"/>
    <w:pitch w:val="default"/>
    <w:sig w:usb0="00000001" w:usb1="080E0800" w:usb2="00000002" w:usb3="00000000" w:csb0="0004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16D4F"/>
    <w:multiLevelType w:val="multilevel"/>
    <w:tmpl w:val="28F16D4F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  <w:b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eastAsia"/>
      </w:rPr>
    </w:lvl>
    <w:lvl w:ilvl="4">
      <w:start w:val="1"/>
      <w:numFmt w:val="none"/>
      <w:lvlRestart w:val="0"/>
      <w:lvlJc w:val="left"/>
      <w:pPr>
        <w:tabs>
          <w:tab w:val="num" w:pos="1008"/>
        </w:tabs>
        <w:ind w:left="1008" w:hanging="1008"/>
      </w:pPr>
      <w:rPr>
        <w:rFonts w:hint="eastAsia"/>
      </w:rPr>
    </w:lvl>
    <w:lvl w:ilvl="5">
      <w:start w:val="1"/>
      <w:numFmt w:val="none"/>
      <w:lvlRestart w:val="0"/>
      <w:lvlJc w:val="left"/>
      <w:pPr>
        <w:tabs>
          <w:tab w:val="num" w:pos="1152"/>
        </w:tabs>
        <w:ind w:left="1152" w:hanging="1152"/>
      </w:pPr>
      <w:rPr>
        <w:rFonts w:hint="eastAsia"/>
      </w:rPr>
    </w:lvl>
    <w:lvl w:ilvl="6">
      <w:start w:val="1"/>
      <w:numFmt w:val="none"/>
      <w:lvlRestart w:val="0"/>
      <w:lvlJc w:val="left"/>
      <w:pPr>
        <w:tabs>
          <w:tab w:val="num" w:pos="1296"/>
        </w:tabs>
        <w:ind w:left="1296" w:hanging="1296"/>
      </w:pPr>
      <w:rPr>
        <w:rFonts w:hint="eastAsia"/>
      </w:rPr>
    </w:lvl>
    <w:lvl w:ilvl="7">
      <w:start w:val="1"/>
      <w:numFmt w:val="none"/>
      <w:lvlRestart w:val="0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none"/>
      <w:lvlRestart w:val="0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1">
    <w:nsid w:val="33700FE0"/>
    <w:multiLevelType w:val="multilevel"/>
    <w:tmpl w:val="33700FE0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isLgl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Restart w:val="0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Restart w:val="0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Restart w:val="0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">
    <w:nsid w:val="4A6253C6"/>
    <w:multiLevelType w:val="multilevel"/>
    <w:tmpl w:val="4A6253C6"/>
    <w:lvl w:ilvl="0">
      <w:start w:val="1"/>
      <w:numFmt w:val="decimalEnclosedCircle"/>
      <w:lvlText w:val="%1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420"/>
      </w:pPr>
    </w:lvl>
    <w:lvl w:ilvl="2">
      <w:start w:val="1"/>
      <w:numFmt w:val="lowerRoman"/>
      <w:lvlText w:val="%3."/>
      <w:lvlJc w:val="right"/>
      <w:pPr>
        <w:ind w:left="1860" w:hanging="420"/>
      </w:pPr>
    </w:lvl>
    <w:lvl w:ilvl="3">
      <w:start w:val="1"/>
      <w:numFmt w:val="decimal"/>
      <w:lvlText w:val="%4."/>
      <w:lvlJc w:val="left"/>
      <w:pPr>
        <w:ind w:left="2280" w:hanging="420"/>
      </w:pPr>
    </w:lvl>
    <w:lvl w:ilvl="4">
      <w:start w:val="1"/>
      <w:numFmt w:val="lowerLetter"/>
      <w:lvlText w:val="%5)"/>
      <w:lvlJc w:val="left"/>
      <w:pPr>
        <w:ind w:left="2700" w:hanging="420"/>
      </w:pPr>
    </w:lvl>
    <w:lvl w:ilvl="5">
      <w:start w:val="1"/>
      <w:numFmt w:val="lowerRoman"/>
      <w:lvlText w:val="%6."/>
      <w:lvlJc w:val="right"/>
      <w:pPr>
        <w:ind w:left="3120" w:hanging="420"/>
      </w:pPr>
    </w:lvl>
    <w:lvl w:ilvl="6">
      <w:start w:val="1"/>
      <w:numFmt w:val="decimal"/>
      <w:lvlText w:val="%7."/>
      <w:lvlJc w:val="left"/>
      <w:pPr>
        <w:ind w:left="3540" w:hanging="420"/>
      </w:pPr>
    </w:lvl>
    <w:lvl w:ilvl="7">
      <w:start w:val="1"/>
      <w:numFmt w:val="lowerLetter"/>
      <w:lvlText w:val="%8)"/>
      <w:lvlJc w:val="left"/>
      <w:pPr>
        <w:ind w:left="3960" w:hanging="420"/>
      </w:pPr>
    </w:lvl>
    <w:lvl w:ilvl="8">
      <w:start w:val="1"/>
      <w:numFmt w:val="lowerRoman"/>
      <w:lvlText w:val="%9."/>
      <w:lvlJc w:val="right"/>
      <w:pPr>
        <w:ind w:left="4380" w:hanging="420"/>
      </w:pPr>
    </w:lvl>
  </w:abstractNum>
  <w:abstractNum w:abstractNumId="3">
    <w:nsid w:val="517C458B"/>
    <w:multiLevelType w:val="multilevel"/>
    <w:tmpl w:val="517C458B"/>
    <w:lvl w:ilvl="0">
      <w:start w:val="1"/>
      <w:numFmt w:val="decimal"/>
      <w:lvlText w:val="%1"/>
      <w:lvlJc w:val="left"/>
      <w:pPr>
        <w:tabs>
          <w:tab w:val="num" w:pos="431"/>
        </w:tabs>
        <w:ind w:left="431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75"/>
        </w:tabs>
        <w:ind w:left="575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19"/>
        </w:tabs>
        <w:ind w:left="719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2"/>
        </w:tabs>
        <w:ind w:left="862" w:hanging="862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07"/>
        </w:tabs>
        <w:ind w:left="1007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151"/>
        </w:tabs>
        <w:ind w:left="1151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295"/>
        </w:tabs>
        <w:ind w:left="1295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39"/>
        </w:tabs>
        <w:ind w:left="1439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3"/>
        </w:tabs>
        <w:ind w:left="1583" w:hanging="1584"/>
      </w:pPr>
      <w:rPr>
        <w:rFonts w:hint="eastAsia"/>
      </w:rPr>
    </w:lvl>
  </w:abstractNum>
  <w:abstractNum w:abstractNumId="4">
    <w:nsid w:val="56E43883"/>
    <w:multiLevelType w:val="multilevel"/>
    <w:tmpl w:val="56E43883"/>
    <w:lvl w:ilvl="0">
      <w:start w:val="1"/>
      <w:numFmt w:val="decimal"/>
      <w:suff w:val="space"/>
      <w:lvlText w:val="%1"/>
      <w:lvlJc w:val="left"/>
      <w:pPr>
        <w:ind w:left="432" w:hanging="432"/>
      </w:pPr>
      <w:rPr>
        <w:rFonts w:hint="eastAsia"/>
        <w:b/>
        <w:i w:val="0"/>
        <w:sz w:val="3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  <w:b/>
        <w:i w:val="0"/>
        <w:spacing w:val="0"/>
        <w:position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  <w:b/>
        <w:i w:val="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eastAsia"/>
        <w:b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5">
    <w:nsid w:val="6644170E"/>
    <w:multiLevelType w:val="multilevel"/>
    <w:tmpl w:val="6644170E"/>
    <w:lvl w:ilvl="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stylePaneFormatFilter w:val="30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79A7"/>
    <w:rsid w:val="000002A8"/>
    <w:rsid w:val="000008A3"/>
    <w:rsid w:val="00000AFB"/>
    <w:rsid w:val="00001863"/>
    <w:rsid w:val="00002133"/>
    <w:rsid w:val="00002886"/>
    <w:rsid w:val="00002F55"/>
    <w:rsid w:val="00004A76"/>
    <w:rsid w:val="0000532E"/>
    <w:rsid w:val="00006AD1"/>
    <w:rsid w:val="00007D55"/>
    <w:rsid w:val="000101BE"/>
    <w:rsid w:val="00010BC4"/>
    <w:rsid w:val="00010DA0"/>
    <w:rsid w:val="00011197"/>
    <w:rsid w:val="000115D4"/>
    <w:rsid w:val="00011752"/>
    <w:rsid w:val="00011EAB"/>
    <w:rsid w:val="000129AA"/>
    <w:rsid w:val="00012C35"/>
    <w:rsid w:val="00012C39"/>
    <w:rsid w:val="00012FAA"/>
    <w:rsid w:val="000130C4"/>
    <w:rsid w:val="00013B6E"/>
    <w:rsid w:val="00013EBB"/>
    <w:rsid w:val="0001472E"/>
    <w:rsid w:val="00014911"/>
    <w:rsid w:val="00014E30"/>
    <w:rsid w:val="00014ED0"/>
    <w:rsid w:val="0001586A"/>
    <w:rsid w:val="00015D40"/>
    <w:rsid w:val="00015E40"/>
    <w:rsid w:val="00016897"/>
    <w:rsid w:val="00016D81"/>
    <w:rsid w:val="00016FE2"/>
    <w:rsid w:val="000171F0"/>
    <w:rsid w:val="000174DF"/>
    <w:rsid w:val="00017811"/>
    <w:rsid w:val="00017B38"/>
    <w:rsid w:val="00020501"/>
    <w:rsid w:val="00020DF5"/>
    <w:rsid w:val="0002168D"/>
    <w:rsid w:val="00021B6D"/>
    <w:rsid w:val="000222B3"/>
    <w:rsid w:val="000223DB"/>
    <w:rsid w:val="000224FF"/>
    <w:rsid w:val="000225EC"/>
    <w:rsid w:val="000226CF"/>
    <w:rsid w:val="0002282C"/>
    <w:rsid w:val="0002283A"/>
    <w:rsid w:val="0002302E"/>
    <w:rsid w:val="000233B8"/>
    <w:rsid w:val="000247B5"/>
    <w:rsid w:val="00024D56"/>
    <w:rsid w:val="00025229"/>
    <w:rsid w:val="0002545D"/>
    <w:rsid w:val="00025836"/>
    <w:rsid w:val="0002679D"/>
    <w:rsid w:val="0002716B"/>
    <w:rsid w:val="00027285"/>
    <w:rsid w:val="0003037D"/>
    <w:rsid w:val="0003167E"/>
    <w:rsid w:val="00031F6B"/>
    <w:rsid w:val="0003225D"/>
    <w:rsid w:val="0003238D"/>
    <w:rsid w:val="00032ED3"/>
    <w:rsid w:val="0003319C"/>
    <w:rsid w:val="00034033"/>
    <w:rsid w:val="000349C2"/>
    <w:rsid w:val="00035249"/>
    <w:rsid w:val="00035255"/>
    <w:rsid w:val="00035F14"/>
    <w:rsid w:val="000362B9"/>
    <w:rsid w:val="0003652F"/>
    <w:rsid w:val="000369D3"/>
    <w:rsid w:val="00037471"/>
    <w:rsid w:val="00041104"/>
    <w:rsid w:val="00041206"/>
    <w:rsid w:val="00041EED"/>
    <w:rsid w:val="0004215F"/>
    <w:rsid w:val="00042C62"/>
    <w:rsid w:val="00043A8D"/>
    <w:rsid w:val="00044791"/>
    <w:rsid w:val="000448A9"/>
    <w:rsid w:val="00044980"/>
    <w:rsid w:val="00044F51"/>
    <w:rsid w:val="00046212"/>
    <w:rsid w:val="000462F0"/>
    <w:rsid w:val="0004633C"/>
    <w:rsid w:val="00046AE6"/>
    <w:rsid w:val="00046BB7"/>
    <w:rsid w:val="00046BE8"/>
    <w:rsid w:val="00047435"/>
    <w:rsid w:val="00047CE0"/>
    <w:rsid w:val="0005045F"/>
    <w:rsid w:val="00051420"/>
    <w:rsid w:val="0005155D"/>
    <w:rsid w:val="00051980"/>
    <w:rsid w:val="000525CC"/>
    <w:rsid w:val="00052C58"/>
    <w:rsid w:val="00053486"/>
    <w:rsid w:val="00054C82"/>
    <w:rsid w:val="00054EFE"/>
    <w:rsid w:val="00055555"/>
    <w:rsid w:val="0005584F"/>
    <w:rsid w:val="00056845"/>
    <w:rsid w:val="0005712B"/>
    <w:rsid w:val="000576D0"/>
    <w:rsid w:val="0005780C"/>
    <w:rsid w:val="00057B93"/>
    <w:rsid w:val="00057DB0"/>
    <w:rsid w:val="00060141"/>
    <w:rsid w:val="00060569"/>
    <w:rsid w:val="000605E7"/>
    <w:rsid w:val="00061357"/>
    <w:rsid w:val="000622C9"/>
    <w:rsid w:val="0006254B"/>
    <w:rsid w:val="00063619"/>
    <w:rsid w:val="00064055"/>
    <w:rsid w:val="000640DD"/>
    <w:rsid w:val="000645AE"/>
    <w:rsid w:val="00066EA5"/>
    <w:rsid w:val="000672A7"/>
    <w:rsid w:val="000673E0"/>
    <w:rsid w:val="00067A9F"/>
    <w:rsid w:val="00067BC4"/>
    <w:rsid w:val="00070180"/>
    <w:rsid w:val="000701AD"/>
    <w:rsid w:val="000707E1"/>
    <w:rsid w:val="00070BBA"/>
    <w:rsid w:val="00070E58"/>
    <w:rsid w:val="0007121B"/>
    <w:rsid w:val="000713E6"/>
    <w:rsid w:val="00071D76"/>
    <w:rsid w:val="000725CF"/>
    <w:rsid w:val="00072851"/>
    <w:rsid w:val="00072B9B"/>
    <w:rsid w:val="00072C85"/>
    <w:rsid w:val="000738DD"/>
    <w:rsid w:val="00073D96"/>
    <w:rsid w:val="00074559"/>
    <w:rsid w:val="000745B0"/>
    <w:rsid w:val="0007505E"/>
    <w:rsid w:val="00075AFE"/>
    <w:rsid w:val="00075B0B"/>
    <w:rsid w:val="00075DFB"/>
    <w:rsid w:val="000761E1"/>
    <w:rsid w:val="0007632C"/>
    <w:rsid w:val="00076897"/>
    <w:rsid w:val="000775F1"/>
    <w:rsid w:val="00077AA3"/>
    <w:rsid w:val="000805F7"/>
    <w:rsid w:val="000808E8"/>
    <w:rsid w:val="0008176A"/>
    <w:rsid w:val="00081DF7"/>
    <w:rsid w:val="000820E1"/>
    <w:rsid w:val="0008231B"/>
    <w:rsid w:val="000828E4"/>
    <w:rsid w:val="0008305A"/>
    <w:rsid w:val="00083457"/>
    <w:rsid w:val="0008370B"/>
    <w:rsid w:val="00083A2E"/>
    <w:rsid w:val="00083B07"/>
    <w:rsid w:val="00084028"/>
    <w:rsid w:val="00084CB9"/>
    <w:rsid w:val="000858FB"/>
    <w:rsid w:val="0008605A"/>
    <w:rsid w:val="000860C2"/>
    <w:rsid w:val="00086322"/>
    <w:rsid w:val="00086B37"/>
    <w:rsid w:val="00086B72"/>
    <w:rsid w:val="00087445"/>
    <w:rsid w:val="00087663"/>
    <w:rsid w:val="00090C31"/>
    <w:rsid w:val="00090F41"/>
    <w:rsid w:val="0009193B"/>
    <w:rsid w:val="000927AC"/>
    <w:rsid w:val="00092C92"/>
    <w:rsid w:val="00093983"/>
    <w:rsid w:val="00095231"/>
    <w:rsid w:val="000954AB"/>
    <w:rsid w:val="0009570A"/>
    <w:rsid w:val="00095AFA"/>
    <w:rsid w:val="000960A2"/>
    <w:rsid w:val="00096979"/>
    <w:rsid w:val="00096F70"/>
    <w:rsid w:val="00097407"/>
    <w:rsid w:val="000978D2"/>
    <w:rsid w:val="00097D37"/>
    <w:rsid w:val="000A0371"/>
    <w:rsid w:val="000A04AB"/>
    <w:rsid w:val="000A0987"/>
    <w:rsid w:val="000A0C10"/>
    <w:rsid w:val="000A0EA2"/>
    <w:rsid w:val="000A1D3A"/>
    <w:rsid w:val="000A2036"/>
    <w:rsid w:val="000A2597"/>
    <w:rsid w:val="000A4C4F"/>
    <w:rsid w:val="000A53B4"/>
    <w:rsid w:val="000A5BA5"/>
    <w:rsid w:val="000A5D75"/>
    <w:rsid w:val="000A696C"/>
    <w:rsid w:val="000B1054"/>
    <w:rsid w:val="000B1FD1"/>
    <w:rsid w:val="000B2C36"/>
    <w:rsid w:val="000B2E69"/>
    <w:rsid w:val="000B36E6"/>
    <w:rsid w:val="000B44C4"/>
    <w:rsid w:val="000B4A6B"/>
    <w:rsid w:val="000B53D7"/>
    <w:rsid w:val="000B55A7"/>
    <w:rsid w:val="000B5C6A"/>
    <w:rsid w:val="000B6BC4"/>
    <w:rsid w:val="000B6E5A"/>
    <w:rsid w:val="000B6EF0"/>
    <w:rsid w:val="000B6F77"/>
    <w:rsid w:val="000B7748"/>
    <w:rsid w:val="000C07AD"/>
    <w:rsid w:val="000C0FAD"/>
    <w:rsid w:val="000C1D44"/>
    <w:rsid w:val="000C1D48"/>
    <w:rsid w:val="000C23D8"/>
    <w:rsid w:val="000C34B0"/>
    <w:rsid w:val="000C470E"/>
    <w:rsid w:val="000C4C82"/>
    <w:rsid w:val="000C579B"/>
    <w:rsid w:val="000C60A5"/>
    <w:rsid w:val="000C6671"/>
    <w:rsid w:val="000C7529"/>
    <w:rsid w:val="000C7CBB"/>
    <w:rsid w:val="000D0114"/>
    <w:rsid w:val="000D0346"/>
    <w:rsid w:val="000D17B2"/>
    <w:rsid w:val="000D1818"/>
    <w:rsid w:val="000D3C83"/>
    <w:rsid w:val="000D4053"/>
    <w:rsid w:val="000D4133"/>
    <w:rsid w:val="000D42BD"/>
    <w:rsid w:val="000D46DA"/>
    <w:rsid w:val="000D4E78"/>
    <w:rsid w:val="000D519E"/>
    <w:rsid w:val="000D64C7"/>
    <w:rsid w:val="000D6CE7"/>
    <w:rsid w:val="000D7AA5"/>
    <w:rsid w:val="000D7AB5"/>
    <w:rsid w:val="000D7DB3"/>
    <w:rsid w:val="000E0AF4"/>
    <w:rsid w:val="000E0E3E"/>
    <w:rsid w:val="000E0F74"/>
    <w:rsid w:val="000E162A"/>
    <w:rsid w:val="000E21C8"/>
    <w:rsid w:val="000E2435"/>
    <w:rsid w:val="000E2B32"/>
    <w:rsid w:val="000E3ED7"/>
    <w:rsid w:val="000E43E7"/>
    <w:rsid w:val="000E4C0C"/>
    <w:rsid w:val="000E65D7"/>
    <w:rsid w:val="000E67C4"/>
    <w:rsid w:val="000F00AA"/>
    <w:rsid w:val="000F015C"/>
    <w:rsid w:val="000F02B7"/>
    <w:rsid w:val="000F249E"/>
    <w:rsid w:val="000F26FE"/>
    <w:rsid w:val="000F2E35"/>
    <w:rsid w:val="000F2F0D"/>
    <w:rsid w:val="000F2FC5"/>
    <w:rsid w:val="000F31F6"/>
    <w:rsid w:val="000F3440"/>
    <w:rsid w:val="000F5632"/>
    <w:rsid w:val="000F616F"/>
    <w:rsid w:val="000F664B"/>
    <w:rsid w:val="000F6AD4"/>
    <w:rsid w:val="000F71EB"/>
    <w:rsid w:val="000F77A0"/>
    <w:rsid w:val="00100C2B"/>
    <w:rsid w:val="0010137D"/>
    <w:rsid w:val="0010157F"/>
    <w:rsid w:val="00101834"/>
    <w:rsid w:val="00101FD4"/>
    <w:rsid w:val="00103A25"/>
    <w:rsid w:val="00104062"/>
    <w:rsid w:val="00105BBC"/>
    <w:rsid w:val="00106487"/>
    <w:rsid w:val="001071D7"/>
    <w:rsid w:val="00107307"/>
    <w:rsid w:val="00107765"/>
    <w:rsid w:val="00107BAA"/>
    <w:rsid w:val="00107CF5"/>
    <w:rsid w:val="001102C4"/>
    <w:rsid w:val="0011057B"/>
    <w:rsid w:val="001105D8"/>
    <w:rsid w:val="0011188F"/>
    <w:rsid w:val="00111A86"/>
    <w:rsid w:val="00111DE5"/>
    <w:rsid w:val="00111F26"/>
    <w:rsid w:val="00111F51"/>
    <w:rsid w:val="0011201D"/>
    <w:rsid w:val="001120FB"/>
    <w:rsid w:val="00112134"/>
    <w:rsid w:val="0011263D"/>
    <w:rsid w:val="00112CB6"/>
    <w:rsid w:val="00112DA6"/>
    <w:rsid w:val="00113B1D"/>
    <w:rsid w:val="00114935"/>
    <w:rsid w:val="00114C39"/>
    <w:rsid w:val="00114DF8"/>
    <w:rsid w:val="00115056"/>
    <w:rsid w:val="00115201"/>
    <w:rsid w:val="00115578"/>
    <w:rsid w:val="00116CBA"/>
    <w:rsid w:val="00116CC9"/>
    <w:rsid w:val="001171AA"/>
    <w:rsid w:val="0011727D"/>
    <w:rsid w:val="001174C2"/>
    <w:rsid w:val="001178A3"/>
    <w:rsid w:val="00120137"/>
    <w:rsid w:val="00120B37"/>
    <w:rsid w:val="0012222E"/>
    <w:rsid w:val="00122AD7"/>
    <w:rsid w:val="0012342A"/>
    <w:rsid w:val="0012346D"/>
    <w:rsid w:val="001251C5"/>
    <w:rsid w:val="001262A9"/>
    <w:rsid w:val="001264D2"/>
    <w:rsid w:val="0012659B"/>
    <w:rsid w:val="0012687C"/>
    <w:rsid w:val="001268DE"/>
    <w:rsid w:val="00127CB0"/>
    <w:rsid w:val="00127D46"/>
    <w:rsid w:val="0013041F"/>
    <w:rsid w:val="00130755"/>
    <w:rsid w:val="00130B7A"/>
    <w:rsid w:val="0013115A"/>
    <w:rsid w:val="0013165D"/>
    <w:rsid w:val="00131B54"/>
    <w:rsid w:val="0013203A"/>
    <w:rsid w:val="0013277A"/>
    <w:rsid w:val="00133289"/>
    <w:rsid w:val="00133299"/>
    <w:rsid w:val="001337AB"/>
    <w:rsid w:val="00134941"/>
    <w:rsid w:val="00135074"/>
    <w:rsid w:val="00135450"/>
    <w:rsid w:val="00135FFB"/>
    <w:rsid w:val="001366D6"/>
    <w:rsid w:val="00136F60"/>
    <w:rsid w:val="001372C8"/>
    <w:rsid w:val="00137579"/>
    <w:rsid w:val="00137598"/>
    <w:rsid w:val="00137C0F"/>
    <w:rsid w:val="00140A59"/>
    <w:rsid w:val="00140B10"/>
    <w:rsid w:val="001413FD"/>
    <w:rsid w:val="00141A30"/>
    <w:rsid w:val="00141B6A"/>
    <w:rsid w:val="001421A6"/>
    <w:rsid w:val="001431FA"/>
    <w:rsid w:val="00143671"/>
    <w:rsid w:val="00143C89"/>
    <w:rsid w:val="00144083"/>
    <w:rsid w:val="001444B8"/>
    <w:rsid w:val="0014466F"/>
    <w:rsid w:val="00146FB4"/>
    <w:rsid w:val="001507D6"/>
    <w:rsid w:val="00151973"/>
    <w:rsid w:val="00151D16"/>
    <w:rsid w:val="001521E6"/>
    <w:rsid w:val="00152AA7"/>
    <w:rsid w:val="001534BE"/>
    <w:rsid w:val="00153EDC"/>
    <w:rsid w:val="00154496"/>
    <w:rsid w:val="001544B1"/>
    <w:rsid w:val="001544C1"/>
    <w:rsid w:val="0015470A"/>
    <w:rsid w:val="00154E23"/>
    <w:rsid w:val="00155028"/>
    <w:rsid w:val="00155753"/>
    <w:rsid w:val="00155886"/>
    <w:rsid w:val="00155B55"/>
    <w:rsid w:val="00155E5B"/>
    <w:rsid w:val="001564B4"/>
    <w:rsid w:val="0015736B"/>
    <w:rsid w:val="001579DA"/>
    <w:rsid w:val="00160A9C"/>
    <w:rsid w:val="00160D9E"/>
    <w:rsid w:val="00161B62"/>
    <w:rsid w:val="00162AFC"/>
    <w:rsid w:val="0016306B"/>
    <w:rsid w:val="00163078"/>
    <w:rsid w:val="00163746"/>
    <w:rsid w:val="00163C35"/>
    <w:rsid w:val="001643A3"/>
    <w:rsid w:val="00164994"/>
    <w:rsid w:val="00165234"/>
    <w:rsid w:val="00165359"/>
    <w:rsid w:val="00165E07"/>
    <w:rsid w:val="00166DD1"/>
    <w:rsid w:val="00167F1D"/>
    <w:rsid w:val="001701CA"/>
    <w:rsid w:val="00170392"/>
    <w:rsid w:val="001706D8"/>
    <w:rsid w:val="0017093F"/>
    <w:rsid w:val="0017331A"/>
    <w:rsid w:val="001739C5"/>
    <w:rsid w:val="00174140"/>
    <w:rsid w:val="00175E52"/>
    <w:rsid w:val="00175E72"/>
    <w:rsid w:val="00176499"/>
    <w:rsid w:val="0017687D"/>
    <w:rsid w:val="00176ABB"/>
    <w:rsid w:val="001774BC"/>
    <w:rsid w:val="00177930"/>
    <w:rsid w:val="001779D3"/>
    <w:rsid w:val="00177A2F"/>
    <w:rsid w:val="001802C1"/>
    <w:rsid w:val="00180445"/>
    <w:rsid w:val="001820C4"/>
    <w:rsid w:val="001820C9"/>
    <w:rsid w:val="001829D3"/>
    <w:rsid w:val="00182A23"/>
    <w:rsid w:val="0018545B"/>
    <w:rsid w:val="00185730"/>
    <w:rsid w:val="0018658F"/>
    <w:rsid w:val="0018779C"/>
    <w:rsid w:val="00190444"/>
    <w:rsid w:val="00190B90"/>
    <w:rsid w:val="0019114C"/>
    <w:rsid w:val="00191B24"/>
    <w:rsid w:val="001926E9"/>
    <w:rsid w:val="001929DB"/>
    <w:rsid w:val="00193EE8"/>
    <w:rsid w:val="0019486C"/>
    <w:rsid w:val="0019540F"/>
    <w:rsid w:val="001954F3"/>
    <w:rsid w:val="0019562D"/>
    <w:rsid w:val="0019578A"/>
    <w:rsid w:val="00195F73"/>
    <w:rsid w:val="001962CE"/>
    <w:rsid w:val="00196373"/>
    <w:rsid w:val="001A0323"/>
    <w:rsid w:val="001A1689"/>
    <w:rsid w:val="001A226E"/>
    <w:rsid w:val="001A3297"/>
    <w:rsid w:val="001A32F0"/>
    <w:rsid w:val="001A3694"/>
    <w:rsid w:val="001A36EB"/>
    <w:rsid w:val="001A404E"/>
    <w:rsid w:val="001A47DD"/>
    <w:rsid w:val="001A48EF"/>
    <w:rsid w:val="001A4A2A"/>
    <w:rsid w:val="001A4C15"/>
    <w:rsid w:val="001A522E"/>
    <w:rsid w:val="001A530F"/>
    <w:rsid w:val="001A61B1"/>
    <w:rsid w:val="001A6C01"/>
    <w:rsid w:val="001A6CEA"/>
    <w:rsid w:val="001A757E"/>
    <w:rsid w:val="001A774C"/>
    <w:rsid w:val="001A7F0C"/>
    <w:rsid w:val="001B0C33"/>
    <w:rsid w:val="001B117E"/>
    <w:rsid w:val="001B15DA"/>
    <w:rsid w:val="001B2645"/>
    <w:rsid w:val="001B3272"/>
    <w:rsid w:val="001B3506"/>
    <w:rsid w:val="001B367F"/>
    <w:rsid w:val="001B3853"/>
    <w:rsid w:val="001B3A4B"/>
    <w:rsid w:val="001B3C0C"/>
    <w:rsid w:val="001B3C8A"/>
    <w:rsid w:val="001B3E62"/>
    <w:rsid w:val="001B41B4"/>
    <w:rsid w:val="001B4664"/>
    <w:rsid w:val="001B4991"/>
    <w:rsid w:val="001B4F3E"/>
    <w:rsid w:val="001B50DE"/>
    <w:rsid w:val="001B5A43"/>
    <w:rsid w:val="001B6C32"/>
    <w:rsid w:val="001B72FB"/>
    <w:rsid w:val="001C05D7"/>
    <w:rsid w:val="001C1164"/>
    <w:rsid w:val="001C22C4"/>
    <w:rsid w:val="001C243E"/>
    <w:rsid w:val="001C2695"/>
    <w:rsid w:val="001C282A"/>
    <w:rsid w:val="001C2835"/>
    <w:rsid w:val="001C297A"/>
    <w:rsid w:val="001C2BF7"/>
    <w:rsid w:val="001C2CDA"/>
    <w:rsid w:val="001C397B"/>
    <w:rsid w:val="001C3E6F"/>
    <w:rsid w:val="001C3EC9"/>
    <w:rsid w:val="001C40E8"/>
    <w:rsid w:val="001C56E6"/>
    <w:rsid w:val="001C7BE2"/>
    <w:rsid w:val="001D10F4"/>
    <w:rsid w:val="001D1396"/>
    <w:rsid w:val="001D174D"/>
    <w:rsid w:val="001D1AC4"/>
    <w:rsid w:val="001D204E"/>
    <w:rsid w:val="001D2500"/>
    <w:rsid w:val="001D2BD4"/>
    <w:rsid w:val="001D31C8"/>
    <w:rsid w:val="001D3827"/>
    <w:rsid w:val="001D3853"/>
    <w:rsid w:val="001D3FD9"/>
    <w:rsid w:val="001D41B6"/>
    <w:rsid w:val="001D5352"/>
    <w:rsid w:val="001D5493"/>
    <w:rsid w:val="001D655C"/>
    <w:rsid w:val="001D67F1"/>
    <w:rsid w:val="001D6944"/>
    <w:rsid w:val="001D74B2"/>
    <w:rsid w:val="001D7A8C"/>
    <w:rsid w:val="001E08D8"/>
    <w:rsid w:val="001E151E"/>
    <w:rsid w:val="001E206D"/>
    <w:rsid w:val="001E23CD"/>
    <w:rsid w:val="001E2651"/>
    <w:rsid w:val="001E267C"/>
    <w:rsid w:val="001E2782"/>
    <w:rsid w:val="001E2D64"/>
    <w:rsid w:val="001E325C"/>
    <w:rsid w:val="001E3354"/>
    <w:rsid w:val="001E342A"/>
    <w:rsid w:val="001E4644"/>
    <w:rsid w:val="001E4824"/>
    <w:rsid w:val="001E59BF"/>
    <w:rsid w:val="001E5A67"/>
    <w:rsid w:val="001E5EF4"/>
    <w:rsid w:val="001E6A48"/>
    <w:rsid w:val="001E6BDC"/>
    <w:rsid w:val="001F0FAA"/>
    <w:rsid w:val="001F16C5"/>
    <w:rsid w:val="001F1758"/>
    <w:rsid w:val="001F1782"/>
    <w:rsid w:val="001F1B61"/>
    <w:rsid w:val="001F1FDA"/>
    <w:rsid w:val="001F2253"/>
    <w:rsid w:val="001F275B"/>
    <w:rsid w:val="001F2C7D"/>
    <w:rsid w:val="001F32E1"/>
    <w:rsid w:val="001F3DB2"/>
    <w:rsid w:val="001F4170"/>
    <w:rsid w:val="001F486C"/>
    <w:rsid w:val="001F498C"/>
    <w:rsid w:val="001F4FA2"/>
    <w:rsid w:val="001F52FE"/>
    <w:rsid w:val="001F5594"/>
    <w:rsid w:val="001F5FF0"/>
    <w:rsid w:val="001F6123"/>
    <w:rsid w:val="001F618C"/>
    <w:rsid w:val="001F76B5"/>
    <w:rsid w:val="001F783F"/>
    <w:rsid w:val="001F7879"/>
    <w:rsid w:val="00200030"/>
    <w:rsid w:val="00200BD4"/>
    <w:rsid w:val="002013CC"/>
    <w:rsid w:val="00201891"/>
    <w:rsid w:val="0020202E"/>
    <w:rsid w:val="00202373"/>
    <w:rsid w:val="00203D42"/>
    <w:rsid w:val="00203F06"/>
    <w:rsid w:val="00203F74"/>
    <w:rsid w:val="00204FF1"/>
    <w:rsid w:val="00205133"/>
    <w:rsid w:val="00205578"/>
    <w:rsid w:val="00205CC4"/>
    <w:rsid w:val="002066CD"/>
    <w:rsid w:val="0020678C"/>
    <w:rsid w:val="00206962"/>
    <w:rsid w:val="002075C8"/>
    <w:rsid w:val="00207753"/>
    <w:rsid w:val="00210C40"/>
    <w:rsid w:val="00210FEE"/>
    <w:rsid w:val="00211655"/>
    <w:rsid w:val="0021170F"/>
    <w:rsid w:val="00211B6A"/>
    <w:rsid w:val="002120D3"/>
    <w:rsid w:val="002121DF"/>
    <w:rsid w:val="00212B58"/>
    <w:rsid w:val="00212E5E"/>
    <w:rsid w:val="002134E2"/>
    <w:rsid w:val="00213936"/>
    <w:rsid w:val="00213E8A"/>
    <w:rsid w:val="00214402"/>
    <w:rsid w:val="00214857"/>
    <w:rsid w:val="00214EAC"/>
    <w:rsid w:val="00214EC2"/>
    <w:rsid w:val="00215263"/>
    <w:rsid w:val="002153B0"/>
    <w:rsid w:val="0021571A"/>
    <w:rsid w:val="002161B5"/>
    <w:rsid w:val="00217560"/>
    <w:rsid w:val="002175F6"/>
    <w:rsid w:val="002177AD"/>
    <w:rsid w:val="00217AF5"/>
    <w:rsid w:val="00217B97"/>
    <w:rsid w:val="00217BA6"/>
    <w:rsid w:val="00221147"/>
    <w:rsid w:val="00221400"/>
    <w:rsid w:val="00221EC5"/>
    <w:rsid w:val="00221F0B"/>
    <w:rsid w:val="00222354"/>
    <w:rsid w:val="00222BD3"/>
    <w:rsid w:val="00222E4F"/>
    <w:rsid w:val="00222FD6"/>
    <w:rsid w:val="002235E0"/>
    <w:rsid w:val="002238ED"/>
    <w:rsid w:val="00224096"/>
    <w:rsid w:val="002240D0"/>
    <w:rsid w:val="00224639"/>
    <w:rsid w:val="00224B29"/>
    <w:rsid w:val="00224DE6"/>
    <w:rsid w:val="002250C4"/>
    <w:rsid w:val="00226666"/>
    <w:rsid w:val="0022667A"/>
    <w:rsid w:val="0022675E"/>
    <w:rsid w:val="00226779"/>
    <w:rsid w:val="00226A9A"/>
    <w:rsid w:val="00227537"/>
    <w:rsid w:val="00227D03"/>
    <w:rsid w:val="00227E52"/>
    <w:rsid w:val="00230C42"/>
    <w:rsid w:val="00231C22"/>
    <w:rsid w:val="00231EB0"/>
    <w:rsid w:val="00232804"/>
    <w:rsid w:val="00232EEA"/>
    <w:rsid w:val="002332AD"/>
    <w:rsid w:val="002333A6"/>
    <w:rsid w:val="002333B5"/>
    <w:rsid w:val="0023387F"/>
    <w:rsid w:val="00233F5A"/>
    <w:rsid w:val="00234766"/>
    <w:rsid w:val="00234CB5"/>
    <w:rsid w:val="00235A3A"/>
    <w:rsid w:val="00235F33"/>
    <w:rsid w:val="00236228"/>
    <w:rsid w:val="0023709D"/>
    <w:rsid w:val="002370AD"/>
    <w:rsid w:val="00240D52"/>
    <w:rsid w:val="002421CC"/>
    <w:rsid w:val="0024244F"/>
    <w:rsid w:val="00242AA1"/>
    <w:rsid w:val="00243146"/>
    <w:rsid w:val="00243B0B"/>
    <w:rsid w:val="00243BF4"/>
    <w:rsid w:val="00243DC7"/>
    <w:rsid w:val="0024405C"/>
    <w:rsid w:val="00244135"/>
    <w:rsid w:val="002443DA"/>
    <w:rsid w:val="00244E86"/>
    <w:rsid w:val="002460EB"/>
    <w:rsid w:val="00246423"/>
    <w:rsid w:val="00246E01"/>
    <w:rsid w:val="002473B0"/>
    <w:rsid w:val="002474DD"/>
    <w:rsid w:val="0024769C"/>
    <w:rsid w:val="00247811"/>
    <w:rsid w:val="0025046C"/>
    <w:rsid w:val="0025098C"/>
    <w:rsid w:val="00250BC0"/>
    <w:rsid w:val="00250C2A"/>
    <w:rsid w:val="00250EB5"/>
    <w:rsid w:val="00251C14"/>
    <w:rsid w:val="00252843"/>
    <w:rsid w:val="00252B0D"/>
    <w:rsid w:val="00252D60"/>
    <w:rsid w:val="00253DBE"/>
    <w:rsid w:val="00254403"/>
    <w:rsid w:val="002546D8"/>
    <w:rsid w:val="00254AAB"/>
    <w:rsid w:val="00255086"/>
    <w:rsid w:val="00255D4E"/>
    <w:rsid w:val="00257174"/>
    <w:rsid w:val="00257694"/>
    <w:rsid w:val="00257C0C"/>
    <w:rsid w:val="002609DC"/>
    <w:rsid w:val="00260D95"/>
    <w:rsid w:val="00260ED4"/>
    <w:rsid w:val="00261ADA"/>
    <w:rsid w:val="0026200D"/>
    <w:rsid w:val="00262A26"/>
    <w:rsid w:val="00263A30"/>
    <w:rsid w:val="002642E1"/>
    <w:rsid w:val="002643D0"/>
    <w:rsid w:val="002649AF"/>
    <w:rsid w:val="00265323"/>
    <w:rsid w:val="00265D50"/>
    <w:rsid w:val="002662F7"/>
    <w:rsid w:val="002665D2"/>
    <w:rsid w:val="0026664D"/>
    <w:rsid w:val="00266695"/>
    <w:rsid w:val="00266D7F"/>
    <w:rsid w:val="00266F70"/>
    <w:rsid w:val="002675E9"/>
    <w:rsid w:val="0026777C"/>
    <w:rsid w:val="00267C5F"/>
    <w:rsid w:val="00267CC4"/>
    <w:rsid w:val="00267E1D"/>
    <w:rsid w:val="00270110"/>
    <w:rsid w:val="0027043A"/>
    <w:rsid w:val="00271935"/>
    <w:rsid w:val="00271E60"/>
    <w:rsid w:val="002727DB"/>
    <w:rsid w:val="00272BAA"/>
    <w:rsid w:val="00272FAE"/>
    <w:rsid w:val="0027362F"/>
    <w:rsid w:val="00273B43"/>
    <w:rsid w:val="0027404A"/>
    <w:rsid w:val="00274303"/>
    <w:rsid w:val="002746D5"/>
    <w:rsid w:val="002748DB"/>
    <w:rsid w:val="00274D34"/>
    <w:rsid w:val="00276650"/>
    <w:rsid w:val="00277F07"/>
    <w:rsid w:val="002804A5"/>
    <w:rsid w:val="00280A4E"/>
    <w:rsid w:val="00281305"/>
    <w:rsid w:val="002819DF"/>
    <w:rsid w:val="00281AB9"/>
    <w:rsid w:val="00281BBA"/>
    <w:rsid w:val="00282107"/>
    <w:rsid w:val="00282152"/>
    <w:rsid w:val="00282C40"/>
    <w:rsid w:val="00282CE4"/>
    <w:rsid w:val="00282FFC"/>
    <w:rsid w:val="00283294"/>
    <w:rsid w:val="0028394A"/>
    <w:rsid w:val="0028431F"/>
    <w:rsid w:val="002843C8"/>
    <w:rsid w:val="00284631"/>
    <w:rsid w:val="00284AD5"/>
    <w:rsid w:val="00284D2A"/>
    <w:rsid w:val="002854B8"/>
    <w:rsid w:val="0028564B"/>
    <w:rsid w:val="0028568A"/>
    <w:rsid w:val="00285D8E"/>
    <w:rsid w:val="00285FD8"/>
    <w:rsid w:val="00286167"/>
    <w:rsid w:val="0028629A"/>
    <w:rsid w:val="0028634A"/>
    <w:rsid w:val="00286422"/>
    <w:rsid w:val="00286EDF"/>
    <w:rsid w:val="002871B2"/>
    <w:rsid w:val="00287B78"/>
    <w:rsid w:val="002902F7"/>
    <w:rsid w:val="00290C73"/>
    <w:rsid w:val="00291347"/>
    <w:rsid w:val="00291443"/>
    <w:rsid w:val="00292877"/>
    <w:rsid w:val="002928C9"/>
    <w:rsid w:val="00292AEF"/>
    <w:rsid w:val="00293168"/>
    <w:rsid w:val="00294312"/>
    <w:rsid w:val="002956CC"/>
    <w:rsid w:val="00296137"/>
    <w:rsid w:val="00296957"/>
    <w:rsid w:val="00297163"/>
    <w:rsid w:val="0029716F"/>
    <w:rsid w:val="0029735F"/>
    <w:rsid w:val="00297B85"/>
    <w:rsid w:val="00297C85"/>
    <w:rsid w:val="002A0B7F"/>
    <w:rsid w:val="002A0DCB"/>
    <w:rsid w:val="002A1908"/>
    <w:rsid w:val="002A2729"/>
    <w:rsid w:val="002A3992"/>
    <w:rsid w:val="002A3AFA"/>
    <w:rsid w:val="002A484A"/>
    <w:rsid w:val="002A4A2D"/>
    <w:rsid w:val="002A52E4"/>
    <w:rsid w:val="002A57E1"/>
    <w:rsid w:val="002A6901"/>
    <w:rsid w:val="002A6B76"/>
    <w:rsid w:val="002A72B2"/>
    <w:rsid w:val="002A7A92"/>
    <w:rsid w:val="002B0197"/>
    <w:rsid w:val="002B09D1"/>
    <w:rsid w:val="002B152A"/>
    <w:rsid w:val="002B20DF"/>
    <w:rsid w:val="002B21B7"/>
    <w:rsid w:val="002B235E"/>
    <w:rsid w:val="002B340F"/>
    <w:rsid w:val="002B3681"/>
    <w:rsid w:val="002B3E60"/>
    <w:rsid w:val="002B4595"/>
    <w:rsid w:val="002B45F1"/>
    <w:rsid w:val="002B4B36"/>
    <w:rsid w:val="002B5424"/>
    <w:rsid w:val="002B67D6"/>
    <w:rsid w:val="002B7035"/>
    <w:rsid w:val="002B7C3E"/>
    <w:rsid w:val="002C029F"/>
    <w:rsid w:val="002C129F"/>
    <w:rsid w:val="002C17F6"/>
    <w:rsid w:val="002C2025"/>
    <w:rsid w:val="002C220A"/>
    <w:rsid w:val="002C2E80"/>
    <w:rsid w:val="002C3A3B"/>
    <w:rsid w:val="002C4FA2"/>
    <w:rsid w:val="002C5313"/>
    <w:rsid w:val="002C5FF1"/>
    <w:rsid w:val="002C618A"/>
    <w:rsid w:val="002C6245"/>
    <w:rsid w:val="002C629F"/>
    <w:rsid w:val="002C64B4"/>
    <w:rsid w:val="002C6E4B"/>
    <w:rsid w:val="002C6E7A"/>
    <w:rsid w:val="002C71A3"/>
    <w:rsid w:val="002D0048"/>
    <w:rsid w:val="002D0222"/>
    <w:rsid w:val="002D0A8A"/>
    <w:rsid w:val="002D0C0F"/>
    <w:rsid w:val="002D0E91"/>
    <w:rsid w:val="002D145C"/>
    <w:rsid w:val="002D1701"/>
    <w:rsid w:val="002D2472"/>
    <w:rsid w:val="002D346B"/>
    <w:rsid w:val="002D36A7"/>
    <w:rsid w:val="002D38F8"/>
    <w:rsid w:val="002D4786"/>
    <w:rsid w:val="002D49F5"/>
    <w:rsid w:val="002D5245"/>
    <w:rsid w:val="002D52AA"/>
    <w:rsid w:val="002D5B65"/>
    <w:rsid w:val="002D5C58"/>
    <w:rsid w:val="002D5D17"/>
    <w:rsid w:val="002D6756"/>
    <w:rsid w:val="002D6C71"/>
    <w:rsid w:val="002D721F"/>
    <w:rsid w:val="002D756F"/>
    <w:rsid w:val="002E0F70"/>
    <w:rsid w:val="002E1170"/>
    <w:rsid w:val="002E15BD"/>
    <w:rsid w:val="002E247F"/>
    <w:rsid w:val="002E2D11"/>
    <w:rsid w:val="002E3E63"/>
    <w:rsid w:val="002E3F40"/>
    <w:rsid w:val="002E3FA1"/>
    <w:rsid w:val="002E4030"/>
    <w:rsid w:val="002E403C"/>
    <w:rsid w:val="002E44DA"/>
    <w:rsid w:val="002E4D13"/>
    <w:rsid w:val="002E500D"/>
    <w:rsid w:val="002E5934"/>
    <w:rsid w:val="002E647F"/>
    <w:rsid w:val="002E6C6C"/>
    <w:rsid w:val="002E7265"/>
    <w:rsid w:val="002E72CA"/>
    <w:rsid w:val="002E7502"/>
    <w:rsid w:val="002E7722"/>
    <w:rsid w:val="002F02D3"/>
    <w:rsid w:val="002F042F"/>
    <w:rsid w:val="002F04B6"/>
    <w:rsid w:val="002F1223"/>
    <w:rsid w:val="002F1306"/>
    <w:rsid w:val="002F143A"/>
    <w:rsid w:val="002F1BB0"/>
    <w:rsid w:val="002F1DC5"/>
    <w:rsid w:val="002F1F20"/>
    <w:rsid w:val="002F217E"/>
    <w:rsid w:val="002F3684"/>
    <w:rsid w:val="002F4648"/>
    <w:rsid w:val="002F5056"/>
    <w:rsid w:val="002F511F"/>
    <w:rsid w:val="002F591A"/>
    <w:rsid w:val="002F65EF"/>
    <w:rsid w:val="002F68B7"/>
    <w:rsid w:val="002F6B58"/>
    <w:rsid w:val="002F7D4F"/>
    <w:rsid w:val="00300D63"/>
    <w:rsid w:val="0030133D"/>
    <w:rsid w:val="003017DF"/>
    <w:rsid w:val="00301F40"/>
    <w:rsid w:val="00301FA2"/>
    <w:rsid w:val="003028B3"/>
    <w:rsid w:val="003038D5"/>
    <w:rsid w:val="00303E3A"/>
    <w:rsid w:val="003049E8"/>
    <w:rsid w:val="00304B03"/>
    <w:rsid w:val="00304CA5"/>
    <w:rsid w:val="003055FD"/>
    <w:rsid w:val="00306430"/>
    <w:rsid w:val="003076D4"/>
    <w:rsid w:val="00307949"/>
    <w:rsid w:val="00307B7B"/>
    <w:rsid w:val="00307CD5"/>
    <w:rsid w:val="003100E5"/>
    <w:rsid w:val="003103A6"/>
    <w:rsid w:val="0031050F"/>
    <w:rsid w:val="00310A12"/>
    <w:rsid w:val="00310D7B"/>
    <w:rsid w:val="00311321"/>
    <w:rsid w:val="003115D0"/>
    <w:rsid w:val="003117F3"/>
    <w:rsid w:val="00311A91"/>
    <w:rsid w:val="00311B44"/>
    <w:rsid w:val="003126DA"/>
    <w:rsid w:val="0031337A"/>
    <w:rsid w:val="00313822"/>
    <w:rsid w:val="00313A8A"/>
    <w:rsid w:val="0031447A"/>
    <w:rsid w:val="00314A0E"/>
    <w:rsid w:val="00315723"/>
    <w:rsid w:val="0031689B"/>
    <w:rsid w:val="00316E8D"/>
    <w:rsid w:val="003173AD"/>
    <w:rsid w:val="00317A22"/>
    <w:rsid w:val="00317D55"/>
    <w:rsid w:val="00317E35"/>
    <w:rsid w:val="00321DAF"/>
    <w:rsid w:val="00322300"/>
    <w:rsid w:val="0032270A"/>
    <w:rsid w:val="00322908"/>
    <w:rsid w:val="00323265"/>
    <w:rsid w:val="00323594"/>
    <w:rsid w:val="00324A5E"/>
    <w:rsid w:val="00325194"/>
    <w:rsid w:val="0032533E"/>
    <w:rsid w:val="00325A01"/>
    <w:rsid w:val="0032600F"/>
    <w:rsid w:val="003262AE"/>
    <w:rsid w:val="0032638C"/>
    <w:rsid w:val="00326EC5"/>
    <w:rsid w:val="00327F25"/>
    <w:rsid w:val="00330223"/>
    <w:rsid w:val="00330277"/>
    <w:rsid w:val="0033090C"/>
    <w:rsid w:val="003309AD"/>
    <w:rsid w:val="00330ACE"/>
    <w:rsid w:val="00330AE7"/>
    <w:rsid w:val="00330B95"/>
    <w:rsid w:val="0033188A"/>
    <w:rsid w:val="00331CBF"/>
    <w:rsid w:val="00331D51"/>
    <w:rsid w:val="00331D87"/>
    <w:rsid w:val="00331E0E"/>
    <w:rsid w:val="003342DA"/>
    <w:rsid w:val="00334A15"/>
    <w:rsid w:val="003351B6"/>
    <w:rsid w:val="003357D2"/>
    <w:rsid w:val="00335AE6"/>
    <w:rsid w:val="00336322"/>
    <w:rsid w:val="0033705A"/>
    <w:rsid w:val="00337210"/>
    <w:rsid w:val="0033790D"/>
    <w:rsid w:val="00337A5D"/>
    <w:rsid w:val="00337C91"/>
    <w:rsid w:val="00337D47"/>
    <w:rsid w:val="003404C2"/>
    <w:rsid w:val="003412CF"/>
    <w:rsid w:val="00341FFB"/>
    <w:rsid w:val="00342337"/>
    <w:rsid w:val="00343B1B"/>
    <w:rsid w:val="00345671"/>
    <w:rsid w:val="00345BA0"/>
    <w:rsid w:val="00345DC7"/>
    <w:rsid w:val="00345F29"/>
    <w:rsid w:val="0034668A"/>
    <w:rsid w:val="00346753"/>
    <w:rsid w:val="00346C61"/>
    <w:rsid w:val="00346D7C"/>
    <w:rsid w:val="00351391"/>
    <w:rsid w:val="00351716"/>
    <w:rsid w:val="00351F32"/>
    <w:rsid w:val="0035211B"/>
    <w:rsid w:val="00352177"/>
    <w:rsid w:val="00352C81"/>
    <w:rsid w:val="00352F25"/>
    <w:rsid w:val="00353588"/>
    <w:rsid w:val="00353B83"/>
    <w:rsid w:val="00353CF0"/>
    <w:rsid w:val="00353E62"/>
    <w:rsid w:val="0035465D"/>
    <w:rsid w:val="0035491F"/>
    <w:rsid w:val="00354CF9"/>
    <w:rsid w:val="00355DBF"/>
    <w:rsid w:val="00355FD2"/>
    <w:rsid w:val="0035681B"/>
    <w:rsid w:val="00357936"/>
    <w:rsid w:val="00360293"/>
    <w:rsid w:val="00360610"/>
    <w:rsid w:val="003611CA"/>
    <w:rsid w:val="003613B6"/>
    <w:rsid w:val="00361511"/>
    <w:rsid w:val="00361BBE"/>
    <w:rsid w:val="003628FA"/>
    <w:rsid w:val="00362AF2"/>
    <w:rsid w:val="00362C68"/>
    <w:rsid w:val="00362EBC"/>
    <w:rsid w:val="00363524"/>
    <w:rsid w:val="00363A3C"/>
    <w:rsid w:val="00364400"/>
    <w:rsid w:val="003652EE"/>
    <w:rsid w:val="003657AD"/>
    <w:rsid w:val="00366C93"/>
    <w:rsid w:val="00366DBB"/>
    <w:rsid w:val="00366EB8"/>
    <w:rsid w:val="00366FD6"/>
    <w:rsid w:val="003671F6"/>
    <w:rsid w:val="00367CFE"/>
    <w:rsid w:val="00367DF2"/>
    <w:rsid w:val="00370A35"/>
    <w:rsid w:val="003711DE"/>
    <w:rsid w:val="0037186A"/>
    <w:rsid w:val="00371D64"/>
    <w:rsid w:val="00372A66"/>
    <w:rsid w:val="003732C2"/>
    <w:rsid w:val="0037334E"/>
    <w:rsid w:val="003738CF"/>
    <w:rsid w:val="0037505E"/>
    <w:rsid w:val="00375A84"/>
    <w:rsid w:val="00375B67"/>
    <w:rsid w:val="00376B84"/>
    <w:rsid w:val="0037756B"/>
    <w:rsid w:val="00377C6C"/>
    <w:rsid w:val="003801F0"/>
    <w:rsid w:val="00380221"/>
    <w:rsid w:val="00380B1F"/>
    <w:rsid w:val="0038141B"/>
    <w:rsid w:val="00382E08"/>
    <w:rsid w:val="00383048"/>
    <w:rsid w:val="00383211"/>
    <w:rsid w:val="003848D1"/>
    <w:rsid w:val="00384FCA"/>
    <w:rsid w:val="003854F0"/>
    <w:rsid w:val="003855EA"/>
    <w:rsid w:val="0038567A"/>
    <w:rsid w:val="00385B1B"/>
    <w:rsid w:val="00386725"/>
    <w:rsid w:val="00386DEE"/>
    <w:rsid w:val="00387230"/>
    <w:rsid w:val="003875DA"/>
    <w:rsid w:val="00387879"/>
    <w:rsid w:val="00390359"/>
    <w:rsid w:val="00390CD3"/>
    <w:rsid w:val="00391171"/>
    <w:rsid w:val="00391533"/>
    <w:rsid w:val="00391724"/>
    <w:rsid w:val="00391E3D"/>
    <w:rsid w:val="003925AD"/>
    <w:rsid w:val="0039273D"/>
    <w:rsid w:val="00392F98"/>
    <w:rsid w:val="00393BFC"/>
    <w:rsid w:val="00394659"/>
    <w:rsid w:val="00394917"/>
    <w:rsid w:val="003954AD"/>
    <w:rsid w:val="00395B1F"/>
    <w:rsid w:val="00395BBD"/>
    <w:rsid w:val="0039662B"/>
    <w:rsid w:val="00396DAD"/>
    <w:rsid w:val="0039715D"/>
    <w:rsid w:val="0039764D"/>
    <w:rsid w:val="00397C4F"/>
    <w:rsid w:val="003A0454"/>
    <w:rsid w:val="003A05D2"/>
    <w:rsid w:val="003A08F9"/>
    <w:rsid w:val="003A0A19"/>
    <w:rsid w:val="003A15E3"/>
    <w:rsid w:val="003A1852"/>
    <w:rsid w:val="003A1F43"/>
    <w:rsid w:val="003A2378"/>
    <w:rsid w:val="003A36FC"/>
    <w:rsid w:val="003A41E7"/>
    <w:rsid w:val="003A4313"/>
    <w:rsid w:val="003A4324"/>
    <w:rsid w:val="003A478D"/>
    <w:rsid w:val="003A56BC"/>
    <w:rsid w:val="003A5724"/>
    <w:rsid w:val="003A5848"/>
    <w:rsid w:val="003A77CE"/>
    <w:rsid w:val="003A78B6"/>
    <w:rsid w:val="003A7965"/>
    <w:rsid w:val="003B0552"/>
    <w:rsid w:val="003B08E0"/>
    <w:rsid w:val="003B0967"/>
    <w:rsid w:val="003B0DF4"/>
    <w:rsid w:val="003B0E15"/>
    <w:rsid w:val="003B0F41"/>
    <w:rsid w:val="003B0FBD"/>
    <w:rsid w:val="003B1651"/>
    <w:rsid w:val="003B31C5"/>
    <w:rsid w:val="003B3285"/>
    <w:rsid w:val="003B482C"/>
    <w:rsid w:val="003B640C"/>
    <w:rsid w:val="003B64C7"/>
    <w:rsid w:val="003B65BA"/>
    <w:rsid w:val="003B6652"/>
    <w:rsid w:val="003B668B"/>
    <w:rsid w:val="003B6778"/>
    <w:rsid w:val="003B7847"/>
    <w:rsid w:val="003B7EEB"/>
    <w:rsid w:val="003B7EEC"/>
    <w:rsid w:val="003C0652"/>
    <w:rsid w:val="003C0931"/>
    <w:rsid w:val="003C1682"/>
    <w:rsid w:val="003C1E74"/>
    <w:rsid w:val="003C21D3"/>
    <w:rsid w:val="003C21D9"/>
    <w:rsid w:val="003C2A06"/>
    <w:rsid w:val="003C2C06"/>
    <w:rsid w:val="003C351F"/>
    <w:rsid w:val="003C4164"/>
    <w:rsid w:val="003C4FD8"/>
    <w:rsid w:val="003C558E"/>
    <w:rsid w:val="003C58D8"/>
    <w:rsid w:val="003C5DF3"/>
    <w:rsid w:val="003C67DB"/>
    <w:rsid w:val="003C687B"/>
    <w:rsid w:val="003C7442"/>
    <w:rsid w:val="003C7662"/>
    <w:rsid w:val="003C787D"/>
    <w:rsid w:val="003C78B9"/>
    <w:rsid w:val="003D1019"/>
    <w:rsid w:val="003D20DA"/>
    <w:rsid w:val="003D2686"/>
    <w:rsid w:val="003D2DF5"/>
    <w:rsid w:val="003D2FFC"/>
    <w:rsid w:val="003D32E7"/>
    <w:rsid w:val="003D3352"/>
    <w:rsid w:val="003D3800"/>
    <w:rsid w:val="003D3AB9"/>
    <w:rsid w:val="003D3D0E"/>
    <w:rsid w:val="003D3FDA"/>
    <w:rsid w:val="003D4416"/>
    <w:rsid w:val="003D460A"/>
    <w:rsid w:val="003D4920"/>
    <w:rsid w:val="003D4D59"/>
    <w:rsid w:val="003D6944"/>
    <w:rsid w:val="003D6FCC"/>
    <w:rsid w:val="003E0EE8"/>
    <w:rsid w:val="003E1836"/>
    <w:rsid w:val="003E2706"/>
    <w:rsid w:val="003E2A99"/>
    <w:rsid w:val="003E2FA8"/>
    <w:rsid w:val="003E2FB9"/>
    <w:rsid w:val="003E3738"/>
    <w:rsid w:val="003E4314"/>
    <w:rsid w:val="003E4ABD"/>
    <w:rsid w:val="003E4D45"/>
    <w:rsid w:val="003E4EFE"/>
    <w:rsid w:val="003E4F7F"/>
    <w:rsid w:val="003E5701"/>
    <w:rsid w:val="003E6350"/>
    <w:rsid w:val="003E66A2"/>
    <w:rsid w:val="003E688E"/>
    <w:rsid w:val="003E70E3"/>
    <w:rsid w:val="003E73D9"/>
    <w:rsid w:val="003E7F61"/>
    <w:rsid w:val="003F08E1"/>
    <w:rsid w:val="003F0BE3"/>
    <w:rsid w:val="003F166B"/>
    <w:rsid w:val="003F1715"/>
    <w:rsid w:val="003F1A1A"/>
    <w:rsid w:val="003F1B53"/>
    <w:rsid w:val="003F1F36"/>
    <w:rsid w:val="003F2284"/>
    <w:rsid w:val="003F285A"/>
    <w:rsid w:val="003F2DB0"/>
    <w:rsid w:val="003F2E03"/>
    <w:rsid w:val="003F2FA9"/>
    <w:rsid w:val="003F3292"/>
    <w:rsid w:val="003F3330"/>
    <w:rsid w:val="003F3342"/>
    <w:rsid w:val="003F33B2"/>
    <w:rsid w:val="003F3427"/>
    <w:rsid w:val="003F3F4A"/>
    <w:rsid w:val="003F4436"/>
    <w:rsid w:val="003F541F"/>
    <w:rsid w:val="003F62A4"/>
    <w:rsid w:val="003F6646"/>
    <w:rsid w:val="003F6C57"/>
    <w:rsid w:val="003F6CBF"/>
    <w:rsid w:val="003F6CF7"/>
    <w:rsid w:val="003F7964"/>
    <w:rsid w:val="003F7E8B"/>
    <w:rsid w:val="004005E2"/>
    <w:rsid w:val="00400763"/>
    <w:rsid w:val="0040100D"/>
    <w:rsid w:val="00401217"/>
    <w:rsid w:val="00401321"/>
    <w:rsid w:val="004017CC"/>
    <w:rsid w:val="00402364"/>
    <w:rsid w:val="00402388"/>
    <w:rsid w:val="004029F9"/>
    <w:rsid w:val="00402B0A"/>
    <w:rsid w:val="004032C4"/>
    <w:rsid w:val="0040372B"/>
    <w:rsid w:val="0040390C"/>
    <w:rsid w:val="00403EC3"/>
    <w:rsid w:val="00405047"/>
    <w:rsid w:val="00405E3E"/>
    <w:rsid w:val="004064B5"/>
    <w:rsid w:val="00406576"/>
    <w:rsid w:val="00406C00"/>
    <w:rsid w:val="00407650"/>
    <w:rsid w:val="004103B2"/>
    <w:rsid w:val="00410502"/>
    <w:rsid w:val="00410F39"/>
    <w:rsid w:val="004110F3"/>
    <w:rsid w:val="00411158"/>
    <w:rsid w:val="00412248"/>
    <w:rsid w:val="00412D03"/>
    <w:rsid w:val="0041316A"/>
    <w:rsid w:val="00413766"/>
    <w:rsid w:val="004137A0"/>
    <w:rsid w:val="00413A89"/>
    <w:rsid w:val="00413F25"/>
    <w:rsid w:val="00414335"/>
    <w:rsid w:val="004143A8"/>
    <w:rsid w:val="004143B0"/>
    <w:rsid w:val="00415054"/>
    <w:rsid w:val="004157F2"/>
    <w:rsid w:val="0041600B"/>
    <w:rsid w:val="00417329"/>
    <w:rsid w:val="004178B0"/>
    <w:rsid w:val="00420277"/>
    <w:rsid w:val="00420807"/>
    <w:rsid w:val="00421031"/>
    <w:rsid w:val="0042148B"/>
    <w:rsid w:val="004218A6"/>
    <w:rsid w:val="004221A0"/>
    <w:rsid w:val="0042224D"/>
    <w:rsid w:val="004222FE"/>
    <w:rsid w:val="0042271E"/>
    <w:rsid w:val="00422DEF"/>
    <w:rsid w:val="00422E68"/>
    <w:rsid w:val="00422E98"/>
    <w:rsid w:val="00424575"/>
    <w:rsid w:val="00424C00"/>
    <w:rsid w:val="00424E62"/>
    <w:rsid w:val="00424F01"/>
    <w:rsid w:val="004255B8"/>
    <w:rsid w:val="00425B48"/>
    <w:rsid w:val="0042725C"/>
    <w:rsid w:val="004273E6"/>
    <w:rsid w:val="00430023"/>
    <w:rsid w:val="004300CA"/>
    <w:rsid w:val="00430B70"/>
    <w:rsid w:val="00430E6A"/>
    <w:rsid w:val="00431296"/>
    <w:rsid w:val="00431E70"/>
    <w:rsid w:val="0043216C"/>
    <w:rsid w:val="004331EB"/>
    <w:rsid w:val="0043324D"/>
    <w:rsid w:val="00433329"/>
    <w:rsid w:val="00434758"/>
    <w:rsid w:val="00436358"/>
    <w:rsid w:val="00436835"/>
    <w:rsid w:val="00436F5F"/>
    <w:rsid w:val="00440CA7"/>
    <w:rsid w:val="004427C8"/>
    <w:rsid w:val="00442A96"/>
    <w:rsid w:val="004432F5"/>
    <w:rsid w:val="00443485"/>
    <w:rsid w:val="00443C5F"/>
    <w:rsid w:val="00443CF7"/>
    <w:rsid w:val="004446CE"/>
    <w:rsid w:val="00444781"/>
    <w:rsid w:val="00444B58"/>
    <w:rsid w:val="00444B6B"/>
    <w:rsid w:val="00445059"/>
    <w:rsid w:val="004450F9"/>
    <w:rsid w:val="00445EB0"/>
    <w:rsid w:val="00447B1E"/>
    <w:rsid w:val="00447FEA"/>
    <w:rsid w:val="0045013F"/>
    <w:rsid w:val="00450843"/>
    <w:rsid w:val="00450847"/>
    <w:rsid w:val="00450BEF"/>
    <w:rsid w:val="004514D8"/>
    <w:rsid w:val="00451F93"/>
    <w:rsid w:val="004524E6"/>
    <w:rsid w:val="00453176"/>
    <w:rsid w:val="00453D0B"/>
    <w:rsid w:val="00453F12"/>
    <w:rsid w:val="0045421A"/>
    <w:rsid w:val="0045465C"/>
    <w:rsid w:val="004546FE"/>
    <w:rsid w:val="00454A51"/>
    <w:rsid w:val="00454BC4"/>
    <w:rsid w:val="0045522A"/>
    <w:rsid w:val="0045563C"/>
    <w:rsid w:val="00455883"/>
    <w:rsid w:val="004558F0"/>
    <w:rsid w:val="00455EB3"/>
    <w:rsid w:val="004565F5"/>
    <w:rsid w:val="00456937"/>
    <w:rsid w:val="0045759C"/>
    <w:rsid w:val="00457627"/>
    <w:rsid w:val="00457D7E"/>
    <w:rsid w:val="004607EC"/>
    <w:rsid w:val="0046157A"/>
    <w:rsid w:val="00462B48"/>
    <w:rsid w:val="00462B89"/>
    <w:rsid w:val="00462CB6"/>
    <w:rsid w:val="004633BA"/>
    <w:rsid w:val="004634AE"/>
    <w:rsid w:val="00463735"/>
    <w:rsid w:val="00464375"/>
    <w:rsid w:val="00464EFF"/>
    <w:rsid w:val="0046606E"/>
    <w:rsid w:val="00466851"/>
    <w:rsid w:val="00466863"/>
    <w:rsid w:val="0046686F"/>
    <w:rsid w:val="00466EF1"/>
    <w:rsid w:val="00467598"/>
    <w:rsid w:val="00470927"/>
    <w:rsid w:val="00470DB3"/>
    <w:rsid w:val="00471D95"/>
    <w:rsid w:val="00471E42"/>
    <w:rsid w:val="00472CE8"/>
    <w:rsid w:val="00472CF1"/>
    <w:rsid w:val="00473085"/>
    <w:rsid w:val="004734F7"/>
    <w:rsid w:val="00473BAB"/>
    <w:rsid w:val="0047498D"/>
    <w:rsid w:val="004751D5"/>
    <w:rsid w:val="0047522A"/>
    <w:rsid w:val="0047563A"/>
    <w:rsid w:val="004756FA"/>
    <w:rsid w:val="00475C64"/>
    <w:rsid w:val="00475EF3"/>
    <w:rsid w:val="00475FC7"/>
    <w:rsid w:val="004764C7"/>
    <w:rsid w:val="00476F72"/>
    <w:rsid w:val="00477A89"/>
    <w:rsid w:val="00477BE7"/>
    <w:rsid w:val="004800C6"/>
    <w:rsid w:val="0048080C"/>
    <w:rsid w:val="004809AF"/>
    <w:rsid w:val="00480C53"/>
    <w:rsid w:val="00480F11"/>
    <w:rsid w:val="004811CF"/>
    <w:rsid w:val="004814F2"/>
    <w:rsid w:val="004823A0"/>
    <w:rsid w:val="00482759"/>
    <w:rsid w:val="004832B7"/>
    <w:rsid w:val="00483562"/>
    <w:rsid w:val="00483D43"/>
    <w:rsid w:val="00484B56"/>
    <w:rsid w:val="00484D33"/>
    <w:rsid w:val="00484E9F"/>
    <w:rsid w:val="00485578"/>
    <w:rsid w:val="00485D86"/>
    <w:rsid w:val="00486102"/>
    <w:rsid w:val="004864EC"/>
    <w:rsid w:val="00486E48"/>
    <w:rsid w:val="00487698"/>
    <w:rsid w:val="004878CB"/>
    <w:rsid w:val="00490230"/>
    <w:rsid w:val="0049129B"/>
    <w:rsid w:val="00491C7A"/>
    <w:rsid w:val="00491F43"/>
    <w:rsid w:val="0049461F"/>
    <w:rsid w:val="00494934"/>
    <w:rsid w:val="00495CA8"/>
    <w:rsid w:val="004A0C7C"/>
    <w:rsid w:val="004A0EEF"/>
    <w:rsid w:val="004A0F1F"/>
    <w:rsid w:val="004A12DC"/>
    <w:rsid w:val="004A1488"/>
    <w:rsid w:val="004A1760"/>
    <w:rsid w:val="004A1794"/>
    <w:rsid w:val="004A187A"/>
    <w:rsid w:val="004A18AC"/>
    <w:rsid w:val="004A1A35"/>
    <w:rsid w:val="004A1B83"/>
    <w:rsid w:val="004A219C"/>
    <w:rsid w:val="004A28A9"/>
    <w:rsid w:val="004A28D2"/>
    <w:rsid w:val="004A2D74"/>
    <w:rsid w:val="004A3E80"/>
    <w:rsid w:val="004A3F89"/>
    <w:rsid w:val="004A416D"/>
    <w:rsid w:val="004A4612"/>
    <w:rsid w:val="004A571E"/>
    <w:rsid w:val="004A65DF"/>
    <w:rsid w:val="004A6650"/>
    <w:rsid w:val="004A6A86"/>
    <w:rsid w:val="004A7392"/>
    <w:rsid w:val="004A792A"/>
    <w:rsid w:val="004A7A5A"/>
    <w:rsid w:val="004A7E7C"/>
    <w:rsid w:val="004B05D1"/>
    <w:rsid w:val="004B0CF9"/>
    <w:rsid w:val="004B14FC"/>
    <w:rsid w:val="004B19C6"/>
    <w:rsid w:val="004B247A"/>
    <w:rsid w:val="004B2857"/>
    <w:rsid w:val="004B2FBC"/>
    <w:rsid w:val="004B3815"/>
    <w:rsid w:val="004B3C75"/>
    <w:rsid w:val="004B3DF5"/>
    <w:rsid w:val="004B3E6F"/>
    <w:rsid w:val="004B406A"/>
    <w:rsid w:val="004B53D0"/>
    <w:rsid w:val="004B63E4"/>
    <w:rsid w:val="004C054A"/>
    <w:rsid w:val="004C0597"/>
    <w:rsid w:val="004C22D3"/>
    <w:rsid w:val="004C2EE0"/>
    <w:rsid w:val="004C3278"/>
    <w:rsid w:val="004C34C6"/>
    <w:rsid w:val="004C4DDC"/>
    <w:rsid w:val="004C608B"/>
    <w:rsid w:val="004C663A"/>
    <w:rsid w:val="004C6737"/>
    <w:rsid w:val="004C679A"/>
    <w:rsid w:val="004C6C98"/>
    <w:rsid w:val="004C7C46"/>
    <w:rsid w:val="004D01C6"/>
    <w:rsid w:val="004D0638"/>
    <w:rsid w:val="004D07A3"/>
    <w:rsid w:val="004D1573"/>
    <w:rsid w:val="004D1D36"/>
    <w:rsid w:val="004D23EA"/>
    <w:rsid w:val="004D28BA"/>
    <w:rsid w:val="004D2920"/>
    <w:rsid w:val="004D2ADC"/>
    <w:rsid w:val="004D3EF6"/>
    <w:rsid w:val="004D4005"/>
    <w:rsid w:val="004D4024"/>
    <w:rsid w:val="004D4469"/>
    <w:rsid w:val="004D4AFE"/>
    <w:rsid w:val="004D4C44"/>
    <w:rsid w:val="004D53A1"/>
    <w:rsid w:val="004D5711"/>
    <w:rsid w:val="004D5A01"/>
    <w:rsid w:val="004D64CD"/>
    <w:rsid w:val="004D7AA7"/>
    <w:rsid w:val="004E07A7"/>
    <w:rsid w:val="004E0C10"/>
    <w:rsid w:val="004E2315"/>
    <w:rsid w:val="004E27CE"/>
    <w:rsid w:val="004E2C5B"/>
    <w:rsid w:val="004E331B"/>
    <w:rsid w:val="004E3727"/>
    <w:rsid w:val="004E377B"/>
    <w:rsid w:val="004E3A00"/>
    <w:rsid w:val="004E4412"/>
    <w:rsid w:val="004E504A"/>
    <w:rsid w:val="004E52C4"/>
    <w:rsid w:val="004E54D9"/>
    <w:rsid w:val="004E5873"/>
    <w:rsid w:val="004E5963"/>
    <w:rsid w:val="004E5AF1"/>
    <w:rsid w:val="004E62BB"/>
    <w:rsid w:val="004E6BD0"/>
    <w:rsid w:val="004E6C4E"/>
    <w:rsid w:val="004E74E6"/>
    <w:rsid w:val="004E75DA"/>
    <w:rsid w:val="004E7CDD"/>
    <w:rsid w:val="004F02EA"/>
    <w:rsid w:val="004F15BB"/>
    <w:rsid w:val="004F16F4"/>
    <w:rsid w:val="004F184D"/>
    <w:rsid w:val="004F2831"/>
    <w:rsid w:val="004F2C29"/>
    <w:rsid w:val="004F2CFA"/>
    <w:rsid w:val="004F38F2"/>
    <w:rsid w:val="004F3FD8"/>
    <w:rsid w:val="004F4D52"/>
    <w:rsid w:val="004F4E87"/>
    <w:rsid w:val="004F531F"/>
    <w:rsid w:val="004F572C"/>
    <w:rsid w:val="004F5FB1"/>
    <w:rsid w:val="004F64BE"/>
    <w:rsid w:val="004F654D"/>
    <w:rsid w:val="004F6AE6"/>
    <w:rsid w:val="004F6B05"/>
    <w:rsid w:val="004F6DB2"/>
    <w:rsid w:val="004F7712"/>
    <w:rsid w:val="004F78CC"/>
    <w:rsid w:val="004F7A1F"/>
    <w:rsid w:val="005000D5"/>
    <w:rsid w:val="00500396"/>
    <w:rsid w:val="005005CE"/>
    <w:rsid w:val="00500653"/>
    <w:rsid w:val="00500942"/>
    <w:rsid w:val="0050121D"/>
    <w:rsid w:val="00501946"/>
    <w:rsid w:val="0050207F"/>
    <w:rsid w:val="00502717"/>
    <w:rsid w:val="00502723"/>
    <w:rsid w:val="0050286E"/>
    <w:rsid w:val="00502CD9"/>
    <w:rsid w:val="00502FEE"/>
    <w:rsid w:val="00503780"/>
    <w:rsid w:val="00503B10"/>
    <w:rsid w:val="00505393"/>
    <w:rsid w:val="00505A33"/>
    <w:rsid w:val="00505B8F"/>
    <w:rsid w:val="005060EA"/>
    <w:rsid w:val="0050694E"/>
    <w:rsid w:val="00506A58"/>
    <w:rsid w:val="0050712B"/>
    <w:rsid w:val="0051041F"/>
    <w:rsid w:val="00510B66"/>
    <w:rsid w:val="005122A4"/>
    <w:rsid w:val="00512ABC"/>
    <w:rsid w:val="00512B0E"/>
    <w:rsid w:val="00513392"/>
    <w:rsid w:val="005138F2"/>
    <w:rsid w:val="005139B4"/>
    <w:rsid w:val="005140D5"/>
    <w:rsid w:val="0051457D"/>
    <w:rsid w:val="00514749"/>
    <w:rsid w:val="00515E1A"/>
    <w:rsid w:val="00520633"/>
    <w:rsid w:val="00520ADF"/>
    <w:rsid w:val="00520AEB"/>
    <w:rsid w:val="00521236"/>
    <w:rsid w:val="00521550"/>
    <w:rsid w:val="0052160F"/>
    <w:rsid w:val="00523903"/>
    <w:rsid w:val="0052436A"/>
    <w:rsid w:val="00524894"/>
    <w:rsid w:val="00525271"/>
    <w:rsid w:val="00525B33"/>
    <w:rsid w:val="00525F62"/>
    <w:rsid w:val="0052657D"/>
    <w:rsid w:val="00526661"/>
    <w:rsid w:val="00526705"/>
    <w:rsid w:val="005271CA"/>
    <w:rsid w:val="00530183"/>
    <w:rsid w:val="00530203"/>
    <w:rsid w:val="0053099A"/>
    <w:rsid w:val="00530CE3"/>
    <w:rsid w:val="005327AB"/>
    <w:rsid w:val="005330FA"/>
    <w:rsid w:val="005331C7"/>
    <w:rsid w:val="00533E1B"/>
    <w:rsid w:val="00534669"/>
    <w:rsid w:val="00534F8C"/>
    <w:rsid w:val="00535418"/>
    <w:rsid w:val="00535D91"/>
    <w:rsid w:val="00536C0C"/>
    <w:rsid w:val="00536DAA"/>
    <w:rsid w:val="005371F9"/>
    <w:rsid w:val="00540672"/>
    <w:rsid w:val="00540789"/>
    <w:rsid w:val="00540B5E"/>
    <w:rsid w:val="00540D51"/>
    <w:rsid w:val="00541441"/>
    <w:rsid w:val="0054196E"/>
    <w:rsid w:val="005419F2"/>
    <w:rsid w:val="005422CC"/>
    <w:rsid w:val="005449A8"/>
    <w:rsid w:val="00544C8B"/>
    <w:rsid w:val="00544D64"/>
    <w:rsid w:val="00544E54"/>
    <w:rsid w:val="00545395"/>
    <w:rsid w:val="005458BA"/>
    <w:rsid w:val="00545C6A"/>
    <w:rsid w:val="00546244"/>
    <w:rsid w:val="00546326"/>
    <w:rsid w:val="00546702"/>
    <w:rsid w:val="00547072"/>
    <w:rsid w:val="0054795D"/>
    <w:rsid w:val="00547A04"/>
    <w:rsid w:val="0055025C"/>
    <w:rsid w:val="00550480"/>
    <w:rsid w:val="00550A5C"/>
    <w:rsid w:val="00550B0D"/>
    <w:rsid w:val="005518B5"/>
    <w:rsid w:val="00552686"/>
    <w:rsid w:val="00552702"/>
    <w:rsid w:val="00552878"/>
    <w:rsid w:val="00552EE5"/>
    <w:rsid w:val="005531E8"/>
    <w:rsid w:val="005533D4"/>
    <w:rsid w:val="00553529"/>
    <w:rsid w:val="00554151"/>
    <w:rsid w:val="00554B55"/>
    <w:rsid w:val="00554FAF"/>
    <w:rsid w:val="005551E9"/>
    <w:rsid w:val="005564D6"/>
    <w:rsid w:val="00557792"/>
    <w:rsid w:val="005577D6"/>
    <w:rsid w:val="0056037B"/>
    <w:rsid w:val="00560F51"/>
    <w:rsid w:val="005612F8"/>
    <w:rsid w:val="0056281B"/>
    <w:rsid w:val="00562E01"/>
    <w:rsid w:val="0056334E"/>
    <w:rsid w:val="0056347E"/>
    <w:rsid w:val="0056349A"/>
    <w:rsid w:val="00563C5A"/>
    <w:rsid w:val="00564C40"/>
    <w:rsid w:val="00565115"/>
    <w:rsid w:val="0056577D"/>
    <w:rsid w:val="005658AD"/>
    <w:rsid w:val="0056711A"/>
    <w:rsid w:val="005701BA"/>
    <w:rsid w:val="0057238F"/>
    <w:rsid w:val="00572C52"/>
    <w:rsid w:val="00573191"/>
    <w:rsid w:val="00573501"/>
    <w:rsid w:val="00573CE9"/>
    <w:rsid w:val="00574C69"/>
    <w:rsid w:val="005756DA"/>
    <w:rsid w:val="00575EF9"/>
    <w:rsid w:val="00576212"/>
    <w:rsid w:val="00576C0F"/>
    <w:rsid w:val="005771BC"/>
    <w:rsid w:val="00577D0D"/>
    <w:rsid w:val="0058080D"/>
    <w:rsid w:val="005833D1"/>
    <w:rsid w:val="00583522"/>
    <w:rsid w:val="0058361B"/>
    <w:rsid w:val="00584AA8"/>
    <w:rsid w:val="00585606"/>
    <w:rsid w:val="005859B9"/>
    <w:rsid w:val="00586573"/>
    <w:rsid w:val="00586627"/>
    <w:rsid w:val="00587207"/>
    <w:rsid w:val="005873C4"/>
    <w:rsid w:val="00587F08"/>
    <w:rsid w:val="00587F25"/>
    <w:rsid w:val="00587F94"/>
    <w:rsid w:val="00590BE1"/>
    <w:rsid w:val="00590C95"/>
    <w:rsid w:val="0059120C"/>
    <w:rsid w:val="00591971"/>
    <w:rsid w:val="00592067"/>
    <w:rsid w:val="00592259"/>
    <w:rsid w:val="00592D4F"/>
    <w:rsid w:val="00593218"/>
    <w:rsid w:val="00594238"/>
    <w:rsid w:val="0059438F"/>
    <w:rsid w:val="00594EF0"/>
    <w:rsid w:val="00595F7C"/>
    <w:rsid w:val="00596834"/>
    <w:rsid w:val="00596D32"/>
    <w:rsid w:val="0059711F"/>
    <w:rsid w:val="00597D91"/>
    <w:rsid w:val="00597F15"/>
    <w:rsid w:val="005A0E88"/>
    <w:rsid w:val="005A1115"/>
    <w:rsid w:val="005A1327"/>
    <w:rsid w:val="005A1B1F"/>
    <w:rsid w:val="005A1B6F"/>
    <w:rsid w:val="005A26F1"/>
    <w:rsid w:val="005A288E"/>
    <w:rsid w:val="005A291B"/>
    <w:rsid w:val="005A4EFD"/>
    <w:rsid w:val="005A5A0A"/>
    <w:rsid w:val="005A6319"/>
    <w:rsid w:val="005A631C"/>
    <w:rsid w:val="005A64C8"/>
    <w:rsid w:val="005A65D9"/>
    <w:rsid w:val="005A7433"/>
    <w:rsid w:val="005A79DB"/>
    <w:rsid w:val="005A7A43"/>
    <w:rsid w:val="005A7C1D"/>
    <w:rsid w:val="005B0026"/>
    <w:rsid w:val="005B0B0B"/>
    <w:rsid w:val="005B10EC"/>
    <w:rsid w:val="005B1B6F"/>
    <w:rsid w:val="005B2A5A"/>
    <w:rsid w:val="005B38D9"/>
    <w:rsid w:val="005B3922"/>
    <w:rsid w:val="005B3BF6"/>
    <w:rsid w:val="005B4911"/>
    <w:rsid w:val="005B5209"/>
    <w:rsid w:val="005B599F"/>
    <w:rsid w:val="005B5B45"/>
    <w:rsid w:val="005B6905"/>
    <w:rsid w:val="005B7A37"/>
    <w:rsid w:val="005C00A0"/>
    <w:rsid w:val="005C03CA"/>
    <w:rsid w:val="005C12A2"/>
    <w:rsid w:val="005C163D"/>
    <w:rsid w:val="005C1A09"/>
    <w:rsid w:val="005C1B7F"/>
    <w:rsid w:val="005C2CCB"/>
    <w:rsid w:val="005C2D6A"/>
    <w:rsid w:val="005C3047"/>
    <w:rsid w:val="005C32A2"/>
    <w:rsid w:val="005C3AD3"/>
    <w:rsid w:val="005C46F3"/>
    <w:rsid w:val="005C515C"/>
    <w:rsid w:val="005C5303"/>
    <w:rsid w:val="005C5805"/>
    <w:rsid w:val="005C6522"/>
    <w:rsid w:val="005C6635"/>
    <w:rsid w:val="005C6CCE"/>
    <w:rsid w:val="005C79A4"/>
    <w:rsid w:val="005C79F9"/>
    <w:rsid w:val="005C7F97"/>
    <w:rsid w:val="005D0097"/>
    <w:rsid w:val="005D047F"/>
    <w:rsid w:val="005D07C0"/>
    <w:rsid w:val="005D0C03"/>
    <w:rsid w:val="005D0D6B"/>
    <w:rsid w:val="005D194C"/>
    <w:rsid w:val="005D1979"/>
    <w:rsid w:val="005D29AE"/>
    <w:rsid w:val="005D2AB4"/>
    <w:rsid w:val="005D2B7E"/>
    <w:rsid w:val="005D2D63"/>
    <w:rsid w:val="005D335A"/>
    <w:rsid w:val="005D33FC"/>
    <w:rsid w:val="005D3410"/>
    <w:rsid w:val="005D3EE5"/>
    <w:rsid w:val="005D3F09"/>
    <w:rsid w:val="005D47A0"/>
    <w:rsid w:val="005D4864"/>
    <w:rsid w:val="005D4B24"/>
    <w:rsid w:val="005D4DCE"/>
    <w:rsid w:val="005D54A9"/>
    <w:rsid w:val="005D5ADA"/>
    <w:rsid w:val="005D633D"/>
    <w:rsid w:val="005D634E"/>
    <w:rsid w:val="005D6365"/>
    <w:rsid w:val="005D68D4"/>
    <w:rsid w:val="005D7064"/>
    <w:rsid w:val="005D70C2"/>
    <w:rsid w:val="005D7360"/>
    <w:rsid w:val="005D7BF4"/>
    <w:rsid w:val="005D7CE3"/>
    <w:rsid w:val="005E00FE"/>
    <w:rsid w:val="005E0751"/>
    <w:rsid w:val="005E08FE"/>
    <w:rsid w:val="005E0D61"/>
    <w:rsid w:val="005E1212"/>
    <w:rsid w:val="005E182D"/>
    <w:rsid w:val="005E2793"/>
    <w:rsid w:val="005E290C"/>
    <w:rsid w:val="005E321C"/>
    <w:rsid w:val="005E41AB"/>
    <w:rsid w:val="005E57CC"/>
    <w:rsid w:val="005E6B1F"/>
    <w:rsid w:val="005E6C4E"/>
    <w:rsid w:val="005E6DB4"/>
    <w:rsid w:val="005F05D9"/>
    <w:rsid w:val="005F0FBE"/>
    <w:rsid w:val="005F12A3"/>
    <w:rsid w:val="005F130C"/>
    <w:rsid w:val="005F1931"/>
    <w:rsid w:val="005F226D"/>
    <w:rsid w:val="005F29F6"/>
    <w:rsid w:val="005F2C6B"/>
    <w:rsid w:val="005F3678"/>
    <w:rsid w:val="005F408B"/>
    <w:rsid w:val="005F47C6"/>
    <w:rsid w:val="005F4ED4"/>
    <w:rsid w:val="005F4F88"/>
    <w:rsid w:val="005F5F5A"/>
    <w:rsid w:val="005F6086"/>
    <w:rsid w:val="005F608D"/>
    <w:rsid w:val="005F675A"/>
    <w:rsid w:val="005F776A"/>
    <w:rsid w:val="005F7D4B"/>
    <w:rsid w:val="005F7EC4"/>
    <w:rsid w:val="00600E65"/>
    <w:rsid w:val="00601124"/>
    <w:rsid w:val="00601A3F"/>
    <w:rsid w:val="0060236C"/>
    <w:rsid w:val="006037DA"/>
    <w:rsid w:val="0060420A"/>
    <w:rsid w:val="00604B03"/>
    <w:rsid w:val="00604C55"/>
    <w:rsid w:val="00604E46"/>
    <w:rsid w:val="00604FB3"/>
    <w:rsid w:val="006062C8"/>
    <w:rsid w:val="006065A3"/>
    <w:rsid w:val="00607684"/>
    <w:rsid w:val="006076FB"/>
    <w:rsid w:val="00607F2D"/>
    <w:rsid w:val="006101D5"/>
    <w:rsid w:val="006103D0"/>
    <w:rsid w:val="00610B60"/>
    <w:rsid w:val="00610FEB"/>
    <w:rsid w:val="00611269"/>
    <w:rsid w:val="00611587"/>
    <w:rsid w:val="00611C1A"/>
    <w:rsid w:val="00611DE6"/>
    <w:rsid w:val="00612660"/>
    <w:rsid w:val="00612BB3"/>
    <w:rsid w:val="00613B26"/>
    <w:rsid w:val="00613FEA"/>
    <w:rsid w:val="006145D6"/>
    <w:rsid w:val="0061480B"/>
    <w:rsid w:val="00614C0C"/>
    <w:rsid w:val="006155A4"/>
    <w:rsid w:val="00615C27"/>
    <w:rsid w:val="00616160"/>
    <w:rsid w:val="006167EA"/>
    <w:rsid w:val="00616C2A"/>
    <w:rsid w:val="00616E8A"/>
    <w:rsid w:val="00617778"/>
    <w:rsid w:val="00617797"/>
    <w:rsid w:val="00621745"/>
    <w:rsid w:val="00621BA0"/>
    <w:rsid w:val="00621C34"/>
    <w:rsid w:val="006220EC"/>
    <w:rsid w:val="0062275B"/>
    <w:rsid w:val="006227EB"/>
    <w:rsid w:val="00622855"/>
    <w:rsid w:val="0062311F"/>
    <w:rsid w:val="00623E65"/>
    <w:rsid w:val="00623F8B"/>
    <w:rsid w:val="00625757"/>
    <w:rsid w:val="00625E69"/>
    <w:rsid w:val="00626183"/>
    <w:rsid w:val="006267DE"/>
    <w:rsid w:val="00626C43"/>
    <w:rsid w:val="00626E6E"/>
    <w:rsid w:val="0063012E"/>
    <w:rsid w:val="006304FF"/>
    <w:rsid w:val="00632034"/>
    <w:rsid w:val="00632441"/>
    <w:rsid w:val="0063257C"/>
    <w:rsid w:val="00632660"/>
    <w:rsid w:val="00632F71"/>
    <w:rsid w:val="00633B52"/>
    <w:rsid w:val="00633C05"/>
    <w:rsid w:val="006344AD"/>
    <w:rsid w:val="006352A9"/>
    <w:rsid w:val="006353D1"/>
    <w:rsid w:val="006358CA"/>
    <w:rsid w:val="00635E14"/>
    <w:rsid w:val="00636262"/>
    <w:rsid w:val="0063681C"/>
    <w:rsid w:val="00636DA7"/>
    <w:rsid w:val="00636FBE"/>
    <w:rsid w:val="006372D7"/>
    <w:rsid w:val="00637D08"/>
    <w:rsid w:val="0064011F"/>
    <w:rsid w:val="00640235"/>
    <w:rsid w:val="00640405"/>
    <w:rsid w:val="006407DC"/>
    <w:rsid w:val="0064124E"/>
    <w:rsid w:val="00641372"/>
    <w:rsid w:val="006416E0"/>
    <w:rsid w:val="006417A9"/>
    <w:rsid w:val="00643638"/>
    <w:rsid w:val="00643A43"/>
    <w:rsid w:val="00643DF2"/>
    <w:rsid w:val="006442F3"/>
    <w:rsid w:val="00645546"/>
    <w:rsid w:val="0064554F"/>
    <w:rsid w:val="00646E79"/>
    <w:rsid w:val="006475B2"/>
    <w:rsid w:val="00647A36"/>
    <w:rsid w:val="006508A7"/>
    <w:rsid w:val="00650B8D"/>
    <w:rsid w:val="00651A1E"/>
    <w:rsid w:val="00651F0C"/>
    <w:rsid w:val="006524BA"/>
    <w:rsid w:val="0065260E"/>
    <w:rsid w:val="006527A8"/>
    <w:rsid w:val="00652C42"/>
    <w:rsid w:val="00652C8A"/>
    <w:rsid w:val="00653E3D"/>
    <w:rsid w:val="006545E4"/>
    <w:rsid w:val="006547D1"/>
    <w:rsid w:val="00654F06"/>
    <w:rsid w:val="00655737"/>
    <w:rsid w:val="006557D3"/>
    <w:rsid w:val="00656146"/>
    <w:rsid w:val="006566BA"/>
    <w:rsid w:val="0065670D"/>
    <w:rsid w:val="00656871"/>
    <w:rsid w:val="00656D83"/>
    <w:rsid w:val="00657157"/>
    <w:rsid w:val="00657BA7"/>
    <w:rsid w:val="0066021D"/>
    <w:rsid w:val="00660C33"/>
    <w:rsid w:val="00661093"/>
    <w:rsid w:val="00661150"/>
    <w:rsid w:val="006612BB"/>
    <w:rsid w:val="00661CE2"/>
    <w:rsid w:val="0066459E"/>
    <w:rsid w:val="006647D8"/>
    <w:rsid w:val="00664888"/>
    <w:rsid w:val="006649D4"/>
    <w:rsid w:val="00664CAF"/>
    <w:rsid w:val="00664FF7"/>
    <w:rsid w:val="006650E7"/>
    <w:rsid w:val="0066638A"/>
    <w:rsid w:val="00666F92"/>
    <w:rsid w:val="006704A1"/>
    <w:rsid w:val="00670EE3"/>
    <w:rsid w:val="00671236"/>
    <w:rsid w:val="00671754"/>
    <w:rsid w:val="0067288E"/>
    <w:rsid w:val="00672E07"/>
    <w:rsid w:val="00673B39"/>
    <w:rsid w:val="00674505"/>
    <w:rsid w:val="00674B45"/>
    <w:rsid w:val="00675A01"/>
    <w:rsid w:val="006767DA"/>
    <w:rsid w:val="00676A40"/>
    <w:rsid w:val="006773BD"/>
    <w:rsid w:val="0067794B"/>
    <w:rsid w:val="00677E3B"/>
    <w:rsid w:val="006808FB"/>
    <w:rsid w:val="00682EAA"/>
    <w:rsid w:val="00683294"/>
    <w:rsid w:val="00683574"/>
    <w:rsid w:val="0068463F"/>
    <w:rsid w:val="006847BD"/>
    <w:rsid w:val="00684DCA"/>
    <w:rsid w:val="006852E1"/>
    <w:rsid w:val="006865F5"/>
    <w:rsid w:val="00686AE5"/>
    <w:rsid w:val="00686B33"/>
    <w:rsid w:val="00687116"/>
    <w:rsid w:val="00687297"/>
    <w:rsid w:val="00687A82"/>
    <w:rsid w:val="00687AF8"/>
    <w:rsid w:val="00687B3B"/>
    <w:rsid w:val="00687B4A"/>
    <w:rsid w:val="00690088"/>
    <w:rsid w:val="00690177"/>
    <w:rsid w:val="00691237"/>
    <w:rsid w:val="00692194"/>
    <w:rsid w:val="006934D7"/>
    <w:rsid w:val="00693C90"/>
    <w:rsid w:val="0069549A"/>
    <w:rsid w:val="00695604"/>
    <w:rsid w:val="00695E11"/>
    <w:rsid w:val="00695E14"/>
    <w:rsid w:val="00695F7A"/>
    <w:rsid w:val="00696159"/>
    <w:rsid w:val="006961B8"/>
    <w:rsid w:val="006967A6"/>
    <w:rsid w:val="006A0799"/>
    <w:rsid w:val="006A089D"/>
    <w:rsid w:val="006A127B"/>
    <w:rsid w:val="006A171C"/>
    <w:rsid w:val="006A1884"/>
    <w:rsid w:val="006A1A35"/>
    <w:rsid w:val="006A1D73"/>
    <w:rsid w:val="006A1F52"/>
    <w:rsid w:val="006A3B0F"/>
    <w:rsid w:val="006A4109"/>
    <w:rsid w:val="006A4327"/>
    <w:rsid w:val="006A4A2E"/>
    <w:rsid w:val="006A50A5"/>
    <w:rsid w:val="006A6199"/>
    <w:rsid w:val="006A636F"/>
    <w:rsid w:val="006A63C2"/>
    <w:rsid w:val="006A6434"/>
    <w:rsid w:val="006A6BD3"/>
    <w:rsid w:val="006A7F89"/>
    <w:rsid w:val="006B00A6"/>
    <w:rsid w:val="006B040A"/>
    <w:rsid w:val="006B0484"/>
    <w:rsid w:val="006B06FA"/>
    <w:rsid w:val="006B10C8"/>
    <w:rsid w:val="006B17C8"/>
    <w:rsid w:val="006B24C2"/>
    <w:rsid w:val="006B3AA5"/>
    <w:rsid w:val="006B42C9"/>
    <w:rsid w:val="006B46E5"/>
    <w:rsid w:val="006B4820"/>
    <w:rsid w:val="006B4A94"/>
    <w:rsid w:val="006B4B10"/>
    <w:rsid w:val="006B4CB0"/>
    <w:rsid w:val="006B4D8A"/>
    <w:rsid w:val="006B5365"/>
    <w:rsid w:val="006B6C8E"/>
    <w:rsid w:val="006B7318"/>
    <w:rsid w:val="006B76FE"/>
    <w:rsid w:val="006B7936"/>
    <w:rsid w:val="006B79E9"/>
    <w:rsid w:val="006C026A"/>
    <w:rsid w:val="006C040B"/>
    <w:rsid w:val="006C068C"/>
    <w:rsid w:val="006C19B9"/>
    <w:rsid w:val="006C1BB2"/>
    <w:rsid w:val="006C23F7"/>
    <w:rsid w:val="006C2542"/>
    <w:rsid w:val="006C2D89"/>
    <w:rsid w:val="006C41CE"/>
    <w:rsid w:val="006C4CF2"/>
    <w:rsid w:val="006C52EB"/>
    <w:rsid w:val="006C558A"/>
    <w:rsid w:val="006C5C5B"/>
    <w:rsid w:val="006C5D4F"/>
    <w:rsid w:val="006C5EFD"/>
    <w:rsid w:val="006C605F"/>
    <w:rsid w:val="006C631E"/>
    <w:rsid w:val="006C6449"/>
    <w:rsid w:val="006C6578"/>
    <w:rsid w:val="006C6B7B"/>
    <w:rsid w:val="006C7184"/>
    <w:rsid w:val="006C7D19"/>
    <w:rsid w:val="006D0DF8"/>
    <w:rsid w:val="006D0EDF"/>
    <w:rsid w:val="006D107C"/>
    <w:rsid w:val="006D10B7"/>
    <w:rsid w:val="006D112C"/>
    <w:rsid w:val="006D11D2"/>
    <w:rsid w:val="006D1B64"/>
    <w:rsid w:val="006D25B6"/>
    <w:rsid w:val="006D3453"/>
    <w:rsid w:val="006D3B93"/>
    <w:rsid w:val="006D3C87"/>
    <w:rsid w:val="006D4DAC"/>
    <w:rsid w:val="006D7026"/>
    <w:rsid w:val="006D766B"/>
    <w:rsid w:val="006D7686"/>
    <w:rsid w:val="006D7D26"/>
    <w:rsid w:val="006E0317"/>
    <w:rsid w:val="006E19C8"/>
    <w:rsid w:val="006E1B60"/>
    <w:rsid w:val="006E2335"/>
    <w:rsid w:val="006E2484"/>
    <w:rsid w:val="006E2C26"/>
    <w:rsid w:val="006E2CEF"/>
    <w:rsid w:val="006E365E"/>
    <w:rsid w:val="006E3840"/>
    <w:rsid w:val="006E387D"/>
    <w:rsid w:val="006E3954"/>
    <w:rsid w:val="006E4DD1"/>
    <w:rsid w:val="006E4F45"/>
    <w:rsid w:val="006E5089"/>
    <w:rsid w:val="006E588A"/>
    <w:rsid w:val="006E58C2"/>
    <w:rsid w:val="006E6B04"/>
    <w:rsid w:val="006E7091"/>
    <w:rsid w:val="006E7856"/>
    <w:rsid w:val="006F0A15"/>
    <w:rsid w:val="006F0F37"/>
    <w:rsid w:val="006F13ED"/>
    <w:rsid w:val="006F1B14"/>
    <w:rsid w:val="006F23FF"/>
    <w:rsid w:val="006F27D0"/>
    <w:rsid w:val="006F283B"/>
    <w:rsid w:val="006F2ED3"/>
    <w:rsid w:val="006F36E3"/>
    <w:rsid w:val="006F3A99"/>
    <w:rsid w:val="006F3C33"/>
    <w:rsid w:val="006F45CB"/>
    <w:rsid w:val="006F48CF"/>
    <w:rsid w:val="006F49E4"/>
    <w:rsid w:val="006F4B87"/>
    <w:rsid w:val="006F4C2F"/>
    <w:rsid w:val="006F4CBB"/>
    <w:rsid w:val="006F5405"/>
    <w:rsid w:val="006F5B3A"/>
    <w:rsid w:val="006F6578"/>
    <w:rsid w:val="007002B9"/>
    <w:rsid w:val="0070057C"/>
    <w:rsid w:val="007007F0"/>
    <w:rsid w:val="00700923"/>
    <w:rsid w:val="00700CBE"/>
    <w:rsid w:val="0070176A"/>
    <w:rsid w:val="00702CF3"/>
    <w:rsid w:val="007035EA"/>
    <w:rsid w:val="00704338"/>
    <w:rsid w:val="007047DD"/>
    <w:rsid w:val="00705B15"/>
    <w:rsid w:val="00705E92"/>
    <w:rsid w:val="00705F3A"/>
    <w:rsid w:val="007073F3"/>
    <w:rsid w:val="0070751A"/>
    <w:rsid w:val="00707CDA"/>
    <w:rsid w:val="00710434"/>
    <w:rsid w:val="00710B94"/>
    <w:rsid w:val="00710D56"/>
    <w:rsid w:val="00712187"/>
    <w:rsid w:val="00712B8B"/>
    <w:rsid w:val="0071333E"/>
    <w:rsid w:val="0071361C"/>
    <w:rsid w:val="00713D97"/>
    <w:rsid w:val="0071535A"/>
    <w:rsid w:val="007153D3"/>
    <w:rsid w:val="00716232"/>
    <w:rsid w:val="0071641B"/>
    <w:rsid w:val="0071652A"/>
    <w:rsid w:val="00717506"/>
    <w:rsid w:val="00717C5D"/>
    <w:rsid w:val="00720CF0"/>
    <w:rsid w:val="00721611"/>
    <w:rsid w:val="007216DC"/>
    <w:rsid w:val="00722B6E"/>
    <w:rsid w:val="00722BA6"/>
    <w:rsid w:val="00723752"/>
    <w:rsid w:val="007238CA"/>
    <w:rsid w:val="00723945"/>
    <w:rsid w:val="00723A7D"/>
    <w:rsid w:val="0072408C"/>
    <w:rsid w:val="00724443"/>
    <w:rsid w:val="007250CF"/>
    <w:rsid w:val="007257D1"/>
    <w:rsid w:val="007262B7"/>
    <w:rsid w:val="007263FD"/>
    <w:rsid w:val="00726EED"/>
    <w:rsid w:val="00727777"/>
    <w:rsid w:val="0073010F"/>
    <w:rsid w:val="00730DD0"/>
    <w:rsid w:val="00730F9C"/>
    <w:rsid w:val="00731321"/>
    <w:rsid w:val="007315AD"/>
    <w:rsid w:val="00733AD8"/>
    <w:rsid w:val="00733D37"/>
    <w:rsid w:val="00734657"/>
    <w:rsid w:val="007347F7"/>
    <w:rsid w:val="00734EFD"/>
    <w:rsid w:val="007350F6"/>
    <w:rsid w:val="00735216"/>
    <w:rsid w:val="00735BB2"/>
    <w:rsid w:val="00736508"/>
    <w:rsid w:val="00737314"/>
    <w:rsid w:val="007404B9"/>
    <w:rsid w:val="00740B41"/>
    <w:rsid w:val="00740BDB"/>
    <w:rsid w:val="007417AD"/>
    <w:rsid w:val="00741B3B"/>
    <w:rsid w:val="00741D3F"/>
    <w:rsid w:val="00742EDC"/>
    <w:rsid w:val="00742F69"/>
    <w:rsid w:val="0074354B"/>
    <w:rsid w:val="00743764"/>
    <w:rsid w:val="0074376E"/>
    <w:rsid w:val="007439AF"/>
    <w:rsid w:val="00744601"/>
    <w:rsid w:val="00744A30"/>
    <w:rsid w:val="00744B11"/>
    <w:rsid w:val="00745F42"/>
    <w:rsid w:val="007465B2"/>
    <w:rsid w:val="007465C8"/>
    <w:rsid w:val="007467EA"/>
    <w:rsid w:val="00746FAC"/>
    <w:rsid w:val="00747036"/>
    <w:rsid w:val="007500CD"/>
    <w:rsid w:val="007501F4"/>
    <w:rsid w:val="00750FBC"/>
    <w:rsid w:val="00751C0E"/>
    <w:rsid w:val="0075217E"/>
    <w:rsid w:val="00752345"/>
    <w:rsid w:val="007523AC"/>
    <w:rsid w:val="0075284C"/>
    <w:rsid w:val="00753AC0"/>
    <w:rsid w:val="00753AC8"/>
    <w:rsid w:val="007548DE"/>
    <w:rsid w:val="00754E5A"/>
    <w:rsid w:val="00754FF9"/>
    <w:rsid w:val="00755A64"/>
    <w:rsid w:val="00755EF1"/>
    <w:rsid w:val="007561A8"/>
    <w:rsid w:val="007566E1"/>
    <w:rsid w:val="007568CB"/>
    <w:rsid w:val="00756FA5"/>
    <w:rsid w:val="00757841"/>
    <w:rsid w:val="00757BAB"/>
    <w:rsid w:val="00757BD1"/>
    <w:rsid w:val="00760401"/>
    <w:rsid w:val="00760B1F"/>
    <w:rsid w:val="00761E31"/>
    <w:rsid w:val="00762410"/>
    <w:rsid w:val="00762655"/>
    <w:rsid w:val="00762E91"/>
    <w:rsid w:val="0076328E"/>
    <w:rsid w:val="007640C1"/>
    <w:rsid w:val="00764520"/>
    <w:rsid w:val="0076498F"/>
    <w:rsid w:val="00764F44"/>
    <w:rsid w:val="0076514D"/>
    <w:rsid w:val="00765308"/>
    <w:rsid w:val="00766C4C"/>
    <w:rsid w:val="007671CD"/>
    <w:rsid w:val="00767A67"/>
    <w:rsid w:val="00770640"/>
    <w:rsid w:val="007707F3"/>
    <w:rsid w:val="007707F4"/>
    <w:rsid w:val="00770891"/>
    <w:rsid w:val="00770CB1"/>
    <w:rsid w:val="00771D37"/>
    <w:rsid w:val="0077342D"/>
    <w:rsid w:val="0077462F"/>
    <w:rsid w:val="00777690"/>
    <w:rsid w:val="00777CDB"/>
    <w:rsid w:val="007806ED"/>
    <w:rsid w:val="0078101D"/>
    <w:rsid w:val="00781489"/>
    <w:rsid w:val="0078154C"/>
    <w:rsid w:val="007816A4"/>
    <w:rsid w:val="00781B38"/>
    <w:rsid w:val="00782918"/>
    <w:rsid w:val="00782F46"/>
    <w:rsid w:val="00783011"/>
    <w:rsid w:val="00783A6E"/>
    <w:rsid w:val="00783C01"/>
    <w:rsid w:val="0078509C"/>
    <w:rsid w:val="007851C1"/>
    <w:rsid w:val="007858F7"/>
    <w:rsid w:val="00785939"/>
    <w:rsid w:val="00785CB4"/>
    <w:rsid w:val="007868BB"/>
    <w:rsid w:val="00787166"/>
    <w:rsid w:val="0078733A"/>
    <w:rsid w:val="00787B35"/>
    <w:rsid w:val="00787CC7"/>
    <w:rsid w:val="007907DA"/>
    <w:rsid w:val="007912C3"/>
    <w:rsid w:val="00791C5B"/>
    <w:rsid w:val="00791F06"/>
    <w:rsid w:val="0079234B"/>
    <w:rsid w:val="00792BD8"/>
    <w:rsid w:val="00793379"/>
    <w:rsid w:val="0079351D"/>
    <w:rsid w:val="007940AB"/>
    <w:rsid w:val="00794423"/>
    <w:rsid w:val="00794BAB"/>
    <w:rsid w:val="007956DE"/>
    <w:rsid w:val="007961AE"/>
    <w:rsid w:val="00796333"/>
    <w:rsid w:val="0079667F"/>
    <w:rsid w:val="00796B38"/>
    <w:rsid w:val="007972AE"/>
    <w:rsid w:val="007A0068"/>
    <w:rsid w:val="007A06E7"/>
    <w:rsid w:val="007A07DF"/>
    <w:rsid w:val="007A0CCF"/>
    <w:rsid w:val="007A0F9A"/>
    <w:rsid w:val="007A1F5D"/>
    <w:rsid w:val="007A2AAA"/>
    <w:rsid w:val="007A3262"/>
    <w:rsid w:val="007A3E8A"/>
    <w:rsid w:val="007A43B6"/>
    <w:rsid w:val="007A4649"/>
    <w:rsid w:val="007A5105"/>
    <w:rsid w:val="007A6A04"/>
    <w:rsid w:val="007A6FEC"/>
    <w:rsid w:val="007B0247"/>
    <w:rsid w:val="007B08F2"/>
    <w:rsid w:val="007B0BC4"/>
    <w:rsid w:val="007B0DD5"/>
    <w:rsid w:val="007B16C1"/>
    <w:rsid w:val="007B1D72"/>
    <w:rsid w:val="007B2B7E"/>
    <w:rsid w:val="007B2CB5"/>
    <w:rsid w:val="007B2EC3"/>
    <w:rsid w:val="007B3157"/>
    <w:rsid w:val="007B32FC"/>
    <w:rsid w:val="007B3C97"/>
    <w:rsid w:val="007B5E70"/>
    <w:rsid w:val="007B5F94"/>
    <w:rsid w:val="007B604E"/>
    <w:rsid w:val="007B7092"/>
    <w:rsid w:val="007B758A"/>
    <w:rsid w:val="007B7DEE"/>
    <w:rsid w:val="007C0EEC"/>
    <w:rsid w:val="007C150F"/>
    <w:rsid w:val="007C2160"/>
    <w:rsid w:val="007C2285"/>
    <w:rsid w:val="007C38D3"/>
    <w:rsid w:val="007C3A7D"/>
    <w:rsid w:val="007C414E"/>
    <w:rsid w:val="007C41FF"/>
    <w:rsid w:val="007C436E"/>
    <w:rsid w:val="007C4889"/>
    <w:rsid w:val="007C4A53"/>
    <w:rsid w:val="007C4A9B"/>
    <w:rsid w:val="007C4C59"/>
    <w:rsid w:val="007C51B6"/>
    <w:rsid w:val="007C57A7"/>
    <w:rsid w:val="007C5A76"/>
    <w:rsid w:val="007C5B9D"/>
    <w:rsid w:val="007C6041"/>
    <w:rsid w:val="007C6D1B"/>
    <w:rsid w:val="007C7B12"/>
    <w:rsid w:val="007C7C44"/>
    <w:rsid w:val="007C7C6F"/>
    <w:rsid w:val="007D07AA"/>
    <w:rsid w:val="007D087E"/>
    <w:rsid w:val="007D0FBD"/>
    <w:rsid w:val="007D14E9"/>
    <w:rsid w:val="007D1540"/>
    <w:rsid w:val="007D199A"/>
    <w:rsid w:val="007D2739"/>
    <w:rsid w:val="007D2D11"/>
    <w:rsid w:val="007D2DF4"/>
    <w:rsid w:val="007D2E5D"/>
    <w:rsid w:val="007D2F09"/>
    <w:rsid w:val="007D3036"/>
    <w:rsid w:val="007D3666"/>
    <w:rsid w:val="007D3B90"/>
    <w:rsid w:val="007D3EDE"/>
    <w:rsid w:val="007D4895"/>
    <w:rsid w:val="007D4C0D"/>
    <w:rsid w:val="007D5076"/>
    <w:rsid w:val="007D544B"/>
    <w:rsid w:val="007D6287"/>
    <w:rsid w:val="007D632D"/>
    <w:rsid w:val="007D66C4"/>
    <w:rsid w:val="007D6D50"/>
    <w:rsid w:val="007D7A7E"/>
    <w:rsid w:val="007D7AA1"/>
    <w:rsid w:val="007D7BE8"/>
    <w:rsid w:val="007D7CA7"/>
    <w:rsid w:val="007E0872"/>
    <w:rsid w:val="007E0AAB"/>
    <w:rsid w:val="007E1306"/>
    <w:rsid w:val="007E230E"/>
    <w:rsid w:val="007E275F"/>
    <w:rsid w:val="007E28C9"/>
    <w:rsid w:val="007E310A"/>
    <w:rsid w:val="007E31BE"/>
    <w:rsid w:val="007E3E24"/>
    <w:rsid w:val="007E4CD6"/>
    <w:rsid w:val="007E4DBA"/>
    <w:rsid w:val="007E5CAF"/>
    <w:rsid w:val="007E6077"/>
    <w:rsid w:val="007E64D2"/>
    <w:rsid w:val="007E71D7"/>
    <w:rsid w:val="007E7F80"/>
    <w:rsid w:val="007E7FBF"/>
    <w:rsid w:val="007F15FE"/>
    <w:rsid w:val="007F19C4"/>
    <w:rsid w:val="007F23C3"/>
    <w:rsid w:val="007F25DC"/>
    <w:rsid w:val="007F2CD0"/>
    <w:rsid w:val="007F2F12"/>
    <w:rsid w:val="007F3293"/>
    <w:rsid w:val="007F3395"/>
    <w:rsid w:val="007F3567"/>
    <w:rsid w:val="007F3AC6"/>
    <w:rsid w:val="007F3E01"/>
    <w:rsid w:val="007F459E"/>
    <w:rsid w:val="007F4C9A"/>
    <w:rsid w:val="007F59F7"/>
    <w:rsid w:val="007F62F1"/>
    <w:rsid w:val="007F6F56"/>
    <w:rsid w:val="0080181D"/>
    <w:rsid w:val="00801FAF"/>
    <w:rsid w:val="00801FEA"/>
    <w:rsid w:val="00802103"/>
    <w:rsid w:val="00802AB8"/>
    <w:rsid w:val="00802C1C"/>
    <w:rsid w:val="00803106"/>
    <w:rsid w:val="00803439"/>
    <w:rsid w:val="00803448"/>
    <w:rsid w:val="00803DCF"/>
    <w:rsid w:val="00803E37"/>
    <w:rsid w:val="008040F0"/>
    <w:rsid w:val="008042BC"/>
    <w:rsid w:val="00804BC1"/>
    <w:rsid w:val="00804C46"/>
    <w:rsid w:val="00805145"/>
    <w:rsid w:val="00805185"/>
    <w:rsid w:val="008055B1"/>
    <w:rsid w:val="00805CB4"/>
    <w:rsid w:val="00806061"/>
    <w:rsid w:val="00806426"/>
    <w:rsid w:val="008072AC"/>
    <w:rsid w:val="00807F53"/>
    <w:rsid w:val="00810334"/>
    <w:rsid w:val="00810737"/>
    <w:rsid w:val="00810EBA"/>
    <w:rsid w:val="0081119F"/>
    <w:rsid w:val="00812E3E"/>
    <w:rsid w:val="0081327D"/>
    <w:rsid w:val="00813462"/>
    <w:rsid w:val="008134C1"/>
    <w:rsid w:val="0081401F"/>
    <w:rsid w:val="00814381"/>
    <w:rsid w:val="0081508F"/>
    <w:rsid w:val="008165BC"/>
    <w:rsid w:val="00816842"/>
    <w:rsid w:val="00817FBA"/>
    <w:rsid w:val="00820223"/>
    <w:rsid w:val="00820256"/>
    <w:rsid w:val="00820F43"/>
    <w:rsid w:val="0082154B"/>
    <w:rsid w:val="008216B4"/>
    <w:rsid w:val="00822500"/>
    <w:rsid w:val="0082327E"/>
    <w:rsid w:val="008236D1"/>
    <w:rsid w:val="00823802"/>
    <w:rsid w:val="00823C89"/>
    <w:rsid w:val="00823C9C"/>
    <w:rsid w:val="00824BE5"/>
    <w:rsid w:val="00825E45"/>
    <w:rsid w:val="0082657F"/>
    <w:rsid w:val="0082663F"/>
    <w:rsid w:val="0082736E"/>
    <w:rsid w:val="008275E8"/>
    <w:rsid w:val="00827FF4"/>
    <w:rsid w:val="00830055"/>
    <w:rsid w:val="00830437"/>
    <w:rsid w:val="008304F3"/>
    <w:rsid w:val="008309B1"/>
    <w:rsid w:val="008315A3"/>
    <w:rsid w:val="00831C3A"/>
    <w:rsid w:val="00832A11"/>
    <w:rsid w:val="0083346A"/>
    <w:rsid w:val="0083380A"/>
    <w:rsid w:val="00833BC2"/>
    <w:rsid w:val="00833E32"/>
    <w:rsid w:val="00833FCF"/>
    <w:rsid w:val="0083413F"/>
    <w:rsid w:val="00834C4B"/>
    <w:rsid w:val="00834DE2"/>
    <w:rsid w:val="00836181"/>
    <w:rsid w:val="00836B2E"/>
    <w:rsid w:val="00836C36"/>
    <w:rsid w:val="00836EEF"/>
    <w:rsid w:val="008406DF"/>
    <w:rsid w:val="008407DF"/>
    <w:rsid w:val="008413FE"/>
    <w:rsid w:val="0084147E"/>
    <w:rsid w:val="00841FC0"/>
    <w:rsid w:val="0084225C"/>
    <w:rsid w:val="00842B09"/>
    <w:rsid w:val="008433C6"/>
    <w:rsid w:val="008436E4"/>
    <w:rsid w:val="00843AA1"/>
    <w:rsid w:val="00843C7D"/>
    <w:rsid w:val="00843EF1"/>
    <w:rsid w:val="00843F67"/>
    <w:rsid w:val="00844DA5"/>
    <w:rsid w:val="00845B06"/>
    <w:rsid w:val="008464C2"/>
    <w:rsid w:val="00846C72"/>
    <w:rsid w:val="00847038"/>
    <w:rsid w:val="008471C6"/>
    <w:rsid w:val="00850630"/>
    <w:rsid w:val="008507E6"/>
    <w:rsid w:val="00850936"/>
    <w:rsid w:val="008509BD"/>
    <w:rsid w:val="00850BEE"/>
    <w:rsid w:val="008515BB"/>
    <w:rsid w:val="00851C97"/>
    <w:rsid w:val="008523AB"/>
    <w:rsid w:val="00852834"/>
    <w:rsid w:val="00852AB0"/>
    <w:rsid w:val="00852B37"/>
    <w:rsid w:val="00854D5A"/>
    <w:rsid w:val="00854EC5"/>
    <w:rsid w:val="00855331"/>
    <w:rsid w:val="0085534E"/>
    <w:rsid w:val="00855643"/>
    <w:rsid w:val="008556AC"/>
    <w:rsid w:val="00855B26"/>
    <w:rsid w:val="008561E8"/>
    <w:rsid w:val="008563AF"/>
    <w:rsid w:val="00856429"/>
    <w:rsid w:val="00856444"/>
    <w:rsid w:val="00856FB6"/>
    <w:rsid w:val="0085705D"/>
    <w:rsid w:val="00857287"/>
    <w:rsid w:val="00860AD0"/>
    <w:rsid w:val="00860CB4"/>
    <w:rsid w:val="00860E84"/>
    <w:rsid w:val="0086194E"/>
    <w:rsid w:val="00861EA1"/>
    <w:rsid w:val="008629BF"/>
    <w:rsid w:val="00862D25"/>
    <w:rsid w:val="0086314F"/>
    <w:rsid w:val="008644D1"/>
    <w:rsid w:val="0086503B"/>
    <w:rsid w:val="008653EC"/>
    <w:rsid w:val="00865B2E"/>
    <w:rsid w:val="0086610E"/>
    <w:rsid w:val="00866C7F"/>
    <w:rsid w:val="00866D03"/>
    <w:rsid w:val="00870472"/>
    <w:rsid w:val="00870550"/>
    <w:rsid w:val="00871242"/>
    <w:rsid w:val="0087179F"/>
    <w:rsid w:val="008721D9"/>
    <w:rsid w:val="00872BEB"/>
    <w:rsid w:val="00873515"/>
    <w:rsid w:val="008737D7"/>
    <w:rsid w:val="00873987"/>
    <w:rsid w:val="008744FE"/>
    <w:rsid w:val="008750EE"/>
    <w:rsid w:val="008758AD"/>
    <w:rsid w:val="008759BD"/>
    <w:rsid w:val="00876088"/>
    <w:rsid w:val="00876213"/>
    <w:rsid w:val="0087634A"/>
    <w:rsid w:val="008764BB"/>
    <w:rsid w:val="0087668F"/>
    <w:rsid w:val="00876FA5"/>
    <w:rsid w:val="0087766A"/>
    <w:rsid w:val="008808D8"/>
    <w:rsid w:val="008811EF"/>
    <w:rsid w:val="008812B9"/>
    <w:rsid w:val="0088135D"/>
    <w:rsid w:val="00881CD0"/>
    <w:rsid w:val="0088281B"/>
    <w:rsid w:val="0088523E"/>
    <w:rsid w:val="008854AD"/>
    <w:rsid w:val="00886414"/>
    <w:rsid w:val="00886A2F"/>
    <w:rsid w:val="00887191"/>
    <w:rsid w:val="008876DF"/>
    <w:rsid w:val="00887A85"/>
    <w:rsid w:val="00887BE5"/>
    <w:rsid w:val="00890467"/>
    <w:rsid w:val="008918D8"/>
    <w:rsid w:val="00891A41"/>
    <w:rsid w:val="00891FEC"/>
    <w:rsid w:val="00892099"/>
    <w:rsid w:val="0089249C"/>
    <w:rsid w:val="00892797"/>
    <w:rsid w:val="0089279E"/>
    <w:rsid w:val="0089285C"/>
    <w:rsid w:val="00892B16"/>
    <w:rsid w:val="00892E23"/>
    <w:rsid w:val="00892E76"/>
    <w:rsid w:val="008931E6"/>
    <w:rsid w:val="0089453D"/>
    <w:rsid w:val="00895B5B"/>
    <w:rsid w:val="00895D6B"/>
    <w:rsid w:val="008968C9"/>
    <w:rsid w:val="00896D1D"/>
    <w:rsid w:val="00897146"/>
    <w:rsid w:val="0089727E"/>
    <w:rsid w:val="008977C6"/>
    <w:rsid w:val="008979BF"/>
    <w:rsid w:val="008A210E"/>
    <w:rsid w:val="008A246C"/>
    <w:rsid w:val="008A24FC"/>
    <w:rsid w:val="008A2ED2"/>
    <w:rsid w:val="008A3220"/>
    <w:rsid w:val="008A332B"/>
    <w:rsid w:val="008A370B"/>
    <w:rsid w:val="008A40E4"/>
    <w:rsid w:val="008A4AD9"/>
    <w:rsid w:val="008A50D0"/>
    <w:rsid w:val="008A5BA9"/>
    <w:rsid w:val="008A5D44"/>
    <w:rsid w:val="008B0705"/>
    <w:rsid w:val="008B0E23"/>
    <w:rsid w:val="008B1312"/>
    <w:rsid w:val="008B1367"/>
    <w:rsid w:val="008B145D"/>
    <w:rsid w:val="008B1964"/>
    <w:rsid w:val="008B1DA5"/>
    <w:rsid w:val="008B2080"/>
    <w:rsid w:val="008B20E5"/>
    <w:rsid w:val="008B2725"/>
    <w:rsid w:val="008B2C5A"/>
    <w:rsid w:val="008B3625"/>
    <w:rsid w:val="008B37A1"/>
    <w:rsid w:val="008B3BE5"/>
    <w:rsid w:val="008B4701"/>
    <w:rsid w:val="008B4A66"/>
    <w:rsid w:val="008B4E05"/>
    <w:rsid w:val="008B4F84"/>
    <w:rsid w:val="008B53D0"/>
    <w:rsid w:val="008B70B5"/>
    <w:rsid w:val="008B7B74"/>
    <w:rsid w:val="008C1DAE"/>
    <w:rsid w:val="008C22F6"/>
    <w:rsid w:val="008C24A2"/>
    <w:rsid w:val="008C2762"/>
    <w:rsid w:val="008C2872"/>
    <w:rsid w:val="008C2BB2"/>
    <w:rsid w:val="008C2BC0"/>
    <w:rsid w:val="008C374C"/>
    <w:rsid w:val="008C403D"/>
    <w:rsid w:val="008C45E2"/>
    <w:rsid w:val="008C4CFE"/>
    <w:rsid w:val="008C6086"/>
    <w:rsid w:val="008C60A8"/>
    <w:rsid w:val="008C62A8"/>
    <w:rsid w:val="008C799C"/>
    <w:rsid w:val="008C7DE3"/>
    <w:rsid w:val="008D089E"/>
    <w:rsid w:val="008D0921"/>
    <w:rsid w:val="008D105A"/>
    <w:rsid w:val="008D208C"/>
    <w:rsid w:val="008D49F9"/>
    <w:rsid w:val="008D4E4D"/>
    <w:rsid w:val="008D4FA2"/>
    <w:rsid w:val="008D5CFD"/>
    <w:rsid w:val="008D5DF6"/>
    <w:rsid w:val="008D5E73"/>
    <w:rsid w:val="008D601F"/>
    <w:rsid w:val="008D6382"/>
    <w:rsid w:val="008D6A86"/>
    <w:rsid w:val="008D6FA1"/>
    <w:rsid w:val="008D7A5B"/>
    <w:rsid w:val="008E0055"/>
    <w:rsid w:val="008E0684"/>
    <w:rsid w:val="008E0DFF"/>
    <w:rsid w:val="008E1219"/>
    <w:rsid w:val="008E1345"/>
    <w:rsid w:val="008E13E6"/>
    <w:rsid w:val="008E177A"/>
    <w:rsid w:val="008E186F"/>
    <w:rsid w:val="008E21F8"/>
    <w:rsid w:val="008E2BC2"/>
    <w:rsid w:val="008E2C71"/>
    <w:rsid w:val="008E3093"/>
    <w:rsid w:val="008E330E"/>
    <w:rsid w:val="008E34CC"/>
    <w:rsid w:val="008E3BA6"/>
    <w:rsid w:val="008E3CB0"/>
    <w:rsid w:val="008E473C"/>
    <w:rsid w:val="008E4762"/>
    <w:rsid w:val="008E4FE7"/>
    <w:rsid w:val="008E50CB"/>
    <w:rsid w:val="008E51A3"/>
    <w:rsid w:val="008E55B8"/>
    <w:rsid w:val="008E5B79"/>
    <w:rsid w:val="008E5C3F"/>
    <w:rsid w:val="008E6CD2"/>
    <w:rsid w:val="008E763A"/>
    <w:rsid w:val="008E791F"/>
    <w:rsid w:val="008F0229"/>
    <w:rsid w:val="008F0A6C"/>
    <w:rsid w:val="008F0B51"/>
    <w:rsid w:val="008F0DC0"/>
    <w:rsid w:val="008F334D"/>
    <w:rsid w:val="008F3FC7"/>
    <w:rsid w:val="008F41AB"/>
    <w:rsid w:val="008F463F"/>
    <w:rsid w:val="008F4B8D"/>
    <w:rsid w:val="008F53C2"/>
    <w:rsid w:val="008F5D12"/>
    <w:rsid w:val="008F5D93"/>
    <w:rsid w:val="008F70EC"/>
    <w:rsid w:val="00900073"/>
    <w:rsid w:val="00900351"/>
    <w:rsid w:val="00900944"/>
    <w:rsid w:val="009012A8"/>
    <w:rsid w:val="00901C25"/>
    <w:rsid w:val="00901CB8"/>
    <w:rsid w:val="00901E40"/>
    <w:rsid w:val="00902525"/>
    <w:rsid w:val="00902E0A"/>
    <w:rsid w:val="009033AA"/>
    <w:rsid w:val="0090350F"/>
    <w:rsid w:val="00903FBE"/>
    <w:rsid w:val="00904EC0"/>
    <w:rsid w:val="00905461"/>
    <w:rsid w:val="0090564A"/>
    <w:rsid w:val="00905D07"/>
    <w:rsid w:val="00906026"/>
    <w:rsid w:val="009066EF"/>
    <w:rsid w:val="00907B36"/>
    <w:rsid w:val="00907D16"/>
    <w:rsid w:val="00907E25"/>
    <w:rsid w:val="00910521"/>
    <w:rsid w:val="00910A4F"/>
    <w:rsid w:val="009117B8"/>
    <w:rsid w:val="00913411"/>
    <w:rsid w:val="00913BA7"/>
    <w:rsid w:val="009140FA"/>
    <w:rsid w:val="0091435D"/>
    <w:rsid w:val="00914BA2"/>
    <w:rsid w:val="00914EB0"/>
    <w:rsid w:val="009160ED"/>
    <w:rsid w:val="009161D0"/>
    <w:rsid w:val="00916DFD"/>
    <w:rsid w:val="00920031"/>
    <w:rsid w:val="00920393"/>
    <w:rsid w:val="00920FB6"/>
    <w:rsid w:val="009224A7"/>
    <w:rsid w:val="00922A32"/>
    <w:rsid w:val="00922E1C"/>
    <w:rsid w:val="00923515"/>
    <w:rsid w:val="00924065"/>
    <w:rsid w:val="00924780"/>
    <w:rsid w:val="009249E4"/>
    <w:rsid w:val="0092509F"/>
    <w:rsid w:val="00925597"/>
    <w:rsid w:val="00925AF8"/>
    <w:rsid w:val="00925EFB"/>
    <w:rsid w:val="0092652C"/>
    <w:rsid w:val="00926A3D"/>
    <w:rsid w:val="00926FB8"/>
    <w:rsid w:val="009307D9"/>
    <w:rsid w:val="0093120E"/>
    <w:rsid w:val="00931B1A"/>
    <w:rsid w:val="00932038"/>
    <w:rsid w:val="00932D4B"/>
    <w:rsid w:val="009333F8"/>
    <w:rsid w:val="00933CEF"/>
    <w:rsid w:val="00934A15"/>
    <w:rsid w:val="009360D6"/>
    <w:rsid w:val="00936C1F"/>
    <w:rsid w:val="00936D74"/>
    <w:rsid w:val="009400EB"/>
    <w:rsid w:val="009406B8"/>
    <w:rsid w:val="009407D1"/>
    <w:rsid w:val="009408ED"/>
    <w:rsid w:val="0094193B"/>
    <w:rsid w:val="00941E59"/>
    <w:rsid w:val="0094215B"/>
    <w:rsid w:val="00942217"/>
    <w:rsid w:val="0094233A"/>
    <w:rsid w:val="0094260B"/>
    <w:rsid w:val="00942AA5"/>
    <w:rsid w:val="00942F3E"/>
    <w:rsid w:val="0094420B"/>
    <w:rsid w:val="00944862"/>
    <w:rsid w:val="0094499F"/>
    <w:rsid w:val="00944D5F"/>
    <w:rsid w:val="00944FA6"/>
    <w:rsid w:val="009451B6"/>
    <w:rsid w:val="00945224"/>
    <w:rsid w:val="00945360"/>
    <w:rsid w:val="00945D10"/>
    <w:rsid w:val="009465BF"/>
    <w:rsid w:val="009465D9"/>
    <w:rsid w:val="00946768"/>
    <w:rsid w:val="00946F9A"/>
    <w:rsid w:val="00947C28"/>
    <w:rsid w:val="00947C77"/>
    <w:rsid w:val="00950073"/>
    <w:rsid w:val="009501D5"/>
    <w:rsid w:val="009502B0"/>
    <w:rsid w:val="00950A7D"/>
    <w:rsid w:val="00950D23"/>
    <w:rsid w:val="009512EB"/>
    <w:rsid w:val="00951662"/>
    <w:rsid w:val="009518A4"/>
    <w:rsid w:val="00951C48"/>
    <w:rsid w:val="00951FD5"/>
    <w:rsid w:val="00952016"/>
    <w:rsid w:val="0095266F"/>
    <w:rsid w:val="00952A6B"/>
    <w:rsid w:val="00952C72"/>
    <w:rsid w:val="00953816"/>
    <w:rsid w:val="0095406D"/>
    <w:rsid w:val="009554F7"/>
    <w:rsid w:val="00955760"/>
    <w:rsid w:val="009559E7"/>
    <w:rsid w:val="00955E7C"/>
    <w:rsid w:val="00957337"/>
    <w:rsid w:val="0095738A"/>
    <w:rsid w:val="009575E9"/>
    <w:rsid w:val="0095771D"/>
    <w:rsid w:val="00957C4E"/>
    <w:rsid w:val="0096011A"/>
    <w:rsid w:val="009602EC"/>
    <w:rsid w:val="009603E4"/>
    <w:rsid w:val="00961833"/>
    <w:rsid w:val="00961A09"/>
    <w:rsid w:val="00961BEC"/>
    <w:rsid w:val="00962976"/>
    <w:rsid w:val="00962AFF"/>
    <w:rsid w:val="00962E98"/>
    <w:rsid w:val="00963638"/>
    <w:rsid w:val="009651AB"/>
    <w:rsid w:val="00965362"/>
    <w:rsid w:val="00965395"/>
    <w:rsid w:val="009658E8"/>
    <w:rsid w:val="009660CB"/>
    <w:rsid w:val="00966A67"/>
    <w:rsid w:val="009671D9"/>
    <w:rsid w:val="00970822"/>
    <w:rsid w:val="00970C1A"/>
    <w:rsid w:val="00970E36"/>
    <w:rsid w:val="00971C08"/>
    <w:rsid w:val="00971D1F"/>
    <w:rsid w:val="00972104"/>
    <w:rsid w:val="00972354"/>
    <w:rsid w:val="009729F1"/>
    <w:rsid w:val="00972CB7"/>
    <w:rsid w:val="00972DC0"/>
    <w:rsid w:val="00972FD9"/>
    <w:rsid w:val="00973842"/>
    <w:rsid w:val="0097393C"/>
    <w:rsid w:val="00973DDF"/>
    <w:rsid w:val="009740E0"/>
    <w:rsid w:val="00974A2B"/>
    <w:rsid w:val="00974BE1"/>
    <w:rsid w:val="00974C89"/>
    <w:rsid w:val="00975315"/>
    <w:rsid w:val="00975E2C"/>
    <w:rsid w:val="00976355"/>
    <w:rsid w:val="009777D4"/>
    <w:rsid w:val="00980CBD"/>
    <w:rsid w:val="00981059"/>
    <w:rsid w:val="00981CB4"/>
    <w:rsid w:val="00983E61"/>
    <w:rsid w:val="00984226"/>
    <w:rsid w:val="009858EF"/>
    <w:rsid w:val="009859D7"/>
    <w:rsid w:val="00985B9D"/>
    <w:rsid w:val="00985D44"/>
    <w:rsid w:val="00985D5B"/>
    <w:rsid w:val="009862A8"/>
    <w:rsid w:val="00986505"/>
    <w:rsid w:val="009878C5"/>
    <w:rsid w:val="00987DCE"/>
    <w:rsid w:val="009902D7"/>
    <w:rsid w:val="009904C2"/>
    <w:rsid w:val="00990A46"/>
    <w:rsid w:val="00990BD4"/>
    <w:rsid w:val="00993258"/>
    <w:rsid w:val="009938FB"/>
    <w:rsid w:val="009940F6"/>
    <w:rsid w:val="00994B62"/>
    <w:rsid w:val="00994D72"/>
    <w:rsid w:val="0099574E"/>
    <w:rsid w:val="009961D6"/>
    <w:rsid w:val="009969D8"/>
    <w:rsid w:val="009977B9"/>
    <w:rsid w:val="00997BEA"/>
    <w:rsid w:val="009A013A"/>
    <w:rsid w:val="009A0211"/>
    <w:rsid w:val="009A1683"/>
    <w:rsid w:val="009A2739"/>
    <w:rsid w:val="009A29EE"/>
    <w:rsid w:val="009A38FC"/>
    <w:rsid w:val="009A3BBA"/>
    <w:rsid w:val="009A3EB1"/>
    <w:rsid w:val="009A4C97"/>
    <w:rsid w:val="009A4CEA"/>
    <w:rsid w:val="009A5A6E"/>
    <w:rsid w:val="009A5AB6"/>
    <w:rsid w:val="009A606D"/>
    <w:rsid w:val="009A6BC4"/>
    <w:rsid w:val="009A70A9"/>
    <w:rsid w:val="009A7EE9"/>
    <w:rsid w:val="009A7FDC"/>
    <w:rsid w:val="009B0A21"/>
    <w:rsid w:val="009B0B18"/>
    <w:rsid w:val="009B120A"/>
    <w:rsid w:val="009B14CC"/>
    <w:rsid w:val="009B1E31"/>
    <w:rsid w:val="009B253B"/>
    <w:rsid w:val="009B326B"/>
    <w:rsid w:val="009B3399"/>
    <w:rsid w:val="009B3B25"/>
    <w:rsid w:val="009B4660"/>
    <w:rsid w:val="009B4B64"/>
    <w:rsid w:val="009B59FD"/>
    <w:rsid w:val="009B5A1C"/>
    <w:rsid w:val="009B62A2"/>
    <w:rsid w:val="009B65C5"/>
    <w:rsid w:val="009B667F"/>
    <w:rsid w:val="009B6DD6"/>
    <w:rsid w:val="009B6E89"/>
    <w:rsid w:val="009B72EF"/>
    <w:rsid w:val="009B7366"/>
    <w:rsid w:val="009B7D1D"/>
    <w:rsid w:val="009C0C2F"/>
    <w:rsid w:val="009C0D38"/>
    <w:rsid w:val="009C0E13"/>
    <w:rsid w:val="009C1A73"/>
    <w:rsid w:val="009C2108"/>
    <w:rsid w:val="009C25CF"/>
    <w:rsid w:val="009C2EA8"/>
    <w:rsid w:val="009C37A9"/>
    <w:rsid w:val="009C3A06"/>
    <w:rsid w:val="009C4974"/>
    <w:rsid w:val="009C4D9D"/>
    <w:rsid w:val="009C5157"/>
    <w:rsid w:val="009C53AE"/>
    <w:rsid w:val="009C6313"/>
    <w:rsid w:val="009C680D"/>
    <w:rsid w:val="009C7AF4"/>
    <w:rsid w:val="009C7B40"/>
    <w:rsid w:val="009D01FB"/>
    <w:rsid w:val="009D0624"/>
    <w:rsid w:val="009D07D9"/>
    <w:rsid w:val="009D08D3"/>
    <w:rsid w:val="009D15BB"/>
    <w:rsid w:val="009D15C3"/>
    <w:rsid w:val="009D1AAF"/>
    <w:rsid w:val="009D2013"/>
    <w:rsid w:val="009D24BA"/>
    <w:rsid w:val="009D2A2A"/>
    <w:rsid w:val="009D2C28"/>
    <w:rsid w:val="009D2C93"/>
    <w:rsid w:val="009D3210"/>
    <w:rsid w:val="009D34A0"/>
    <w:rsid w:val="009D34F0"/>
    <w:rsid w:val="009D3584"/>
    <w:rsid w:val="009D3994"/>
    <w:rsid w:val="009D42E9"/>
    <w:rsid w:val="009D43E9"/>
    <w:rsid w:val="009D4A94"/>
    <w:rsid w:val="009D507A"/>
    <w:rsid w:val="009D54BB"/>
    <w:rsid w:val="009D5EF2"/>
    <w:rsid w:val="009D5F1A"/>
    <w:rsid w:val="009D612A"/>
    <w:rsid w:val="009D68BA"/>
    <w:rsid w:val="009D68CE"/>
    <w:rsid w:val="009D691E"/>
    <w:rsid w:val="009D6C7D"/>
    <w:rsid w:val="009D71C7"/>
    <w:rsid w:val="009D7736"/>
    <w:rsid w:val="009D7969"/>
    <w:rsid w:val="009E0537"/>
    <w:rsid w:val="009E1295"/>
    <w:rsid w:val="009E18C3"/>
    <w:rsid w:val="009E1D12"/>
    <w:rsid w:val="009E2AE9"/>
    <w:rsid w:val="009E3801"/>
    <w:rsid w:val="009E3F54"/>
    <w:rsid w:val="009E49DB"/>
    <w:rsid w:val="009E514B"/>
    <w:rsid w:val="009E5D3D"/>
    <w:rsid w:val="009E74F6"/>
    <w:rsid w:val="009E76ED"/>
    <w:rsid w:val="009E78A0"/>
    <w:rsid w:val="009E7D32"/>
    <w:rsid w:val="009F14BD"/>
    <w:rsid w:val="009F191B"/>
    <w:rsid w:val="009F240A"/>
    <w:rsid w:val="009F28BC"/>
    <w:rsid w:val="009F2912"/>
    <w:rsid w:val="009F29DC"/>
    <w:rsid w:val="009F2CED"/>
    <w:rsid w:val="009F2F81"/>
    <w:rsid w:val="009F30AD"/>
    <w:rsid w:val="009F30C1"/>
    <w:rsid w:val="009F334A"/>
    <w:rsid w:val="009F3793"/>
    <w:rsid w:val="009F3E26"/>
    <w:rsid w:val="009F5060"/>
    <w:rsid w:val="009F5095"/>
    <w:rsid w:val="009F5A25"/>
    <w:rsid w:val="009F5F55"/>
    <w:rsid w:val="009F678D"/>
    <w:rsid w:val="009F6EF7"/>
    <w:rsid w:val="009F6EFC"/>
    <w:rsid w:val="009F74CF"/>
    <w:rsid w:val="00A00324"/>
    <w:rsid w:val="00A00D8D"/>
    <w:rsid w:val="00A016D4"/>
    <w:rsid w:val="00A01D92"/>
    <w:rsid w:val="00A0278E"/>
    <w:rsid w:val="00A03113"/>
    <w:rsid w:val="00A03226"/>
    <w:rsid w:val="00A036C1"/>
    <w:rsid w:val="00A0413E"/>
    <w:rsid w:val="00A04632"/>
    <w:rsid w:val="00A04C43"/>
    <w:rsid w:val="00A057A8"/>
    <w:rsid w:val="00A05B04"/>
    <w:rsid w:val="00A05D7F"/>
    <w:rsid w:val="00A05E1E"/>
    <w:rsid w:val="00A060CB"/>
    <w:rsid w:val="00A06133"/>
    <w:rsid w:val="00A064A5"/>
    <w:rsid w:val="00A0667D"/>
    <w:rsid w:val="00A069CE"/>
    <w:rsid w:val="00A06F82"/>
    <w:rsid w:val="00A070A1"/>
    <w:rsid w:val="00A07222"/>
    <w:rsid w:val="00A10110"/>
    <w:rsid w:val="00A10849"/>
    <w:rsid w:val="00A10A63"/>
    <w:rsid w:val="00A1112C"/>
    <w:rsid w:val="00A11757"/>
    <w:rsid w:val="00A120EC"/>
    <w:rsid w:val="00A1264E"/>
    <w:rsid w:val="00A12B9A"/>
    <w:rsid w:val="00A13B6C"/>
    <w:rsid w:val="00A143A2"/>
    <w:rsid w:val="00A14DEE"/>
    <w:rsid w:val="00A1559C"/>
    <w:rsid w:val="00A15A1F"/>
    <w:rsid w:val="00A15C23"/>
    <w:rsid w:val="00A16423"/>
    <w:rsid w:val="00A165AE"/>
    <w:rsid w:val="00A165D0"/>
    <w:rsid w:val="00A179D0"/>
    <w:rsid w:val="00A17CC5"/>
    <w:rsid w:val="00A17F4B"/>
    <w:rsid w:val="00A20011"/>
    <w:rsid w:val="00A20D6B"/>
    <w:rsid w:val="00A22154"/>
    <w:rsid w:val="00A227A8"/>
    <w:rsid w:val="00A22B25"/>
    <w:rsid w:val="00A22C07"/>
    <w:rsid w:val="00A22C69"/>
    <w:rsid w:val="00A23DDC"/>
    <w:rsid w:val="00A24206"/>
    <w:rsid w:val="00A24E85"/>
    <w:rsid w:val="00A252A6"/>
    <w:rsid w:val="00A26A2D"/>
    <w:rsid w:val="00A26F4D"/>
    <w:rsid w:val="00A27240"/>
    <w:rsid w:val="00A274A7"/>
    <w:rsid w:val="00A275FD"/>
    <w:rsid w:val="00A303EB"/>
    <w:rsid w:val="00A3048E"/>
    <w:rsid w:val="00A3053E"/>
    <w:rsid w:val="00A31241"/>
    <w:rsid w:val="00A3129E"/>
    <w:rsid w:val="00A324EC"/>
    <w:rsid w:val="00A32B20"/>
    <w:rsid w:val="00A32FC5"/>
    <w:rsid w:val="00A33496"/>
    <w:rsid w:val="00A33D70"/>
    <w:rsid w:val="00A34027"/>
    <w:rsid w:val="00A348D5"/>
    <w:rsid w:val="00A35263"/>
    <w:rsid w:val="00A35B4C"/>
    <w:rsid w:val="00A35EA0"/>
    <w:rsid w:val="00A36159"/>
    <w:rsid w:val="00A36636"/>
    <w:rsid w:val="00A3673B"/>
    <w:rsid w:val="00A371A1"/>
    <w:rsid w:val="00A37573"/>
    <w:rsid w:val="00A37D8E"/>
    <w:rsid w:val="00A4008F"/>
    <w:rsid w:val="00A4030A"/>
    <w:rsid w:val="00A408F4"/>
    <w:rsid w:val="00A40E62"/>
    <w:rsid w:val="00A41024"/>
    <w:rsid w:val="00A411FC"/>
    <w:rsid w:val="00A41471"/>
    <w:rsid w:val="00A41927"/>
    <w:rsid w:val="00A41F67"/>
    <w:rsid w:val="00A41F6B"/>
    <w:rsid w:val="00A43450"/>
    <w:rsid w:val="00A43A28"/>
    <w:rsid w:val="00A44011"/>
    <w:rsid w:val="00A4487E"/>
    <w:rsid w:val="00A44D53"/>
    <w:rsid w:val="00A47337"/>
    <w:rsid w:val="00A502DF"/>
    <w:rsid w:val="00A511BA"/>
    <w:rsid w:val="00A51776"/>
    <w:rsid w:val="00A51CE3"/>
    <w:rsid w:val="00A51D6C"/>
    <w:rsid w:val="00A52503"/>
    <w:rsid w:val="00A52A1A"/>
    <w:rsid w:val="00A52C49"/>
    <w:rsid w:val="00A534D7"/>
    <w:rsid w:val="00A53A67"/>
    <w:rsid w:val="00A5451B"/>
    <w:rsid w:val="00A546AA"/>
    <w:rsid w:val="00A550C1"/>
    <w:rsid w:val="00A5525E"/>
    <w:rsid w:val="00A55276"/>
    <w:rsid w:val="00A55946"/>
    <w:rsid w:val="00A55BE0"/>
    <w:rsid w:val="00A55C23"/>
    <w:rsid w:val="00A55E0F"/>
    <w:rsid w:val="00A576A2"/>
    <w:rsid w:val="00A577B3"/>
    <w:rsid w:val="00A60531"/>
    <w:rsid w:val="00A607FD"/>
    <w:rsid w:val="00A60C33"/>
    <w:rsid w:val="00A60DA7"/>
    <w:rsid w:val="00A60FFE"/>
    <w:rsid w:val="00A6111D"/>
    <w:rsid w:val="00A61715"/>
    <w:rsid w:val="00A61763"/>
    <w:rsid w:val="00A624A1"/>
    <w:rsid w:val="00A63FC9"/>
    <w:rsid w:val="00A6491E"/>
    <w:rsid w:val="00A656E1"/>
    <w:rsid w:val="00A659EC"/>
    <w:rsid w:val="00A65A44"/>
    <w:rsid w:val="00A666D7"/>
    <w:rsid w:val="00A66E9F"/>
    <w:rsid w:val="00A670CE"/>
    <w:rsid w:val="00A678E2"/>
    <w:rsid w:val="00A67B11"/>
    <w:rsid w:val="00A67B68"/>
    <w:rsid w:val="00A70678"/>
    <w:rsid w:val="00A70846"/>
    <w:rsid w:val="00A71390"/>
    <w:rsid w:val="00A71875"/>
    <w:rsid w:val="00A71AF8"/>
    <w:rsid w:val="00A71B19"/>
    <w:rsid w:val="00A7231B"/>
    <w:rsid w:val="00A727F7"/>
    <w:rsid w:val="00A73317"/>
    <w:rsid w:val="00A73DF0"/>
    <w:rsid w:val="00A7443D"/>
    <w:rsid w:val="00A7498B"/>
    <w:rsid w:val="00A752C4"/>
    <w:rsid w:val="00A753D3"/>
    <w:rsid w:val="00A75866"/>
    <w:rsid w:val="00A759C8"/>
    <w:rsid w:val="00A764A9"/>
    <w:rsid w:val="00A77BEA"/>
    <w:rsid w:val="00A805B0"/>
    <w:rsid w:val="00A809A7"/>
    <w:rsid w:val="00A80E69"/>
    <w:rsid w:val="00A812DF"/>
    <w:rsid w:val="00A81899"/>
    <w:rsid w:val="00A824E9"/>
    <w:rsid w:val="00A8319C"/>
    <w:rsid w:val="00A83F9B"/>
    <w:rsid w:val="00A840E6"/>
    <w:rsid w:val="00A8437A"/>
    <w:rsid w:val="00A84CA1"/>
    <w:rsid w:val="00A861D6"/>
    <w:rsid w:val="00A87723"/>
    <w:rsid w:val="00A8774A"/>
    <w:rsid w:val="00A91662"/>
    <w:rsid w:val="00A91C6E"/>
    <w:rsid w:val="00A91D6A"/>
    <w:rsid w:val="00A92169"/>
    <w:rsid w:val="00A923A3"/>
    <w:rsid w:val="00A92C75"/>
    <w:rsid w:val="00A92F52"/>
    <w:rsid w:val="00A92FCC"/>
    <w:rsid w:val="00A9357C"/>
    <w:rsid w:val="00A93643"/>
    <w:rsid w:val="00A93ABA"/>
    <w:rsid w:val="00A948DE"/>
    <w:rsid w:val="00A94D05"/>
    <w:rsid w:val="00A960E2"/>
    <w:rsid w:val="00AA0104"/>
    <w:rsid w:val="00AA0884"/>
    <w:rsid w:val="00AA0F23"/>
    <w:rsid w:val="00AA0F36"/>
    <w:rsid w:val="00AA178A"/>
    <w:rsid w:val="00AA17B1"/>
    <w:rsid w:val="00AA1A83"/>
    <w:rsid w:val="00AA1E18"/>
    <w:rsid w:val="00AA1F26"/>
    <w:rsid w:val="00AA20F7"/>
    <w:rsid w:val="00AA29A8"/>
    <w:rsid w:val="00AA30E3"/>
    <w:rsid w:val="00AA4842"/>
    <w:rsid w:val="00AA4AB9"/>
    <w:rsid w:val="00AA51E6"/>
    <w:rsid w:val="00AA57D4"/>
    <w:rsid w:val="00AA5F1C"/>
    <w:rsid w:val="00AA65D5"/>
    <w:rsid w:val="00AA7264"/>
    <w:rsid w:val="00AA771F"/>
    <w:rsid w:val="00AA7E6B"/>
    <w:rsid w:val="00AB0AE8"/>
    <w:rsid w:val="00AB11F1"/>
    <w:rsid w:val="00AB13CE"/>
    <w:rsid w:val="00AB148D"/>
    <w:rsid w:val="00AB1AF5"/>
    <w:rsid w:val="00AB20FB"/>
    <w:rsid w:val="00AB2CBC"/>
    <w:rsid w:val="00AB2F3E"/>
    <w:rsid w:val="00AB3AAA"/>
    <w:rsid w:val="00AB3EBC"/>
    <w:rsid w:val="00AB4106"/>
    <w:rsid w:val="00AB4283"/>
    <w:rsid w:val="00AB47D1"/>
    <w:rsid w:val="00AB4BA0"/>
    <w:rsid w:val="00AB4E8E"/>
    <w:rsid w:val="00AB5060"/>
    <w:rsid w:val="00AB594B"/>
    <w:rsid w:val="00AB7CE6"/>
    <w:rsid w:val="00AB7FA0"/>
    <w:rsid w:val="00AC0CD9"/>
    <w:rsid w:val="00AC1A71"/>
    <w:rsid w:val="00AC1F0B"/>
    <w:rsid w:val="00AC224B"/>
    <w:rsid w:val="00AC26BA"/>
    <w:rsid w:val="00AC2986"/>
    <w:rsid w:val="00AC2EA8"/>
    <w:rsid w:val="00AC33A2"/>
    <w:rsid w:val="00AC3834"/>
    <w:rsid w:val="00AC3AB6"/>
    <w:rsid w:val="00AC6386"/>
    <w:rsid w:val="00AC686C"/>
    <w:rsid w:val="00AC6A74"/>
    <w:rsid w:val="00AC7CB5"/>
    <w:rsid w:val="00AD0574"/>
    <w:rsid w:val="00AD0DC0"/>
    <w:rsid w:val="00AD11DC"/>
    <w:rsid w:val="00AD264B"/>
    <w:rsid w:val="00AD27D3"/>
    <w:rsid w:val="00AD2A78"/>
    <w:rsid w:val="00AD2C2B"/>
    <w:rsid w:val="00AD2E03"/>
    <w:rsid w:val="00AD2EC9"/>
    <w:rsid w:val="00AD2FD8"/>
    <w:rsid w:val="00AD3768"/>
    <w:rsid w:val="00AD38BD"/>
    <w:rsid w:val="00AD3AE3"/>
    <w:rsid w:val="00AD45F7"/>
    <w:rsid w:val="00AD47C0"/>
    <w:rsid w:val="00AD4D76"/>
    <w:rsid w:val="00AD5416"/>
    <w:rsid w:val="00AD5E94"/>
    <w:rsid w:val="00AD64E2"/>
    <w:rsid w:val="00AD674B"/>
    <w:rsid w:val="00AD73D8"/>
    <w:rsid w:val="00AE0603"/>
    <w:rsid w:val="00AE155E"/>
    <w:rsid w:val="00AE1B8D"/>
    <w:rsid w:val="00AE1E43"/>
    <w:rsid w:val="00AE25F3"/>
    <w:rsid w:val="00AE2D47"/>
    <w:rsid w:val="00AE386D"/>
    <w:rsid w:val="00AE395D"/>
    <w:rsid w:val="00AE4A57"/>
    <w:rsid w:val="00AE5481"/>
    <w:rsid w:val="00AE57CB"/>
    <w:rsid w:val="00AE5BA6"/>
    <w:rsid w:val="00AE5CEE"/>
    <w:rsid w:val="00AE5FE5"/>
    <w:rsid w:val="00AE64E3"/>
    <w:rsid w:val="00AE7B1F"/>
    <w:rsid w:val="00AE7D4C"/>
    <w:rsid w:val="00AE7E50"/>
    <w:rsid w:val="00AF003A"/>
    <w:rsid w:val="00AF0379"/>
    <w:rsid w:val="00AF0AD0"/>
    <w:rsid w:val="00AF161D"/>
    <w:rsid w:val="00AF172C"/>
    <w:rsid w:val="00AF17AD"/>
    <w:rsid w:val="00AF25E0"/>
    <w:rsid w:val="00AF3687"/>
    <w:rsid w:val="00AF507F"/>
    <w:rsid w:val="00AF5210"/>
    <w:rsid w:val="00AF5AC4"/>
    <w:rsid w:val="00AF5E97"/>
    <w:rsid w:val="00AF6629"/>
    <w:rsid w:val="00AF6A7C"/>
    <w:rsid w:val="00AF6F43"/>
    <w:rsid w:val="00B0283F"/>
    <w:rsid w:val="00B0298D"/>
    <w:rsid w:val="00B031AF"/>
    <w:rsid w:val="00B047C5"/>
    <w:rsid w:val="00B04EFB"/>
    <w:rsid w:val="00B0515A"/>
    <w:rsid w:val="00B05872"/>
    <w:rsid w:val="00B075D6"/>
    <w:rsid w:val="00B102D4"/>
    <w:rsid w:val="00B10AF0"/>
    <w:rsid w:val="00B10F2F"/>
    <w:rsid w:val="00B11C0D"/>
    <w:rsid w:val="00B12A7A"/>
    <w:rsid w:val="00B12CCC"/>
    <w:rsid w:val="00B13073"/>
    <w:rsid w:val="00B13B96"/>
    <w:rsid w:val="00B14078"/>
    <w:rsid w:val="00B141B7"/>
    <w:rsid w:val="00B149E0"/>
    <w:rsid w:val="00B14F22"/>
    <w:rsid w:val="00B159B6"/>
    <w:rsid w:val="00B15DCB"/>
    <w:rsid w:val="00B1665E"/>
    <w:rsid w:val="00B16B62"/>
    <w:rsid w:val="00B1710E"/>
    <w:rsid w:val="00B17141"/>
    <w:rsid w:val="00B20D64"/>
    <w:rsid w:val="00B21097"/>
    <w:rsid w:val="00B21131"/>
    <w:rsid w:val="00B2125E"/>
    <w:rsid w:val="00B21AB8"/>
    <w:rsid w:val="00B2258C"/>
    <w:rsid w:val="00B228C2"/>
    <w:rsid w:val="00B235B2"/>
    <w:rsid w:val="00B24016"/>
    <w:rsid w:val="00B2451A"/>
    <w:rsid w:val="00B2463A"/>
    <w:rsid w:val="00B24908"/>
    <w:rsid w:val="00B24A95"/>
    <w:rsid w:val="00B25F64"/>
    <w:rsid w:val="00B2640D"/>
    <w:rsid w:val="00B27B67"/>
    <w:rsid w:val="00B30546"/>
    <w:rsid w:val="00B314B4"/>
    <w:rsid w:val="00B31F5F"/>
    <w:rsid w:val="00B32816"/>
    <w:rsid w:val="00B32D68"/>
    <w:rsid w:val="00B3322F"/>
    <w:rsid w:val="00B33E76"/>
    <w:rsid w:val="00B34376"/>
    <w:rsid w:val="00B34CAF"/>
    <w:rsid w:val="00B34F12"/>
    <w:rsid w:val="00B35601"/>
    <w:rsid w:val="00B356C9"/>
    <w:rsid w:val="00B36C94"/>
    <w:rsid w:val="00B36D11"/>
    <w:rsid w:val="00B37A5B"/>
    <w:rsid w:val="00B37D56"/>
    <w:rsid w:val="00B402F0"/>
    <w:rsid w:val="00B409A3"/>
    <w:rsid w:val="00B40B2E"/>
    <w:rsid w:val="00B40FA7"/>
    <w:rsid w:val="00B4171B"/>
    <w:rsid w:val="00B41C5B"/>
    <w:rsid w:val="00B41FD4"/>
    <w:rsid w:val="00B42D30"/>
    <w:rsid w:val="00B43A8C"/>
    <w:rsid w:val="00B44CC4"/>
    <w:rsid w:val="00B44F63"/>
    <w:rsid w:val="00B459E3"/>
    <w:rsid w:val="00B46B39"/>
    <w:rsid w:val="00B46BB5"/>
    <w:rsid w:val="00B46D41"/>
    <w:rsid w:val="00B46E4E"/>
    <w:rsid w:val="00B47458"/>
    <w:rsid w:val="00B47554"/>
    <w:rsid w:val="00B47599"/>
    <w:rsid w:val="00B50299"/>
    <w:rsid w:val="00B5036D"/>
    <w:rsid w:val="00B50CCC"/>
    <w:rsid w:val="00B50D49"/>
    <w:rsid w:val="00B523C5"/>
    <w:rsid w:val="00B52725"/>
    <w:rsid w:val="00B5273F"/>
    <w:rsid w:val="00B542C3"/>
    <w:rsid w:val="00B54A5B"/>
    <w:rsid w:val="00B54B10"/>
    <w:rsid w:val="00B54E8C"/>
    <w:rsid w:val="00B55579"/>
    <w:rsid w:val="00B5596C"/>
    <w:rsid w:val="00B55FA5"/>
    <w:rsid w:val="00B562BF"/>
    <w:rsid w:val="00B56361"/>
    <w:rsid w:val="00B5643D"/>
    <w:rsid w:val="00B5724B"/>
    <w:rsid w:val="00B57A28"/>
    <w:rsid w:val="00B57B21"/>
    <w:rsid w:val="00B57E3B"/>
    <w:rsid w:val="00B606C3"/>
    <w:rsid w:val="00B60BD4"/>
    <w:rsid w:val="00B60F4F"/>
    <w:rsid w:val="00B613C6"/>
    <w:rsid w:val="00B616E1"/>
    <w:rsid w:val="00B628F3"/>
    <w:rsid w:val="00B62ADA"/>
    <w:rsid w:val="00B62C77"/>
    <w:rsid w:val="00B64103"/>
    <w:rsid w:val="00B64491"/>
    <w:rsid w:val="00B6458F"/>
    <w:rsid w:val="00B64F88"/>
    <w:rsid w:val="00B66627"/>
    <w:rsid w:val="00B666E5"/>
    <w:rsid w:val="00B66DA0"/>
    <w:rsid w:val="00B67879"/>
    <w:rsid w:val="00B7031A"/>
    <w:rsid w:val="00B70922"/>
    <w:rsid w:val="00B70A28"/>
    <w:rsid w:val="00B70F5B"/>
    <w:rsid w:val="00B71743"/>
    <w:rsid w:val="00B727F5"/>
    <w:rsid w:val="00B72A6D"/>
    <w:rsid w:val="00B72BCB"/>
    <w:rsid w:val="00B72BD6"/>
    <w:rsid w:val="00B7376C"/>
    <w:rsid w:val="00B73F8C"/>
    <w:rsid w:val="00B74B2F"/>
    <w:rsid w:val="00B756F5"/>
    <w:rsid w:val="00B75CA4"/>
    <w:rsid w:val="00B75D90"/>
    <w:rsid w:val="00B76397"/>
    <w:rsid w:val="00B77565"/>
    <w:rsid w:val="00B77845"/>
    <w:rsid w:val="00B77B73"/>
    <w:rsid w:val="00B801FA"/>
    <w:rsid w:val="00B8096A"/>
    <w:rsid w:val="00B824FC"/>
    <w:rsid w:val="00B8269A"/>
    <w:rsid w:val="00B8281A"/>
    <w:rsid w:val="00B829F2"/>
    <w:rsid w:val="00B82FD2"/>
    <w:rsid w:val="00B8384E"/>
    <w:rsid w:val="00B83CB3"/>
    <w:rsid w:val="00B83DAE"/>
    <w:rsid w:val="00B83E5C"/>
    <w:rsid w:val="00B84873"/>
    <w:rsid w:val="00B848A3"/>
    <w:rsid w:val="00B848BD"/>
    <w:rsid w:val="00B84BCB"/>
    <w:rsid w:val="00B84D43"/>
    <w:rsid w:val="00B84E6D"/>
    <w:rsid w:val="00B850B5"/>
    <w:rsid w:val="00B859DC"/>
    <w:rsid w:val="00B866D1"/>
    <w:rsid w:val="00B86778"/>
    <w:rsid w:val="00B869E2"/>
    <w:rsid w:val="00B86B52"/>
    <w:rsid w:val="00B87171"/>
    <w:rsid w:val="00B872C4"/>
    <w:rsid w:val="00B91788"/>
    <w:rsid w:val="00B92812"/>
    <w:rsid w:val="00B930E9"/>
    <w:rsid w:val="00B93341"/>
    <w:rsid w:val="00B935DC"/>
    <w:rsid w:val="00B936AD"/>
    <w:rsid w:val="00B94002"/>
    <w:rsid w:val="00B94CE2"/>
    <w:rsid w:val="00B94F42"/>
    <w:rsid w:val="00B958EB"/>
    <w:rsid w:val="00B96391"/>
    <w:rsid w:val="00B9668F"/>
    <w:rsid w:val="00B96C93"/>
    <w:rsid w:val="00B973C4"/>
    <w:rsid w:val="00B97AED"/>
    <w:rsid w:val="00BA0FE5"/>
    <w:rsid w:val="00BA17DB"/>
    <w:rsid w:val="00BA226A"/>
    <w:rsid w:val="00BA26A5"/>
    <w:rsid w:val="00BA29AC"/>
    <w:rsid w:val="00BA2C92"/>
    <w:rsid w:val="00BA3F1E"/>
    <w:rsid w:val="00BA42B7"/>
    <w:rsid w:val="00BA48CB"/>
    <w:rsid w:val="00BA50A7"/>
    <w:rsid w:val="00BA5C3B"/>
    <w:rsid w:val="00BA5D66"/>
    <w:rsid w:val="00BA6860"/>
    <w:rsid w:val="00BA799C"/>
    <w:rsid w:val="00BA7D34"/>
    <w:rsid w:val="00BB06B1"/>
    <w:rsid w:val="00BB0B09"/>
    <w:rsid w:val="00BB0F94"/>
    <w:rsid w:val="00BB1735"/>
    <w:rsid w:val="00BB1B6D"/>
    <w:rsid w:val="00BB2ACE"/>
    <w:rsid w:val="00BB2C93"/>
    <w:rsid w:val="00BB2D87"/>
    <w:rsid w:val="00BB333C"/>
    <w:rsid w:val="00BB3637"/>
    <w:rsid w:val="00BB3A75"/>
    <w:rsid w:val="00BB5131"/>
    <w:rsid w:val="00BB572D"/>
    <w:rsid w:val="00BB59B1"/>
    <w:rsid w:val="00BB603E"/>
    <w:rsid w:val="00BB6701"/>
    <w:rsid w:val="00BB7383"/>
    <w:rsid w:val="00BB7649"/>
    <w:rsid w:val="00BB7B41"/>
    <w:rsid w:val="00BB7B7D"/>
    <w:rsid w:val="00BC0950"/>
    <w:rsid w:val="00BC0AE5"/>
    <w:rsid w:val="00BC0B62"/>
    <w:rsid w:val="00BC1DE5"/>
    <w:rsid w:val="00BC2417"/>
    <w:rsid w:val="00BC25B9"/>
    <w:rsid w:val="00BC26B2"/>
    <w:rsid w:val="00BC2B5B"/>
    <w:rsid w:val="00BC372D"/>
    <w:rsid w:val="00BC3F17"/>
    <w:rsid w:val="00BC3FA8"/>
    <w:rsid w:val="00BC4150"/>
    <w:rsid w:val="00BC416C"/>
    <w:rsid w:val="00BC4832"/>
    <w:rsid w:val="00BC4B84"/>
    <w:rsid w:val="00BC5047"/>
    <w:rsid w:val="00BC5242"/>
    <w:rsid w:val="00BC5D0A"/>
    <w:rsid w:val="00BC5E75"/>
    <w:rsid w:val="00BC6CC9"/>
    <w:rsid w:val="00BC73A5"/>
    <w:rsid w:val="00BC73F0"/>
    <w:rsid w:val="00BC742C"/>
    <w:rsid w:val="00BC742E"/>
    <w:rsid w:val="00BC7703"/>
    <w:rsid w:val="00BC78AC"/>
    <w:rsid w:val="00BC793D"/>
    <w:rsid w:val="00BD0D9D"/>
    <w:rsid w:val="00BD1B75"/>
    <w:rsid w:val="00BD1D32"/>
    <w:rsid w:val="00BD1E20"/>
    <w:rsid w:val="00BD32DC"/>
    <w:rsid w:val="00BD375B"/>
    <w:rsid w:val="00BD385F"/>
    <w:rsid w:val="00BD3871"/>
    <w:rsid w:val="00BD3C5D"/>
    <w:rsid w:val="00BD4850"/>
    <w:rsid w:val="00BD518D"/>
    <w:rsid w:val="00BD5437"/>
    <w:rsid w:val="00BD5DB3"/>
    <w:rsid w:val="00BD6AF4"/>
    <w:rsid w:val="00BE0987"/>
    <w:rsid w:val="00BE0A13"/>
    <w:rsid w:val="00BE0C13"/>
    <w:rsid w:val="00BE1B33"/>
    <w:rsid w:val="00BE284C"/>
    <w:rsid w:val="00BE36CB"/>
    <w:rsid w:val="00BE3758"/>
    <w:rsid w:val="00BE376E"/>
    <w:rsid w:val="00BE3903"/>
    <w:rsid w:val="00BE3BC6"/>
    <w:rsid w:val="00BE5207"/>
    <w:rsid w:val="00BE5340"/>
    <w:rsid w:val="00BE54A8"/>
    <w:rsid w:val="00BE5A45"/>
    <w:rsid w:val="00BE6355"/>
    <w:rsid w:val="00BE67FC"/>
    <w:rsid w:val="00BE697F"/>
    <w:rsid w:val="00BE77C9"/>
    <w:rsid w:val="00BE7B49"/>
    <w:rsid w:val="00BF0259"/>
    <w:rsid w:val="00BF0742"/>
    <w:rsid w:val="00BF0DEB"/>
    <w:rsid w:val="00BF10C1"/>
    <w:rsid w:val="00BF1CB0"/>
    <w:rsid w:val="00BF26E7"/>
    <w:rsid w:val="00BF32CF"/>
    <w:rsid w:val="00BF33C6"/>
    <w:rsid w:val="00BF393F"/>
    <w:rsid w:val="00BF3A7D"/>
    <w:rsid w:val="00BF3C4E"/>
    <w:rsid w:val="00BF4059"/>
    <w:rsid w:val="00BF4545"/>
    <w:rsid w:val="00BF4905"/>
    <w:rsid w:val="00BF5030"/>
    <w:rsid w:val="00BF5211"/>
    <w:rsid w:val="00BF559E"/>
    <w:rsid w:val="00BF572C"/>
    <w:rsid w:val="00BF62EB"/>
    <w:rsid w:val="00BF6553"/>
    <w:rsid w:val="00BF688E"/>
    <w:rsid w:val="00BF6D3E"/>
    <w:rsid w:val="00BF6F23"/>
    <w:rsid w:val="00BF7045"/>
    <w:rsid w:val="00BF76EA"/>
    <w:rsid w:val="00BF79ED"/>
    <w:rsid w:val="00C00ACF"/>
    <w:rsid w:val="00C00C52"/>
    <w:rsid w:val="00C011CD"/>
    <w:rsid w:val="00C011D1"/>
    <w:rsid w:val="00C01615"/>
    <w:rsid w:val="00C03487"/>
    <w:rsid w:val="00C03AAD"/>
    <w:rsid w:val="00C04CEC"/>
    <w:rsid w:val="00C04E8F"/>
    <w:rsid w:val="00C05550"/>
    <w:rsid w:val="00C05E3A"/>
    <w:rsid w:val="00C063DC"/>
    <w:rsid w:val="00C068B8"/>
    <w:rsid w:val="00C068CF"/>
    <w:rsid w:val="00C06A12"/>
    <w:rsid w:val="00C10CEF"/>
    <w:rsid w:val="00C10CFA"/>
    <w:rsid w:val="00C11772"/>
    <w:rsid w:val="00C12B90"/>
    <w:rsid w:val="00C12C92"/>
    <w:rsid w:val="00C12D94"/>
    <w:rsid w:val="00C133A5"/>
    <w:rsid w:val="00C136C1"/>
    <w:rsid w:val="00C141EB"/>
    <w:rsid w:val="00C15745"/>
    <w:rsid w:val="00C15D4B"/>
    <w:rsid w:val="00C162AA"/>
    <w:rsid w:val="00C168E0"/>
    <w:rsid w:val="00C16C2B"/>
    <w:rsid w:val="00C1727B"/>
    <w:rsid w:val="00C17675"/>
    <w:rsid w:val="00C17A4C"/>
    <w:rsid w:val="00C202BF"/>
    <w:rsid w:val="00C20768"/>
    <w:rsid w:val="00C20A88"/>
    <w:rsid w:val="00C21684"/>
    <w:rsid w:val="00C219A9"/>
    <w:rsid w:val="00C21EA0"/>
    <w:rsid w:val="00C22B6A"/>
    <w:rsid w:val="00C2342E"/>
    <w:rsid w:val="00C235CC"/>
    <w:rsid w:val="00C238D9"/>
    <w:rsid w:val="00C23B9F"/>
    <w:rsid w:val="00C23CE7"/>
    <w:rsid w:val="00C23EC5"/>
    <w:rsid w:val="00C2440C"/>
    <w:rsid w:val="00C24D42"/>
    <w:rsid w:val="00C24D63"/>
    <w:rsid w:val="00C24E07"/>
    <w:rsid w:val="00C25050"/>
    <w:rsid w:val="00C25617"/>
    <w:rsid w:val="00C25725"/>
    <w:rsid w:val="00C25DFC"/>
    <w:rsid w:val="00C26CC6"/>
    <w:rsid w:val="00C26DEA"/>
    <w:rsid w:val="00C2707C"/>
    <w:rsid w:val="00C27241"/>
    <w:rsid w:val="00C30461"/>
    <w:rsid w:val="00C30966"/>
    <w:rsid w:val="00C30973"/>
    <w:rsid w:val="00C316B7"/>
    <w:rsid w:val="00C31924"/>
    <w:rsid w:val="00C322FA"/>
    <w:rsid w:val="00C32AB0"/>
    <w:rsid w:val="00C3351B"/>
    <w:rsid w:val="00C33FB4"/>
    <w:rsid w:val="00C348AA"/>
    <w:rsid w:val="00C351DD"/>
    <w:rsid w:val="00C35F28"/>
    <w:rsid w:val="00C3625A"/>
    <w:rsid w:val="00C36522"/>
    <w:rsid w:val="00C36B96"/>
    <w:rsid w:val="00C3771E"/>
    <w:rsid w:val="00C37B48"/>
    <w:rsid w:val="00C37BC7"/>
    <w:rsid w:val="00C402CB"/>
    <w:rsid w:val="00C404DA"/>
    <w:rsid w:val="00C40AA2"/>
    <w:rsid w:val="00C40DD2"/>
    <w:rsid w:val="00C42808"/>
    <w:rsid w:val="00C42B42"/>
    <w:rsid w:val="00C42F9F"/>
    <w:rsid w:val="00C43476"/>
    <w:rsid w:val="00C43769"/>
    <w:rsid w:val="00C43ABE"/>
    <w:rsid w:val="00C43EA5"/>
    <w:rsid w:val="00C43F3B"/>
    <w:rsid w:val="00C43F94"/>
    <w:rsid w:val="00C4465B"/>
    <w:rsid w:val="00C446F1"/>
    <w:rsid w:val="00C447ED"/>
    <w:rsid w:val="00C44FC9"/>
    <w:rsid w:val="00C45280"/>
    <w:rsid w:val="00C45F5B"/>
    <w:rsid w:val="00C46D92"/>
    <w:rsid w:val="00C472AA"/>
    <w:rsid w:val="00C47348"/>
    <w:rsid w:val="00C4753A"/>
    <w:rsid w:val="00C47961"/>
    <w:rsid w:val="00C47979"/>
    <w:rsid w:val="00C47A03"/>
    <w:rsid w:val="00C47BC0"/>
    <w:rsid w:val="00C50104"/>
    <w:rsid w:val="00C50109"/>
    <w:rsid w:val="00C5037C"/>
    <w:rsid w:val="00C5139C"/>
    <w:rsid w:val="00C515DF"/>
    <w:rsid w:val="00C519AB"/>
    <w:rsid w:val="00C51E56"/>
    <w:rsid w:val="00C5265C"/>
    <w:rsid w:val="00C52E68"/>
    <w:rsid w:val="00C53169"/>
    <w:rsid w:val="00C54792"/>
    <w:rsid w:val="00C5489F"/>
    <w:rsid w:val="00C548EB"/>
    <w:rsid w:val="00C555FC"/>
    <w:rsid w:val="00C55CFE"/>
    <w:rsid w:val="00C5627B"/>
    <w:rsid w:val="00C56594"/>
    <w:rsid w:val="00C56B6B"/>
    <w:rsid w:val="00C56CAC"/>
    <w:rsid w:val="00C57F24"/>
    <w:rsid w:val="00C602B6"/>
    <w:rsid w:val="00C60B1C"/>
    <w:rsid w:val="00C618FD"/>
    <w:rsid w:val="00C61ADB"/>
    <w:rsid w:val="00C6293F"/>
    <w:rsid w:val="00C639CE"/>
    <w:rsid w:val="00C64862"/>
    <w:rsid w:val="00C64CB9"/>
    <w:rsid w:val="00C65A4E"/>
    <w:rsid w:val="00C66101"/>
    <w:rsid w:val="00C66990"/>
    <w:rsid w:val="00C66E8F"/>
    <w:rsid w:val="00C6734B"/>
    <w:rsid w:val="00C6784E"/>
    <w:rsid w:val="00C67DFD"/>
    <w:rsid w:val="00C710FA"/>
    <w:rsid w:val="00C719B4"/>
    <w:rsid w:val="00C71EBE"/>
    <w:rsid w:val="00C72BA7"/>
    <w:rsid w:val="00C7306B"/>
    <w:rsid w:val="00C74AB7"/>
    <w:rsid w:val="00C74C6F"/>
    <w:rsid w:val="00C74D72"/>
    <w:rsid w:val="00C75969"/>
    <w:rsid w:val="00C76A82"/>
    <w:rsid w:val="00C76D8F"/>
    <w:rsid w:val="00C77B25"/>
    <w:rsid w:val="00C8007E"/>
    <w:rsid w:val="00C80222"/>
    <w:rsid w:val="00C802B0"/>
    <w:rsid w:val="00C81099"/>
    <w:rsid w:val="00C81ACC"/>
    <w:rsid w:val="00C81CAF"/>
    <w:rsid w:val="00C81F29"/>
    <w:rsid w:val="00C81F95"/>
    <w:rsid w:val="00C82693"/>
    <w:rsid w:val="00C82840"/>
    <w:rsid w:val="00C82B02"/>
    <w:rsid w:val="00C82BF4"/>
    <w:rsid w:val="00C82C34"/>
    <w:rsid w:val="00C838E4"/>
    <w:rsid w:val="00C83CD6"/>
    <w:rsid w:val="00C83F54"/>
    <w:rsid w:val="00C8452A"/>
    <w:rsid w:val="00C848D2"/>
    <w:rsid w:val="00C84E56"/>
    <w:rsid w:val="00C8520B"/>
    <w:rsid w:val="00C853E0"/>
    <w:rsid w:val="00C855BD"/>
    <w:rsid w:val="00C8576D"/>
    <w:rsid w:val="00C869DA"/>
    <w:rsid w:val="00C86A03"/>
    <w:rsid w:val="00C8743C"/>
    <w:rsid w:val="00C87B5F"/>
    <w:rsid w:val="00C9125B"/>
    <w:rsid w:val="00C91691"/>
    <w:rsid w:val="00C92215"/>
    <w:rsid w:val="00C92371"/>
    <w:rsid w:val="00C925A5"/>
    <w:rsid w:val="00C939DC"/>
    <w:rsid w:val="00C93ABA"/>
    <w:rsid w:val="00C93D0E"/>
    <w:rsid w:val="00C94547"/>
    <w:rsid w:val="00C9467D"/>
    <w:rsid w:val="00C94787"/>
    <w:rsid w:val="00C95668"/>
    <w:rsid w:val="00C95777"/>
    <w:rsid w:val="00C96244"/>
    <w:rsid w:val="00C96F0D"/>
    <w:rsid w:val="00C97B44"/>
    <w:rsid w:val="00C97CA3"/>
    <w:rsid w:val="00C97CCD"/>
    <w:rsid w:val="00C97DE1"/>
    <w:rsid w:val="00CA1256"/>
    <w:rsid w:val="00CA1DFE"/>
    <w:rsid w:val="00CA1EA8"/>
    <w:rsid w:val="00CA26E4"/>
    <w:rsid w:val="00CA27CF"/>
    <w:rsid w:val="00CA2D4A"/>
    <w:rsid w:val="00CA2E3C"/>
    <w:rsid w:val="00CA339B"/>
    <w:rsid w:val="00CA35C2"/>
    <w:rsid w:val="00CA3E5B"/>
    <w:rsid w:val="00CA4658"/>
    <w:rsid w:val="00CA48B4"/>
    <w:rsid w:val="00CA48C0"/>
    <w:rsid w:val="00CA6453"/>
    <w:rsid w:val="00CA6C2B"/>
    <w:rsid w:val="00CA6C93"/>
    <w:rsid w:val="00CA6D05"/>
    <w:rsid w:val="00CA6F99"/>
    <w:rsid w:val="00CA764B"/>
    <w:rsid w:val="00CA79A7"/>
    <w:rsid w:val="00CA7A87"/>
    <w:rsid w:val="00CB070E"/>
    <w:rsid w:val="00CB0EFF"/>
    <w:rsid w:val="00CB117A"/>
    <w:rsid w:val="00CB1390"/>
    <w:rsid w:val="00CB1404"/>
    <w:rsid w:val="00CB1FC0"/>
    <w:rsid w:val="00CB233A"/>
    <w:rsid w:val="00CB24CD"/>
    <w:rsid w:val="00CB26E6"/>
    <w:rsid w:val="00CB278C"/>
    <w:rsid w:val="00CB2AAE"/>
    <w:rsid w:val="00CB35C4"/>
    <w:rsid w:val="00CB37B5"/>
    <w:rsid w:val="00CB4251"/>
    <w:rsid w:val="00CB56E0"/>
    <w:rsid w:val="00CB58EF"/>
    <w:rsid w:val="00CB5B1A"/>
    <w:rsid w:val="00CB5BD3"/>
    <w:rsid w:val="00CB6595"/>
    <w:rsid w:val="00CB6835"/>
    <w:rsid w:val="00CB6A61"/>
    <w:rsid w:val="00CB72FB"/>
    <w:rsid w:val="00CB77A5"/>
    <w:rsid w:val="00CC04CF"/>
    <w:rsid w:val="00CC1550"/>
    <w:rsid w:val="00CC206A"/>
    <w:rsid w:val="00CC2174"/>
    <w:rsid w:val="00CC29A6"/>
    <w:rsid w:val="00CC2B0D"/>
    <w:rsid w:val="00CC37F8"/>
    <w:rsid w:val="00CC3CE4"/>
    <w:rsid w:val="00CC3D9C"/>
    <w:rsid w:val="00CC422F"/>
    <w:rsid w:val="00CC4699"/>
    <w:rsid w:val="00CC46D9"/>
    <w:rsid w:val="00CC48C9"/>
    <w:rsid w:val="00CC64C9"/>
    <w:rsid w:val="00CD030B"/>
    <w:rsid w:val="00CD17AF"/>
    <w:rsid w:val="00CD1B10"/>
    <w:rsid w:val="00CD33A6"/>
    <w:rsid w:val="00CD365F"/>
    <w:rsid w:val="00CD3BF5"/>
    <w:rsid w:val="00CD3D91"/>
    <w:rsid w:val="00CD495C"/>
    <w:rsid w:val="00CD5250"/>
    <w:rsid w:val="00CD5667"/>
    <w:rsid w:val="00CD5A07"/>
    <w:rsid w:val="00CD5A64"/>
    <w:rsid w:val="00CD5B84"/>
    <w:rsid w:val="00CD71CE"/>
    <w:rsid w:val="00CD728C"/>
    <w:rsid w:val="00CE0173"/>
    <w:rsid w:val="00CE05F8"/>
    <w:rsid w:val="00CE0734"/>
    <w:rsid w:val="00CE07D4"/>
    <w:rsid w:val="00CE097D"/>
    <w:rsid w:val="00CE0D5B"/>
    <w:rsid w:val="00CE1176"/>
    <w:rsid w:val="00CE1660"/>
    <w:rsid w:val="00CE18B1"/>
    <w:rsid w:val="00CE1CE2"/>
    <w:rsid w:val="00CE2833"/>
    <w:rsid w:val="00CE2AA1"/>
    <w:rsid w:val="00CE37A3"/>
    <w:rsid w:val="00CE3CDB"/>
    <w:rsid w:val="00CE3FAC"/>
    <w:rsid w:val="00CE422B"/>
    <w:rsid w:val="00CE44DB"/>
    <w:rsid w:val="00CE472E"/>
    <w:rsid w:val="00CE5D08"/>
    <w:rsid w:val="00CE69F7"/>
    <w:rsid w:val="00CE6BA3"/>
    <w:rsid w:val="00CE6CCD"/>
    <w:rsid w:val="00CE78B8"/>
    <w:rsid w:val="00CE7BB2"/>
    <w:rsid w:val="00CF09CD"/>
    <w:rsid w:val="00CF0C56"/>
    <w:rsid w:val="00CF107F"/>
    <w:rsid w:val="00CF14A3"/>
    <w:rsid w:val="00CF17E2"/>
    <w:rsid w:val="00CF1BD4"/>
    <w:rsid w:val="00CF1D19"/>
    <w:rsid w:val="00CF3D7A"/>
    <w:rsid w:val="00CF4B58"/>
    <w:rsid w:val="00CF4E56"/>
    <w:rsid w:val="00CF62BD"/>
    <w:rsid w:val="00CF78E6"/>
    <w:rsid w:val="00CF7B45"/>
    <w:rsid w:val="00D00729"/>
    <w:rsid w:val="00D00752"/>
    <w:rsid w:val="00D009F8"/>
    <w:rsid w:val="00D019D0"/>
    <w:rsid w:val="00D01D7F"/>
    <w:rsid w:val="00D031AC"/>
    <w:rsid w:val="00D03587"/>
    <w:rsid w:val="00D04339"/>
    <w:rsid w:val="00D04700"/>
    <w:rsid w:val="00D04D20"/>
    <w:rsid w:val="00D050D6"/>
    <w:rsid w:val="00D0523B"/>
    <w:rsid w:val="00D06021"/>
    <w:rsid w:val="00D06FD2"/>
    <w:rsid w:val="00D076CA"/>
    <w:rsid w:val="00D078B6"/>
    <w:rsid w:val="00D07D77"/>
    <w:rsid w:val="00D1008D"/>
    <w:rsid w:val="00D1038F"/>
    <w:rsid w:val="00D11134"/>
    <w:rsid w:val="00D118F6"/>
    <w:rsid w:val="00D1202A"/>
    <w:rsid w:val="00D12066"/>
    <w:rsid w:val="00D123C3"/>
    <w:rsid w:val="00D139BF"/>
    <w:rsid w:val="00D13D26"/>
    <w:rsid w:val="00D1455D"/>
    <w:rsid w:val="00D16277"/>
    <w:rsid w:val="00D16F4D"/>
    <w:rsid w:val="00D1717E"/>
    <w:rsid w:val="00D1794E"/>
    <w:rsid w:val="00D2032A"/>
    <w:rsid w:val="00D20702"/>
    <w:rsid w:val="00D207A9"/>
    <w:rsid w:val="00D20E55"/>
    <w:rsid w:val="00D21446"/>
    <w:rsid w:val="00D23317"/>
    <w:rsid w:val="00D23D4A"/>
    <w:rsid w:val="00D23D57"/>
    <w:rsid w:val="00D24092"/>
    <w:rsid w:val="00D26010"/>
    <w:rsid w:val="00D2655E"/>
    <w:rsid w:val="00D26C31"/>
    <w:rsid w:val="00D26EE6"/>
    <w:rsid w:val="00D26F13"/>
    <w:rsid w:val="00D27CA2"/>
    <w:rsid w:val="00D31282"/>
    <w:rsid w:val="00D320F3"/>
    <w:rsid w:val="00D32446"/>
    <w:rsid w:val="00D328FF"/>
    <w:rsid w:val="00D331F5"/>
    <w:rsid w:val="00D33818"/>
    <w:rsid w:val="00D3471B"/>
    <w:rsid w:val="00D348D7"/>
    <w:rsid w:val="00D36805"/>
    <w:rsid w:val="00D36DE0"/>
    <w:rsid w:val="00D406D6"/>
    <w:rsid w:val="00D40DCB"/>
    <w:rsid w:val="00D40F07"/>
    <w:rsid w:val="00D40FC3"/>
    <w:rsid w:val="00D41B22"/>
    <w:rsid w:val="00D41D57"/>
    <w:rsid w:val="00D42B03"/>
    <w:rsid w:val="00D42B4F"/>
    <w:rsid w:val="00D42F56"/>
    <w:rsid w:val="00D4347D"/>
    <w:rsid w:val="00D43B35"/>
    <w:rsid w:val="00D43E2D"/>
    <w:rsid w:val="00D4579D"/>
    <w:rsid w:val="00D47887"/>
    <w:rsid w:val="00D47DCC"/>
    <w:rsid w:val="00D503BE"/>
    <w:rsid w:val="00D504D7"/>
    <w:rsid w:val="00D50F74"/>
    <w:rsid w:val="00D50F88"/>
    <w:rsid w:val="00D50FE2"/>
    <w:rsid w:val="00D512C1"/>
    <w:rsid w:val="00D51424"/>
    <w:rsid w:val="00D516C9"/>
    <w:rsid w:val="00D519FC"/>
    <w:rsid w:val="00D52568"/>
    <w:rsid w:val="00D529A4"/>
    <w:rsid w:val="00D52E7D"/>
    <w:rsid w:val="00D53997"/>
    <w:rsid w:val="00D53A65"/>
    <w:rsid w:val="00D54A0A"/>
    <w:rsid w:val="00D54A74"/>
    <w:rsid w:val="00D54F78"/>
    <w:rsid w:val="00D55024"/>
    <w:rsid w:val="00D55E66"/>
    <w:rsid w:val="00D56200"/>
    <w:rsid w:val="00D563F8"/>
    <w:rsid w:val="00D56BF2"/>
    <w:rsid w:val="00D6005F"/>
    <w:rsid w:val="00D60E7B"/>
    <w:rsid w:val="00D61156"/>
    <w:rsid w:val="00D61C84"/>
    <w:rsid w:val="00D61EB4"/>
    <w:rsid w:val="00D61F78"/>
    <w:rsid w:val="00D62574"/>
    <w:rsid w:val="00D63322"/>
    <w:rsid w:val="00D63448"/>
    <w:rsid w:val="00D6365C"/>
    <w:rsid w:val="00D638CC"/>
    <w:rsid w:val="00D64B3B"/>
    <w:rsid w:val="00D64E5D"/>
    <w:rsid w:val="00D65A22"/>
    <w:rsid w:val="00D66986"/>
    <w:rsid w:val="00D66A78"/>
    <w:rsid w:val="00D677F0"/>
    <w:rsid w:val="00D67DD6"/>
    <w:rsid w:val="00D711A2"/>
    <w:rsid w:val="00D71273"/>
    <w:rsid w:val="00D7149A"/>
    <w:rsid w:val="00D714BB"/>
    <w:rsid w:val="00D7156F"/>
    <w:rsid w:val="00D71AFA"/>
    <w:rsid w:val="00D71B86"/>
    <w:rsid w:val="00D71BB0"/>
    <w:rsid w:val="00D71BC2"/>
    <w:rsid w:val="00D71C1A"/>
    <w:rsid w:val="00D728AB"/>
    <w:rsid w:val="00D7322C"/>
    <w:rsid w:val="00D737F1"/>
    <w:rsid w:val="00D7393C"/>
    <w:rsid w:val="00D744A3"/>
    <w:rsid w:val="00D752CB"/>
    <w:rsid w:val="00D755A8"/>
    <w:rsid w:val="00D75753"/>
    <w:rsid w:val="00D759AA"/>
    <w:rsid w:val="00D76696"/>
    <w:rsid w:val="00D766C7"/>
    <w:rsid w:val="00D76B48"/>
    <w:rsid w:val="00D76FA7"/>
    <w:rsid w:val="00D77123"/>
    <w:rsid w:val="00D777FC"/>
    <w:rsid w:val="00D77BAF"/>
    <w:rsid w:val="00D77D76"/>
    <w:rsid w:val="00D8015A"/>
    <w:rsid w:val="00D803CD"/>
    <w:rsid w:val="00D80845"/>
    <w:rsid w:val="00D80C49"/>
    <w:rsid w:val="00D80F4E"/>
    <w:rsid w:val="00D8297D"/>
    <w:rsid w:val="00D831F9"/>
    <w:rsid w:val="00D836BD"/>
    <w:rsid w:val="00D83E37"/>
    <w:rsid w:val="00D84610"/>
    <w:rsid w:val="00D84CA8"/>
    <w:rsid w:val="00D862E5"/>
    <w:rsid w:val="00D86546"/>
    <w:rsid w:val="00D8693D"/>
    <w:rsid w:val="00D90305"/>
    <w:rsid w:val="00D906B3"/>
    <w:rsid w:val="00D911B1"/>
    <w:rsid w:val="00D916C1"/>
    <w:rsid w:val="00D91807"/>
    <w:rsid w:val="00D918FF"/>
    <w:rsid w:val="00D919C3"/>
    <w:rsid w:val="00D91B11"/>
    <w:rsid w:val="00D91FE5"/>
    <w:rsid w:val="00D92220"/>
    <w:rsid w:val="00D925F3"/>
    <w:rsid w:val="00D9284F"/>
    <w:rsid w:val="00D92BA2"/>
    <w:rsid w:val="00D92FDC"/>
    <w:rsid w:val="00D93909"/>
    <w:rsid w:val="00D93E2C"/>
    <w:rsid w:val="00D9400A"/>
    <w:rsid w:val="00D946CC"/>
    <w:rsid w:val="00D9483D"/>
    <w:rsid w:val="00D95408"/>
    <w:rsid w:val="00D965A6"/>
    <w:rsid w:val="00D96914"/>
    <w:rsid w:val="00D971AB"/>
    <w:rsid w:val="00D97DA5"/>
    <w:rsid w:val="00DA194D"/>
    <w:rsid w:val="00DA2673"/>
    <w:rsid w:val="00DA3E32"/>
    <w:rsid w:val="00DA3E95"/>
    <w:rsid w:val="00DA40DB"/>
    <w:rsid w:val="00DA4189"/>
    <w:rsid w:val="00DA444C"/>
    <w:rsid w:val="00DA5F4E"/>
    <w:rsid w:val="00DA620A"/>
    <w:rsid w:val="00DA678C"/>
    <w:rsid w:val="00DA6ABC"/>
    <w:rsid w:val="00DA6B09"/>
    <w:rsid w:val="00DA6DA2"/>
    <w:rsid w:val="00DA6F89"/>
    <w:rsid w:val="00DA758C"/>
    <w:rsid w:val="00DA75DF"/>
    <w:rsid w:val="00DA780F"/>
    <w:rsid w:val="00DA7C5F"/>
    <w:rsid w:val="00DB017D"/>
    <w:rsid w:val="00DB0290"/>
    <w:rsid w:val="00DB09F6"/>
    <w:rsid w:val="00DB1872"/>
    <w:rsid w:val="00DB189B"/>
    <w:rsid w:val="00DB200F"/>
    <w:rsid w:val="00DB2222"/>
    <w:rsid w:val="00DB3468"/>
    <w:rsid w:val="00DB4533"/>
    <w:rsid w:val="00DB474B"/>
    <w:rsid w:val="00DB482D"/>
    <w:rsid w:val="00DB4C34"/>
    <w:rsid w:val="00DB5087"/>
    <w:rsid w:val="00DB5636"/>
    <w:rsid w:val="00DB5938"/>
    <w:rsid w:val="00DB5B1F"/>
    <w:rsid w:val="00DB654D"/>
    <w:rsid w:val="00DB6745"/>
    <w:rsid w:val="00DB6C5A"/>
    <w:rsid w:val="00DB79EE"/>
    <w:rsid w:val="00DB7E2C"/>
    <w:rsid w:val="00DC01CC"/>
    <w:rsid w:val="00DC0744"/>
    <w:rsid w:val="00DC0D35"/>
    <w:rsid w:val="00DC1125"/>
    <w:rsid w:val="00DC112E"/>
    <w:rsid w:val="00DC16DB"/>
    <w:rsid w:val="00DC1E09"/>
    <w:rsid w:val="00DC1FFA"/>
    <w:rsid w:val="00DC2037"/>
    <w:rsid w:val="00DC23CB"/>
    <w:rsid w:val="00DC2763"/>
    <w:rsid w:val="00DC2F37"/>
    <w:rsid w:val="00DC351A"/>
    <w:rsid w:val="00DC36D9"/>
    <w:rsid w:val="00DC48DC"/>
    <w:rsid w:val="00DC4B88"/>
    <w:rsid w:val="00DC556A"/>
    <w:rsid w:val="00DC5B57"/>
    <w:rsid w:val="00DC5C6D"/>
    <w:rsid w:val="00DC6B32"/>
    <w:rsid w:val="00DC7136"/>
    <w:rsid w:val="00DC7324"/>
    <w:rsid w:val="00DC756C"/>
    <w:rsid w:val="00DC76D4"/>
    <w:rsid w:val="00DD07AE"/>
    <w:rsid w:val="00DD1131"/>
    <w:rsid w:val="00DD1A25"/>
    <w:rsid w:val="00DD1F12"/>
    <w:rsid w:val="00DD21AF"/>
    <w:rsid w:val="00DD21BC"/>
    <w:rsid w:val="00DD2311"/>
    <w:rsid w:val="00DD3583"/>
    <w:rsid w:val="00DD4223"/>
    <w:rsid w:val="00DD48FC"/>
    <w:rsid w:val="00DD4DEB"/>
    <w:rsid w:val="00DD4EF0"/>
    <w:rsid w:val="00DD672E"/>
    <w:rsid w:val="00DD6A81"/>
    <w:rsid w:val="00DD6E61"/>
    <w:rsid w:val="00DD6F6B"/>
    <w:rsid w:val="00DE006E"/>
    <w:rsid w:val="00DE13FB"/>
    <w:rsid w:val="00DE14A4"/>
    <w:rsid w:val="00DE16B2"/>
    <w:rsid w:val="00DE19C3"/>
    <w:rsid w:val="00DE1C9D"/>
    <w:rsid w:val="00DE2540"/>
    <w:rsid w:val="00DE2AD6"/>
    <w:rsid w:val="00DE2D22"/>
    <w:rsid w:val="00DE3798"/>
    <w:rsid w:val="00DE3E7B"/>
    <w:rsid w:val="00DE4CBA"/>
    <w:rsid w:val="00DE5185"/>
    <w:rsid w:val="00DE553F"/>
    <w:rsid w:val="00DE67B5"/>
    <w:rsid w:val="00DE710C"/>
    <w:rsid w:val="00DE747E"/>
    <w:rsid w:val="00DF0CB5"/>
    <w:rsid w:val="00DF0ED5"/>
    <w:rsid w:val="00DF1210"/>
    <w:rsid w:val="00DF124E"/>
    <w:rsid w:val="00DF360A"/>
    <w:rsid w:val="00DF37D0"/>
    <w:rsid w:val="00DF3B35"/>
    <w:rsid w:val="00DF5DF9"/>
    <w:rsid w:val="00DF5F9E"/>
    <w:rsid w:val="00DF67B0"/>
    <w:rsid w:val="00DF68BA"/>
    <w:rsid w:val="00DF68E6"/>
    <w:rsid w:val="00DF70FD"/>
    <w:rsid w:val="00DF778E"/>
    <w:rsid w:val="00E00245"/>
    <w:rsid w:val="00E00554"/>
    <w:rsid w:val="00E00568"/>
    <w:rsid w:val="00E014E2"/>
    <w:rsid w:val="00E01725"/>
    <w:rsid w:val="00E0187F"/>
    <w:rsid w:val="00E01B8F"/>
    <w:rsid w:val="00E01D01"/>
    <w:rsid w:val="00E01E24"/>
    <w:rsid w:val="00E03488"/>
    <w:rsid w:val="00E04B96"/>
    <w:rsid w:val="00E05605"/>
    <w:rsid w:val="00E058CF"/>
    <w:rsid w:val="00E059BA"/>
    <w:rsid w:val="00E06AFD"/>
    <w:rsid w:val="00E07547"/>
    <w:rsid w:val="00E10476"/>
    <w:rsid w:val="00E10CD1"/>
    <w:rsid w:val="00E113BF"/>
    <w:rsid w:val="00E11C6D"/>
    <w:rsid w:val="00E12253"/>
    <w:rsid w:val="00E12DCB"/>
    <w:rsid w:val="00E13017"/>
    <w:rsid w:val="00E14004"/>
    <w:rsid w:val="00E1447E"/>
    <w:rsid w:val="00E148B9"/>
    <w:rsid w:val="00E14926"/>
    <w:rsid w:val="00E14A23"/>
    <w:rsid w:val="00E15982"/>
    <w:rsid w:val="00E15A20"/>
    <w:rsid w:val="00E15F0B"/>
    <w:rsid w:val="00E16055"/>
    <w:rsid w:val="00E175FD"/>
    <w:rsid w:val="00E179AC"/>
    <w:rsid w:val="00E17D4E"/>
    <w:rsid w:val="00E17F48"/>
    <w:rsid w:val="00E2065B"/>
    <w:rsid w:val="00E207FA"/>
    <w:rsid w:val="00E213F0"/>
    <w:rsid w:val="00E21479"/>
    <w:rsid w:val="00E22727"/>
    <w:rsid w:val="00E22C71"/>
    <w:rsid w:val="00E22D61"/>
    <w:rsid w:val="00E23CBE"/>
    <w:rsid w:val="00E2485D"/>
    <w:rsid w:val="00E24921"/>
    <w:rsid w:val="00E249EC"/>
    <w:rsid w:val="00E250F5"/>
    <w:rsid w:val="00E25E87"/>
    <w:rsid w:val="00E2635C"/>
    <w:rsid w:val="00E26856"/>
    <w:rsid w:val="00E26D5D"/>
    <w:rsid w:val="00E274DD"/>
    <w:rsid w:val="00E276BE"/>
    <w:rsid w:val="00E27833"/>
    <w:rsid w:val="00E304F9"/>
    <w:rsid w:val="00E30B3D"/>
    <w:rsid w:val="00E32412"/>
    <w:rsid w:val="00E32A28"/>
    <w:rsid w:val="00E3385C"/>
    <w:rsid w:val="00E33BE8"/>
    <w:rsid w:val="00E34044"/>
    <w:rsid w:val="00E342CE"/>
    <w:rsid w:val="00E34306"/>
    <w:rsid w:val="00E343A0"/>
    <w:rsid w:val="00E354A9"/>
    <w:rsid w:val="00E36898"/>
    <w:rsid w:val="00E36D8F"/>
    <w:rsid w:val="00E36F6F"/>
    <w:rsid w:val="00E402F5"/>
    <w:rsid w:val="00E41505"/>
    <w:rsid w:val="00E41D85"/>
    <w:rsid w:val="00E42106"/>
    <w:rsid w:val="00E4211B"/>
    <w:rsid w:val="00E423CA"/>
    <w:rsid w:val="00E42567"/>
    <w:rsid w:val="00E425F9"/>
    <w:rsid w:val="00E42629"/>
    <w:rsid w:val="00E427D0"/>
    <w:rsid w:val="00E43DBD"/>
    <w:rsid w:val="00E43FDB"/>
    <w:rsid w:val="00E441C1"/>
    <w:rsid w:val="00E44590"/>
    <w:rsid w:val="00E445CA"/>
    <w:rsid w:val="00E446D8"/>
    <w:rsid w:val="00E45E39"/>
    <w:rsid w:val="00E4617D"/>
    <w:rsid w:val="00E462E1"/>
    <w:rsid w:val="00E46840"/>
    <w:rsid w:val="00E46930"/>
    <w:rsid w:val="00E46A50"/>
    <w:rsid w:val="00E46B0E"/>
    <w:rsid w:val="00E46F27"/>
    <w:rsid w:val="00E471EE"/>
    <w:rsid w:val="00E479D1"/>
    <w:rsid w:val="00E50226"/>
    <w:rsid w:val="00E50548"/>
    <w:rsid w:val="00E50DF0"/>
    <w:rsid w:val="00E513ED"/>
    <w:rsid w:val="00E52109"/>
    <w:rsid w:val="00E53A13"/>
    <w:rsid w:val="00E53C73"/>
    <w:rsid w:val="00E53D7F"/>
    <w:rsid w:val="00E53F29"/>
    <w:rsid w:val="00E5407A"/>
    <w:rsid w:val="00E546D0"/>
    <w:rsid w:val="00E54DAF"/>
    <w:rsid w:val="00E550D4"/>
    <w:rsid w:val="00E55F09"/>
    <w:rsid w:val="00E56227"/>
    <w:rsid w:val="00E564A7"/>
    <w:rsid w:val="00E56C53"/>
    <w:rsid w:val="00E56E1A"/>
    <w:rsid w:val="00E5743D"/>
    <w:rsid w:val="00E57B74"/>
    <w:rsid w:val="00E60C62"/>
    <w:rsid w:val="00E60DDD"/>
    <w:rsid w:val="00E617BD"/>
    <w:rsid w:val="00E62788"/>
    <w:rsid w:val="00E62A38"/>
    <w:rsid w:val="00E639A0"/>
    <w:rsid w:val="00E643A6"/>
    <w:rsid w:val="00E64EE1"/>
    <w:rsid w:val="00E6511F"/>
    <w:rsid w:val="00E66280"/>
    <w:rsid w:val="00E66BDD"/>
    <w:rsid w:val="00E670FF"/>
    <w:rsid w:val="00E672A9"/>
    <w:rsid w:val="00E675D5"/>
    <w:rsid w:val="00E67C33"/>
    <w:rsid w:val="00E67C5F"/>
    <w:rsid w:val="00E70904"/>
    <w:rsid w:val="00E70CDF"/>
    <w:rsid w:val="00E70E78"/>
    <w:rsid w:val="00E71277"/>
    <w:rsid w:val="00E71282"/>
    <w:rsid w:val="00E71445"/>
    <w:rsid w:val="00E714C0"/>
    <w:rsid w:val="00E7176A"/>
    <w:rsid w:val="00E71BF3"/>
    <w:rsid w:val="00E71D38"/>
    <w:rsid w:val="00E729DC"/>
    <w:rsid w:val="00E72AB8"/>
    <w:rsid w:val="00E72C21"/>
    <w:rsid w:val="00E739BD"/>
    <w:rsid w:val="00E73EE1"/>
    <w:rsid w:val="00E7426D"/>
    <w:rsid w:val="00E743E5"/>
    <w:rsid w:val="00E747C0"/>
    <w:rsid w:val="00E749E1"/>
    <w:rsid w:val="00E74A19"/>
    <w:rsid w:val="00E74A64"/>
    <w:rsid w:val="00E74B8E"/>
    <w:rsid w:val="00E75377"/>
    <w:rsid w:val="00E75B67"/>
    <w:rsid w:val="00E76572"/>
    <w:rsid w:val="00E76798"/>
    <w:rsid w:val="00E76C24"/>
    <w:rsid w:val="00E76F7E"/>
    <w:rsid w:val="00E779B7"/>
    <w:rsid w:val="00E77C63"/>
    <w:rsid w:val="00E80118"/>
    <w:rsid w:val="00E803E4"/>
    <w:rsid w:val="00E813B6"/>
    <w:rsid w:val="00E81CB1"/>
    <w:rsid w:val="00E8214B"/>
    <w:rsid w:val="00E82892"/>
    <w:rsid w:val="00E82983"/>
    <w:rsid w:val="00E835DA"/>
    <w:rsid w:val="00E83805"/>
    <w:rsid w:val="00E83CAA"/>
    <w:rsid w:val="00E842B4"/>
    <w:rsid w:val="00E84CDB"/>
    <w:rsid w:val="00E84D51"/>
    <w:rsid w:val="00E868E3"/>
    <w:rsid w:val="00E86FD0"/>
    <w:rsid w:val="00E877AA"/>
    <w:rsid w:val="00E87E8A"/>
    <w:rsid w:val="00E90A45"/>
    <w:rsid w:val="00E9188F"/>
    <w:rsid w:val="00E919FC"/>
    <w:rsid w:val="00E9248C"/>
    <w:rsid w:val="00E93B4A"/>
    <w:rsid w:val="00E93DEB"/>
    <w:rsid w:val="00E94188"/>
    <w:rsid w:val="00E948DF"/>
    <w:rsid w:val="00E94BF6"/>
    <w:rsid w:val="00E952BF"/>
    <w:rsid w:val="00E952EC"/>
    <w:rsid w:val="00E95B04"/>
    <w:rsid w:val="00E95F3B"/>
    <w:rsid w:val="00E95FF5"/>
    <w:rsid w:val="00E96EA2"/>
    <w:rsid w:val="00E970F0"/>
    <w:rsid w:val="00E97319"/>
    <w:rsid w:val="00E97320"/>
    <w:rsid w:val="00E973E0"/>
    <w:rsid w:val="00E97898"/>
    <w:rsid w:val="00E97F0F"/>
    <w:rsid w:val="00E97F4A"/>
    <w:rsid w:val="00EA1189"/>
    <w:rsid w:val="00EA16AF"/>
    <w:rsid w:val="00EA18B2"/>
    <w:rsid w:val="00EA1BC1"/>
    <w:rsid w:val="00EA3474"/>
    <w:rsid w:val="00EA3BEC"/>
    <w:rsid w:val="00EA4007"/>
    <w:rsid w:val="00EA412C"/>
    <w:rsid w:val="00EA4322"/>
    <w:rsid w:val="00EA46FD"/>
    <w:rsid w:val="00EA49FC"/>
    <w:rsid w:val="00EA4F93"/>
    <w:rsid w:val="00EA514E"/>
    <w:rsid w:val="00EA5829"/>
    <w:rsid w:val="00EA58C0"/>
    <w:rsid w:val="00EA5FCF"/>
    <w:rsid w:val="00EA61A8"/>
    <w:rsid w:val="00EA6221"/>
    <w:rsid w:val="00EA69C0"/>
    <w:rsid w:val="00EA6CF5"/>
    <w:rsid w:val="00EA7959"/>
    <w:rsid w:val="00EB0584"/>
    <w:rsid w:val="00EB103F"/>
    <w:rsid w:val="00EB1479"/>
    <w:rsid w:val="00EB2B03"/>
    <w:rsid w:val="00EB3036"/>
    <w:rsid w:val="00EB32AF"/>
    <w:rsid w:val="00EB32B6"/>
    <w:rsid w:val="00EB368B"/>
    <w:rsid w:val="00EB3A47"/>
    <w:rsid w:val="00EB4604"/>
    <w:rsid w:val="00EB48DE"/>
    <w:rsid w:val="00EB536E"/>
    <w:rsid w:val="00EB5436"/>
    <w:rsid w:val="00EB5485"/>
    <w:rsid w:val="00EB553D"/>
    <w:rsid w:val="00EB5583"/>
    <w:rsid w:val="00EB6C81"/>
    <w:rsid w:val="00EB6F34"/>
    <w:rsid w:val="00EB7CFA"/>
    <w:rsid w:val="00EB7E63"/>
    <w:rsid w:val="00EC014E"/>
    <w:rsid w:val="00EC0334"/>
    <w:rsid w:val="00EC05D0"/>
    <w:rsid w:val="00EC0CDC"/>
    <w:rsid w:val="00EC11AC"/>
    <w:rsid w:val="00EC166F"/>
    <w:rsid w:val="00EC1CED"/>
    <w:rsid w:val="00EC29EE"/>
    <w:rsid w:val="00EC2ABA"/>
    <w:rsid w:val="00EC31C4"/>
    <w:rsid w:val="00EC3F5D"/>
    <w:rsid w:val="00EC443B"/>
    <w:rsid w:val="00EC44E8"/>
    <w:rsid w:val="00EC4884"/>
    <w:rsid w:val="00EC528B"/>
    <w:rsid w:val="00EC5D15"/>
    <w:rsid w:val="00EC5EAB"/>
    <w:rsid w:val="00EC5F83"/>
    <w:rsid w:val="00EC6884"/>
    <w:rsid w:val="00EC6B42"/>
    <w:rsid w:val="00EC6EAF"/>
    <w:rsid w:val="00EC7004"/>
    <w:rsid w:val="00EC712B"/>
    <w:rsid w:val="00EC740E"/>
    <w:rsid w:val="00EC764F"/>
    <w:rsid w:val="00EC7A96"/>
    <w:rsid w:val="00EC7B61"/>
    <w:rsid w:val="00EC7BFF"/>
    <w:rsid w:val="00ED0053"/>
    <w:rsid w:val="00ED11C1"/>
    <w:rsid w:val="00ED1EF8"/>
    <w:rsid w:val="00ED2691"/>
    <w:rsid w:val="00ED2A7A"/>
    <w:rsid w:val="00ED2BAC"/>
    <w:rsid w:val="00ED2C9C"/>
    <w:rsid w:val="00ED2E18"/>
    <w:rsid w:val="00ED4908"/>
    <w:rsid w:val="00ED55AE"/>
    <w:rsid w:val="00ED5896"/>
    <w:rsid w:val="00ED5D8D"/>
    <w:rsid w:val="00ED6D99"/>
    <w:rsid w:val="00ED7C5B"/>
    <w:rsid w:val="00EE06C1"/>
    <w:rsid w:val="00EE1F6E"/>
    <w:rsid w:val="00EE1F70"/>
    <w:rsid w:val="00EE1FD6"/>
    <w:rsid w:val="00EE20D1"/>
    <w:rsid w:val="00EE2543"/>
    <w:rsid w:val="00EE272E"/>
    <w:rsid w:val="00EE2CC0"/>
    <w:rsid w:val="00EE38BF"/>
    <w:rsid w:val="00EE47C9"/>
    <w:rsid w:val="00EE55F1"/>
    <w:rsid w:val="00EE5DC1"/>
    <w:rsid w:val="00EE60E8"/>
    <w:rsid w:val="00EE65C7"/>
    <w:rsid w:val="00EE675E"/>
    <w:rsid w:val="00EE6B4E"/>
    <w:rsid w:val="00EE6D88"/>
    <w:rsid w:val="00EE75F9"/>
    <w:rsid w:val="00EE7E3C"/>
    <w:rsid w:val="00EF020E"/>
    <w:rsid w:val="00EF081F"/>
    <w:rsid w:val="00EF095B"/>
    <w:rsid w:val="00EF15EA"/>
    <w:rsid w:val="00EF19F1"/>
    <w:rsid w:val="00EF213D"/>
    <w:rsid w:val="00EF2620"/>
    <w:rsid w:val="00EF2CDD"/>
    <w:rsid w:val="00EF2E45"/>
    <w:rsid w:val="00EF3059"/>
    <w:rsid w:val="00EF4725"/>
    <w:rsid w:val="00EF4C4F"/>
    <w:rsid w:val="00EF4DB3"/>
    <w:rsid w:val="00EF567C"/>
    <w:rsid w:val="00EF5A20"/>
    <w:rsid w:val="00EF5CCE"/>
    <w:rsid w:val="00EF609A"/>
    <w:rsid w:val="00EF6141"/>
    <w:rsid w:val="00EF7711"/>
    <w:rsid w:val="00EF77C7"/>
    <w:rsid w:val="00EF7D4C"/>
    <w:rsid w:val="00F002EE"/>
    <w:rsid w:val="00F004B5"/>
    <w:rsid w:val="00F00549"/>
    <w:rsid w:val="00F00613"/>
    <w:rsid w:val="00F00985"/>
    <w:rsid w:val="00F01028"/>
    <w:rsid w:val="00F010DB"/>
    <w:rsid w:val="00F015EA"/>
    <w:rsid w:val="00F02217"/>
    <w:rsid w:val="00F0322C"/>
    <w:rsid w:val="00F03D18"/>
    <w:rsid w:val="00F03E4C"/>
    <w:rsid w:val="00F03FF9"/>
    <w:rsid w:val="00F0407D"/>
    <w:rsid w:val="00F05634"/>
    <w:rsid w:val="00F06F22"/>
    <w:rsid w:val="00F07D9C"/>
    <w:rsid w:val="00F107F1"/>
    <w:rsid w:val="00F10CE2"/>
    <w:rsid w:val="00F11CAE"/>
    <w:rsid w:val="00F11ED0"/>
    <w:rsid w:val="00F12772"/>
    <w:rsid w:val="00F131B4"/>
    <w:rsid w:val="00F149F1"/>
    <w:rsid w:val="00F14BD3"/>
    <w:rsid w:val="00F15052"/>
    <w:rsid w:val="00F151E9"/>
    <w:rsid w:val="00F15457"/>
    <w:rsid w:val="00F1577D"/>
    <w:rsid w:val="00F15B49"/>
    <w:rsid w:val="00F166A0"/>
    <w:rsid w:val="00F16E2C"/>
    <w:rsid w:val="00F16F5E"/>
    <w:rsid w:val="00F17144"/>
    <w:rsid w:val="00F20AAF"/>
    <w:rsid w:val="00F20FDC"/>
    <w:rsid w:val="00F21AC1"/>
    <w:rsid w:val="00F225B0"/>
    <w:rsid w:val="00F2267C"/>
    <w:rsid w:val="00F22F0D"/>
    <w:rsid w:val="00F232F4"/>
    <w:rsid w:val="00F23517"/>
    <w:rsid w:val="00F23963"/>
    <w:rsid w:val="00F2524D"/>
    <w:rsid w:val="00F25E66"/>
    <w:rsid w:val="00F26949"/>
    <w:rsid w:val="00F2784C"/>
    <w:rsid w:val="00F306D3"/>
    <w:rsid w:val="00F30899"/>
    <w:rsid w:val="00F31FA7"/>
    <w:rsid w:val="00F321B9"/>
    <w:rsid w:val="00F32AF8"/>
    <w:rsid w:val="00F32B85"/>
    <w:rsid w:val="00F32FB7"/>
    <w:rsid w:val="00F335B2"/>
    <w:rsid w:val="00F34178"/>
    <w:rsid w:val="00F3468E"/>
    <w:rsid w:val="00F357CB"/>
    <w:rsid w:val="00F35FBA"/>
    <w:rsid w:val="00F361AB"/>
    <w:rsid w:val="00F36242"/>
    <w:rsid w:val="00F37356"/>
    <w:rsid w:val="00F37370"/>
    <w:rsid w:val="00F37EC7"/>
    <w:rsid w:val="00F40FD2"/>
    <w:rsid w:val="00F411F9"/>
    <w:rsid w:val="00F41889"/>
    <w:rsid w:val="00F41BB7"/>
    <w:rsid w:val="00F41E59"/>
    <w:rsid w:val="00F44050"/>
    <w:rsid w:val="00F44E0F"/>
    <w:rsid w:val="00F45440"/>
    <w:rsid w:val="00F45600"/>
    <w:rsid w:val="00F465BB"/>
    <w:rsid w:val="00F46D06"/>
    <w:rsid w:val="00F46F9E"/>
    <w:rsid w:val="00F471B3"/>
    <w:rsid w:val="00F47B25"/>
    <w:rsid w:val="00F50813"/>
    <w:rsid w:val="00F50A72"/>
    <w:rsid w:val="00F50D74"/>
    <w:rsid w:val="00F524F3"/>
    <w:rsid w:val="00F528D2"/>
    <w:rsid w:val="00F53123"/>
    <w:rsid w:val="00F5313C"/>
    <w:rsid w:val="00F535BB"/>
    <w:rsid w:val="00F53C5F"/>
    <w:rsid w:val="00F53D70"/>
    <w:rsid w:val="00F543C1"/>
    <w:rsid w:val="00F54A81"/>
    <w:rsid w:val="00F54B2D"/>
    <w:rsid w:val="00F54D30"/>
    <w:rsid w:val="00F5501F"/>
    <w:rsid w:val="00F552B2"/>
    <w:rsid w:val="00F55C7B"/>
    <w:rsid w:val="00F56092"/>
    <w:rsid w:val="00F568A8"/>
    <w:rsid w:val="00F5704A"/>
    <w:rsid w:val="00F57542"/>
    <w:rsid w:val="00F57D57"/>
    <w:rsid w:val="00F61A5C"/>
    <w:rsid w:val="00F61C0A"/>
    <w:rsid w:val="00F63450"/>
    <w:rsid w:val="00F635CD"/>
    <w:rsid w:val="00F64261"/>
    <w:rsid w:val="00F644A2"/>
    <w:rsid w:val="00F65034"/>
    <w:rsid w:val="00F6607E"/>
    <w:rsid w:val="00F665F4"/>
    <w:rsid w:val="00F668AF"/>
    <w:rsid w:val="00F67A17"/>
    <w:rsid w:val="00F67A5D"/>
    <w:rsid w:val="00F67C7C"/>
    <w:rsid w:val="00F67EDB"/>
    <w:rsid w:val="00F70425"/>
    <w:rsid w:val="00F70A65"/>
    <w:rsid w:val="00F70ABA"/>
    <w:rsid w:val="00F70DEC"/>
    <w:rsid w:val="00F716E4"/>
    <w:rsid w:val="00F71EEA"/>
    <w:rsid w:val="00F73010"/>
    <w:rsid w:val="00F73A9A"/>
    <w:rsid w:val="00F74ED7"/>
    <w:rsid w:val="00F753CD"/>
    <w:rsid w:val="00F75C7C"/>
    <w:rsid w:val="00F75FC6"/>
    <w:rsid w:val="00F7631D"/>
    <w:rsid w:val="00F7665C"/>
    <w:rsid w:val="00F76793"/>
    <w:rsid w:val="00F7731B"/>
    <w:rsid w:val="00F777A8"/>
    <w:rsid w:val="00F77F25"/>
    <w:rsid w:val="00F80222"/>
    <w:rsid w:val="00F8153E"/>
    <w:rsid w:val="00F82FF3"/>
    <w:rsid w:val="00F844E4"/>
    <w:rsid w:val="00F85625"/>
    <w:rsid w:val="00F85BCD"/>
    <w:rsid w:val="00F86028"/>
    <w:rsid w:val="00F869DE"/>
    <w:rsid w:val="00F86A3F"/>
    <w:rsid w:val="00F87BC9"/>
    <w:rsid w:val="00F90CF8"/>
    <w:rsid w:val="00F92463"/>
    <w:rsid w:val="00F93EA0"/>
    <w:rsid w:val="00F93FDA"/>
    <w:rsid w:val="00F94227"/>
    <w:rsid w:val="00F94600"/>
    <w:rsid w:val="00F947E6"/>
    <w:rsid w:val="00F95925"/>
    <w:rsid w:val="00F95D23"/>
    <w:rsid w:val="00F96466"/>
    <w:rsid w:val="00F96ACD"/>
    <w:rsid w:val="00F97125"/>
    <w:rsid w:val="00F9793A"/>
    <w:rsid w:val="00F97ACB"/>
    <w:rsid w:val="00FA00D3"/>
    <w:rsid w:val="00FA0251"/>
    <w:rsid w:val="00FA0867"/>
    <w:rsid w:val="00FA0D06"/>
    <w:rsid w:val="00FA1310"/>
    <w:rsid w:val="00FA19C2"/>
    <w:rsid w:val="00FA2164"/>
    <w:rsid w:val="00FA2707"/>
    <w:rsid w:val="00FA3440"/>
    <w:rsid w:val="00FA4291"/>
    <w:rsid w:val="00FA4A54"/>
    <w:rsid w:val="00FA4D7E"/>
    <w:rsid w:val="00FA506B"/>
    <w:rsid w:val="00FA5330"/>
    <w:rsid w:val="00FA6B58"/>
    <w:rsid w:val="00FA7663"/>
    <w:rsid w:val="00FB04B2"/>
    <w:rsid w:val="00FB0881"/>
    <w:rsid w:val="00FB0934"/>
    <w:rsid w:val="00FB2532"/>
    <w:rsid w:val="00FB2913"/>
    <w:rsid w:val="00FB43D9"/>
    <w:rsid w:val="00FB4C20"/>
    <w:rsid w:val="00FB50A3"/>
    <w:rsid w:val="00FB51CD"/>
    <w:rsid w:val="00FB52E9"/>
    <w:rsid w:val="00FB63F3"/>
    <w:rsid w:val="00FB68F6"/>
    <w:rsid w:val="00FB70F8"/>
    <w:rsid w:val="00FC1C81"/>
    <w:rsid w:val="00FC21A9"/>
    <w:rsid w:val="00FC253A"/>
    <w:rsid w:val="00FC27F7"/>
    <w:rsid w:val="00FC2D59"/>
    <w:rsid w:val="00FC348D"/>
    <w:rsid w:val="00FC36D2"/>
    <w:rsid w:val="00FC4FC6"/>
    <w:rsid w:val="00FC602B"/>
    <w:rsid w:val="00FC7334"/>
    <w:rsid w:val="00FC7D48"/>
    <w:rsid w:val="00FD053A"/>
    <w:rsid w:val="00FD1661"/>
    <w:rsid w:val="00FD1C95"/>
    <w:rsid w:val="00FD1F50"/>
    <w:rsid w:val="00FD2055"/>
    <w:rsid w:val="00FD21CD"/>
    <w:rsid w:val="00FD2248"/>
    <w:rsid w:val="00FD2A41"/>
    <w:rsid w:val="00FD2F5A"/>
    <w:rsid w:val="00FD3A1F"/>
    <w:rsid w:val="00FD4099"/>
    <w:rsid w:val="00FD470C"/>
    <w:rsid w:val="00FD494A"/>
    <w:rsid w:val="00FD4CCB"/>
    <w:rsid w:val="00FD5A72"/>
    <w:rsid w:val="00FD6321"/>
    <w:rsid w:val="00FD6A3B"/>
    <w:rsid w:val="00FD728B"/>
    <w:rsid w:val="00FD776B"/>
    <w:rsid w:val="00FE027F"/>
    <w:rsid w:val="00FE038F"/>
    <w:rsid w:val="00FE08A6"/>
    <w:rsid w:val="00FE09BD"/>
    <w:rsid w:val="00FE1AE2"/>
    <w:rsid w:val="00FE205E"/>
    <w:rsid w:val="00FE28B4"/>
    <w:rsid w:val="00FE2B1F"/>
    <w:rsid w:val="00FE3565"/>
    <w:rsid w:val="00FE36FE"/>
    <w:rsid w:val="00FE3AEC"/>
    <w:rsid w:val="00FE3C6F"/>
    <w:rsid w:val="00FE42B2"/>
    <w:rsid w:val="00FE45E8"/>
    <w:rsid w:val="00FE46F2"/>
    <w:rsid w:val="00FE4822"/>
    <w:rsid w:val="00FE4A8F"/>
    <w:rsid w:val="00FE60DC"/>
    <w:rsid w:val="00FE6284"/>
    <w:rsid w:val="00FE7494"/>
    <w:rsid w:val="00FF0B88"/>
    <w:rsid w:val="00FF0C55"/>
    <w:rsid w:val="00FF1FB5"/>
    <w:rsid w:val="00FF2D08"/>
    <w:rsid w:val="00FF2D7A"/>
    <w:rsid w:val="00FF334C"/>
    <w:rsid w:val="00FF3685"/>
    <w:rsid w:val="00FF4897"/>
    <w:rsid w:val="00FF4D12"/>
    <w:rsid w:val="00FF5CF1"/>
    <w:rsid w:val="00FF6848"/>
    <w:rsid w:val="00FF7435"/>
    <w:rsid w:val="00FF76AA"/>
    <w:rsid w:val="502D393D"/>
  </w:rsids>
  <w:docVars>
    <w:docVar w:name="commondata" w:val="eyJoZGlkIjoiOWI5MmEzNDM0ODI0OGFmMzM3MmU2Y2M5Y2JkMmZkODY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annotation subject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tabs>
        <w:tab w:val="left" w:pos="432"/>
      </w:tabs>
      <w:jc w:val="left"/>
      <w:outlineLvl w:val="0"/>
    </w:pPr>
    <w:rPr>
      <w:rFonts w:eastAsia="黑体"/>
      <w:b/>
      <w:bCs/>
      <w:kern w:val="44"/>
      <w:sz w:val="30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numPr>
        <w:ilvl w:val="1"/>
        <w:numId w:val="1"/>
      </w:numPr>
      <w:tabs>
        <w:tab w:val="left" w:pos="576"/>
      </w:tabs>
      <w:spacing w:before="120" w:after="120" w:line="360" w:lineRule="auto"/>
      <w:jc w:val="left"/>
      <w:outlineLvl w:val="1"/>
    </w:pPr>
    <w:rPr>
      <w:b/>
      <w:bCs/>
      <w:sz w:val="28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numPr>
        <w:ilvl w:val="2"/>
        <w:numId w:val="1"/>
      </w:numPr>
      <w:tabs>
        <w:tab w:val="left" w:pos="720"/>
      </w:tabs>
      <w:spacing w:before="20" w:after="20" w:line="360" w:lineRule="auto"/>
      <w:jc w:val="left"/>
      <w:outlineLvl w:val="2"/>
    </w:pPr>
    <w:rPr>
      <w:b/>
      <w:bCs/>
      <w:sz w:val="28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numPr>
        <w:ilvl w:val="3"/>
        <w:numId w:val="1"/>
      </w:numPr>
      <w:tabs>
        <w:tab w:val="left" w:pos="1224"/>
      </w:tabs>
      <w:spacing w:before="120" w:after="120" w:line="360" w:lineRule="auto"/>
      <w:jc w:val="left"/>
      <w:outlineLvl w:val="3"/>
    </w:pPr>
    <w:rPr>
      <w:rFonts w:eastAsia="黑体"/>
      <w:b/>
      <w:bCs/>
      <w:sz w:val="24"/>
      <w:szCs w:val="28"/>
    </w:rPr>
  </w:style>
  <w:style w:type="paragraph" w:styleId="Heading5">
    <w:name w:val="heading 5"/>
    <w:basedOn w:val="Normal"/>
    <w:next w:val="Normal"/>
    <w:qFormat/>
    <w:pPr>
      <w:keepNext/>
      <w:keepLines/>
      <w:numPr>
        <w:ilvl w:val="2"/>
        <w:numId w:val="2"/>
      </w:numPr>
      <w:tabs>
        <w:tab w:val="left" w:pos="709"/>
      </w:tabs>
      <w:spacing w:before="120" w:after="120" w:line="360" w:lineRule="auto"/>
      <w:jc w:val="left"/>
      <w:outlineLvl w:val="4"/>
    </w:pPr>
    <w:rPr>
      <w:b/>
      <w:bCs/>
      <w:sz w:val="24"/>
      <w:szCs w:val="28"/>
    </w:rPr>
  </w:style>
  <w:style w:type="paragraph" w:styleId="Heading6">
    <w:name w:val="heading 6"/>
    <w:basedOn w:val="Normal"/>
    <w:next w:val="Normal"/>
    <w:qFormat/>
    <w:pPr>
      <w:keepNext/>
      <w:keepLines/>
      <w:tabs>
        <w:tab w:val="left" w:pos="1152"/>
      </w:tabs>
      <w:spacing w:before="240" w:after="64" w:line="320" w:lineRule="auto"/>
      <w:ind w:left="1152" w:hanging="1152"/>
      <w:outlineLvl w:val="5"/>
    </w:pPr>
    <w:rPr>
      <w:rFonts w:ascii="Arial" w:eastAsia="黑体" w:hAnsi="Arial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keepLines/>
      <w:tabs>
        <w:tab w:val="left" w:pos="1296"/>
      </w:tabs>
      <w:spacing w:before="240" w:after="64" w:line="320" w:lineRule="auto"/>
      <w:ind w:left="1296" w:hanging="1296"/>
      <w:outlineLvl w:val="6"/>
    </w:pPr>
    <w:rPr>
      <w:b/>
      <w:bCs/>
      <w:sz w:val="24"/>
    </w:rPr>
  </w:style>
  <w:style w:type="paragraph" w:styleId="Heading8">
    <w:name w:val="heading 8"/>
    <w:basedOn w:val="Normal"/>
    <w:next w:val="Normal"/>
    <w:qFormat/>
    <w:pPr>
      <w:keepNext/>
      <w:keepLines/>
      <w:tabs>
        <w:tab w:val="left" w:pos="1440"/>
      </w:tabs>
      <w:spacing w:before="240" w:after="64" w:line="320" w:lineRule="auto"/>
      <w:ind w:left="1440" w:hanging="1440"/>
      <w:outlineLvl w:val="7"/>
    </w:pPr>
    <w:rPr>
      <w:rFonts w:ascii="Arial" w:eastAsia="黑体" w:hAnsi="Arial"/>
      <w:sz w:val="24"/>
    </w:rPr>
  </w:style>
  <w:style w:type="paragraph" w:styleId="Heading9">
    <w:name w:val="heading 9"/>
    <w:basedOn w:val="Normal"/>
    <w:next w:val="Normal"/>
    <w:qFormat/>
    <w:pPr>
      <w:keepNext/>
      <w:keepLines/>
      <w:tabs>
        <w:tab w:val="left" w:pos="1584"/>
      </w:tabs>
      <w:spacing w:before="240" w:after="64" w:line="320" w:lineRule="auto"/>
      <w:ind w:left="1584" w:hanging="1584"/>
      <w:outlineLvl w:val="8"/>
    </w:pPr>
    <w:rPr>
      <w:rFonts w:ascii="Arial" w:eastAsia="黑体" w:hAnsi="Arial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3">
    <w:name w:val="List 3"/>
    <w:basedOn w:val="Normal"/>
    <w:pPr>
      <w:adjustRightInd w:val="0"/>
      <w:snapToGrid w:val="0"/>
      <w:spacing w:beforeLines="10" w:afterLines="10"/>
      <w:jc w:val="center"/>
    </w:pPr>
    <w:rPr>
      <w:rFonts w:ascii="宋体" w:hAnsi="宋体"/>
      <w:snapToGrid/>
      <w:kern w:val="0"/>
      <w:szCs w:val="20"/>
    </w:rPr>
  </w:style>
  <w:style w:type="paragraph" w:styleId="ListNumber2">
    <w:name w:val="List Number 2"/>
    <w:basedOn w:val="Normal"/>
    <w:pPr>
      <w:tabs>
        <w:tab w:val="left" w:pos="780"/>
      </w:tabs>
      <w:spacing w:line="360" w:lineRule="auto"/>
      <w:ind w:left="780" w:hanging="360" w:firstLineChars="200"/>
    </w:pPr>
    <w:rPr>
      <w:sz w:val="24"/>
      <w:szCs w:val="20"/>
    </w:rPr>
  </w:style>
  <w:style w:type="paragraph" w:styleId="NoteHeading">
    <w:name w:val="Note Heading"/>
    <w:basedOn w:val="Normal"/>
    <w:next w:val="Normal"/>
    <w:pPr>
      <w:jc w:val="right"/>
    </w:pPr>
  </w:style>
  <w:style w:type="paragraph" w:styleId="ListNumber">
    <w:name w:val="List Number"/>
    <w:basedOn w:val="Normal"/>
    <w:pPr>
      <w:tabs>
        <w:tab w:val="left" w:pos="360"/>
      </w:tabs>
      <w:ind w:left="360" w:hanging="360"/>
    </w:pPr>
    <w:rPr>
      <w:szCs w:val="20"/>
    </w:rPr>
  </w:style>
  <w:style w:type="paragraph" w:styleId="NormalIndent">
    <w:name w:val="Normal Indent"/>
    <w:basedOn w:val="Normal"/>
    <w:pPr>
      <w:adjustRightInd w:val="0"/>
      <w:spacing w:line="300" w:lineRule="auto"/>
      <w:ind w:firstLine="480"/>
    </w:pPr>
    <w:rPr>
      <w:sz w:val="24"/>
      <w:szCs w:val="20"/>
    </w:rPr>
  </w:style>
  <w:style w:type="paragraph" w:styleId="Caption">
    <w:name w:val="caption"/>
    <w:basedOn w:val="Normal"/>
    <w:next w:val="Normal"/>
    <w:qFormat/>
    <w:pPr>
      <w:jc w:val="left"/>
    </w:pPr>
    <w:rPr>
      <w:rFonts w:ascii="Arial" w:eastAsia="黑体" w:hAnsi="Arial" w:cs="Arial"/>
      <w:szCs w:val="20"/>
    </w:rPr>
  </w:style>
  <w:style w:type="paragraph" w:styleId="EnvelopeAddress">
    <w:name w:val="envelope address"/>
    <w:basedOn w:val="Normal"/>
    <w:pPr>
      <w:framePr w:w="7920" w:h="1980" w:hRule="exact" w:hSpace="180" w:wrap="auto" w:vAnchor="margin" w:hAnchor="page" w:xAlign="center" w:yAlign="bottom"/>
      <w:snapToGrid w:val="0"/>
      <w:spacing w:line="360" w:lineRule="auto"/>
      <w:ind w:left="100" w:firstLine="200" w:leftChars="1400" w:firstLineChars="200"/>
    </w:pPr>
    <w:rPr>
      <w:rFonts w:ascii="Arial" w:hAnsi="Arial" w:cs="Arial"/>
      <w:sz w:val="24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CommentText">
    <w:name w:val="annotation text"/>
    <w:basedOn w:val="Normal"/>
    <w:link w:val="Char"/>
    <w:pPr>
      <w:jc w:val="left"/>
    </w:pPr>
  </w:style>
  <w:style w:type="character" w:customStyle="1" w:styleId="Char">
    <w:name w:val="批注文字 Char"/>
    <w:link w:val="CommentText"/>
    <w:rPr>
      <w:kern w:val="2"/>
      <w:sz w:val="21"/>
      <w:szCs w:val="24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BodyText">
    <w:name w:val="Body Text"/>
    <w:basedOn w:val="Normal"/>
    <w:semiHidden/>
    <w:pPr>
      <w:spacing w:after="120"/>
    </w:p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ListNumber3">
    <w:name w:val="List Number 3"/>
    <w:basedOn w:val="Normal"/>
    <w:pPr>
      <w:tabs>
        <w:tab w:val="left" w:pos="425"/>
      </w:tabs>
      <w:spacing w:line="360" w:lineRule="auto"/>
      <w:ind w:left="425" w:hanging="425" w:firstLineChars="200"/>
    </w:pPr>
    <w:rPr>
      <w:sz w:val="24"/>
      <w:szCs w:val="20"/>
    </w:rPr>
  </w:style>
  <w:style w:type="paragraph" w:styleId="List2">
    <w:name w:val="List 2"/>
    <w:basedOn w:val="Normal"/>
    <w:pPr>
      <w:ind w:left="100" w:hanging="200" w:leftChars="200" w:hangingChars="200"/>
    </w:pPr>
  </w:style>
  <w:style w:type="paragraph" w:styleId="BlockText">
    <w:name w:val="Block Text"/>
    <w:basedOn w:val="Normal"/>
    <w:pPr>
      <w:spacing w:after="120"/>
      <w:ind w:left="1440" w:right="1440" w:leftChars="700" w:rightChars="700"/>
    </w:pPr>
  </w:style>
  <w:style w:type="paragraph" w:styleId="ListBullet2">
    <w:name w:val="List Bullet 2"/>
    <w:basedOn w:val="Normal"/>
    <w:pPr>
      <w:tabs>
        <w:tab w:val="left" w:pos="780"/>
      </w:tabs>
      <w:spacing w:line="360" w:lineRule="auto"/>
      <w:ind w:left="780" w:hanging="360" w:firstLineChars="200"/>
    </w:pPr>
    <w:rPr>
      <w:sz w:val="24"/>
      <w:szCs w:val="20"/>
    </w:rPr>
  </w:style>
  <w:style w:type="paragraph" w:styleId="HTMLAddress">
    <w:name w:val="HTML Address"/>
    <w:basedOn w:val="Normal"/>
    <w:pPr>
      <w:spacing w:line="360" w:lineRule="auto"/>
      <w:ind w:firstLine="200" w:firstLineChars="200"/>
    </w:pPr>
    <w:rPr>
      <w:i/>
      <w:iCs/>
      <w:sz w:val="24"/>
      <w:szCs w:val="20"/>
    </w:rPr>
  </w:style>
  <w:style w:type="paragraph" w:styleId="TOC3">
    <w:name w:val="toc 3"/>
    <w:basedOn w:val="Normal"/>
    <w:next w:val="Normal"/>
    <w:semiHidden/>
    <w:pPr>
      <w:ind w:left="840" w:leftChars="400"/>
    </w:pPr>
  </w:style>
  <w:style w:type="paragraph" w:styleId="PlainText">
    <w:name w:val="Plain Text"/>
    <w:basedOn w:val="Normal"/>
    <w:link w:val="Char0"/>
    <w:rPr>
      <w:rFonts w:ascii="宋体" w:hAnsi="Courier New" w:cs="Courier New"/>
      <w:szCs w:val="21"/>
    </w:rPr>
  </w:style>
  <w:style w:type="character" w:customStyle="1" w:styleId="Char0">
    <w:name w:val="纯文本 Char"/>
    <w:link w:val="PlainText"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paragraph" w:styleId="ListBullet5">
    <w:name w:val="List Bullet 5"/>
    <w:basedOn w:val="Normal"/>
    <w:pPr>
      <w:tabs>
        <w:tab w:val="left" w:pos="2040"/>
      </w:tabs>
      <w:spacing w:line="360" w:lineRule="auto"/>
      <w:ind w:left="2040" w:hanging="360" w:firstLineChars="200"/>
    </w:pPr>
    <w:rPr>
      <w:sz w:val="24"/>
      <w:szCs w:val="20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1"/>
    <w:semiHidden/>
    <w:rPr>
      <w:sz w:val="18"/>
      <w:szCs w:val="18"/>
    </w:rPr>
  </w:style>
  <w:style w:type="character" w:customStyle="1" w:styleId="Char1">
    <w:name w:val="批注框文本 Char"/>
    <w:link w:val="BalloonText"/>
    <w:rPr>
      <w:rFonts w:eastAsia="宋体"/>
      <w:kern w:val="2"/>
      <w:sz w:val="18"/>
      <w:szCs w:val="18"/>
      <w:lang w:val="en-US" w:eastAsia="zh-CN" w:bidi="ar-SA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Signature">
    <w:name w:val="Signature"/>
    <w:basedOn w:val="Normal"/>
    <w:pPr>
      <w:spacing w:line="360" w:lineRule="auto"/>
      <w:ind w:left="100" w:firstLine="200" w:leftChars="2100" w:firstLineChars="200"/>
    </w:pPr>
    <w:rPr>
      <w:sz w:val="24"/>
      <w:szCs w:val="20"/>
    </w:rPr>
  </w:style>
  <w:style w:type="paragraph" w:styleId="TOC1">
    <w:name w:val="toc 1"/>
    <w:basedOn w:val="Normal"/>
    <w:next w:val="Normal"/>
    <w:uiPriority w:val="39"/>
    <w:pPr>
      <w:tabs>
        <w:tab w:val="right" w:leader="dot" w:pos="9060"/>
      </w:tabs>
      <w:spacing w:line="360" w:lineRule="auto"/>
      <w:ind w:right="107" w:firstLine="82" w:rightChars="51" w:firstLineChars="34"/>
      <w:jc w:val="center"/>
    </w:pPr>
    <w:rPr>
      <w:rFonts w:ascii="黑体" w:eastAsia="黑体" w:hAnsi="宋体"/>
      <w:bCs/>
      <w:sz w:val="28"/>
    </w:rPr>
  </w:style>
  <w:style w:type="paragraph" w:styleId="Subtitle">
    <w:name w:val="Subtitle"/>
    <w:basedOn w:val="Normal"/>
    <w:qFormat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List">
    <w:name w:val="List"/>
    <w:basedOn w:val="Normal"/>
    <w:pPr>
      <w:ind w:left="200" w:hanging="200" w:hangingChars="200"/>
    </w:pPr>
  </w:style>
  <w:style w:type="paragraph" w:styleId="BodyTextIndent3">
    <w:name w:val="Body Text Indent 3"/>
    <w:basedOn w:val="Normal"/>
    <w:pPr>
      <w:spacing w:after="120"/>
      <w:ind w:left="420" w:leftChars="200"/>
    </w:pPr>
    <w:rPr>
      <w:sz w:val="16"/>
      <w:szCs w:val="16"/>
    </w:rPr>
  </w:style>
  <w:style w:type="paragraph" w:styleId="TOC2">
    <w:name w:val="toc 2"/>
    <w:basedOn w:val="Normal"/>
    <w:next w:val="Normal"/>
    <w:uiPriority w:val="39"/>
    <w:pPr>
      <w:spacing w:line="360" w:lineRule="auto"/>
      <w:ind w:firstLine="100" w:firstLineChars="100"/>
    </w:pPr>
    <w:rPr>
      <w:sz w:val="24"/>
      <w:szCs w:val="20"/>
    </w:rPr>
  </w:style>
  <w:style w:type="paragraph" w:styleId="TOC9">
    <w:name w:val="toc 9"/>
    <w:basedOn w:val="Normal"/>
    <w:next w:val="Normal"/>
    <w:semiHidden/>
    <w:pPr>
      <w:spacing w:line="360" w:lineRule="auto"/>
      <w:ind w:left="3360" w:right="240" w:firstLine="200" w:leftChars="1600" w:firstLineChars="200"/>
      <w:jc w:val="left"/>
    </w:pPr>
    <w:rPr>
      <w:rFonts w:ascii="宋体" w:hAnsi="宋体"/>
      <w:sz w:val="24"/>
      <w:szCs w:val="20"/>
    </w:rPr>
  </w:style>
  <w:style w:type="paragraph" w:styleId="BodyText2">
    <w:name w:val="Body Text 2"/>
    <w:basedOn w:val="Normal"/>
    <w:pPr>
      <w:spacing w:after="120" w:line="480" w:lineRule="auto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360" w:lineRule="auto"/>
      <w:ind w:left="1080" w:hanging="1080" w:leftChars="500" w:hangingChars="500"/>
    </w:pPr>
    <w:rPr>
      <w:rFonts w:ascii="Arial" w:hAnsi="Arial" w:cs="Arial"/>
      <w:sz w:val="24"/>
    </w:rPr>
  </w:style>
  <w:style w:type="paragraph" w:styleId="HTMLPreformatted">
    <w:name w:val="HTML Preformatted"/>
    <w:basedOn w:val="Normal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rPr>
      <w:sz w:val="24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odyTextFirstIndent">
    <w:name w:val="Body Text First Indent"/>
    <w:basedOn w:val="Normal"/>
    <w:link w:val="Char2"/>
    <w:pPr>
      <w:spacing w:line="360" w:lineRule="auto"/>
      <w:ind w:firstLine="480" w:firstLineChars="200"/>
      <w:jc w:val="left"/>
    </w:pPr>
    <w:rPr>
      <w:sz w:val="24"/>
    </w:rPr>
  </w:style>
  <w:style w:type="character" w:customStyle="1" w:styleId="Char2">
    <w:name w:val="正文首行缩进 Char"/>
    <w:link w:val="BodyTextFirstIndent"/>
    <w:rPr>
      <w:kern w:val="2"/>
      <w:sz w:val="24"/>
      <w:szCs w:val="24"/>
    </w:rPr>
  </w:style>
  <w:style w:type="paragraph" w:styleId="BodyTextFirstIndent2">
    <w:name w:val="Body Text First Indent 2"/>
    <w:basedOn w:val="BodyTextIndent"/>
    <w:pPr>
      <w:ind w:firstLine="420" w:firstLineChars="200"/>
    </w:p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2" w:space="0" w:color="auto"/>
        <w:insideV w:val="single" w:sz="2" w:space="0" w:color="auto"/>
      </w:tblBorders>
    </w:tblPr>
  </w:style>
  <w:style w:type="character" w:styleId="PageNumber">
    <w:name w:val="page number"/>
    <w:basedOn w:val="DefaultParagraphFont"/>
  </w:style>
  <w:style w:type="character" w:styleId="FollowedHyperlink">
    <w:name w:val="FollowedHyperlink"/>
    <w:rPr>
      <w:color w:val="800080"/>
      <w:u w:val="single"/>
    </w:rPr>
  </w:style>
  <w:style w:type="character" w:styleId="Emphasis">
    <w:name w:val="Emphasis"/>
    <w:qFormat/>
    <w:rPr>
      <w:rFonts w:ascii="黑体" w:eastAsia="黑体"/>
      <w:b/>
      <w:iCs/>
      <w:sz w:val="36"/>
      <w:szCs w:val="36"/>
      <w:u w:val="single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CommentReference">
    <w:name w:val="annotation reference"/>
    <w:semiHidden/>
    <w:rPr>
      <w:sz w:val="21"/>
      <w:szCs w:val="21"/>
    </w:rPr>
  </w:style>
  <w:style w:type="paragraph" w:customStyle="1" w:styleId="ParaChar">
    <w:name w:val="默认段落字体 Para Char"/>
    <w:basedOn w:val="Normal"/>
    <w:pPr>
      <w:spacing w:line="400" w:lineRule="exact"/>
    </w:pPr>
    <w:rPr>
      <w:rFonts w:ascii="Tahoma" w:hAnsi="Tahoma"/>
      <w:sz w:val="24"/>
      <w:szCs w:val="20"/>
    </w:rPr>
  </w:style>
  <w:style w:type="character" w:customStyle="1" w:styleId="a">
    <w:name w:val="封面标题"/>
    <w:semiHidden/>
    <w:rPr>
      <w:rFonts w:eastAsia="黑体"/>
      <w:b/>
      <w:sz w:val="72"/>
      <w:szCs w:val="72"/>
    </w:rPr>
  </w:style>
  <w:style w:type="character" w:customStyle="1" w:styleId="a0">
    <w:name w:val="封面标题（）"/>
    <w:semiHidden/>
    <w:rPr>
      <w:rFonts w:eastAsia="黑体"/>
      <w:sz w:val="52"/>
      <w:szCs w:val="52"/>
    </w:rPr>
  </w:style>
  <w:style w:type="character" w:customStyle="1" w:styleId="a1">
    <w:name w:val="项目名称"/>
    <w:semiHidden/>
    <w:rPr>
      <w:rFonts w:eastAsia="黑体"/>
      <w:b/>
      <w:sz w:val="36"/>
    </w:rPr>
  </w:style>
  <w:style w:type="character" w:customStyle="1" w:styleId="a2">
    <w:name w:val="编制日期"/>
    <w:semiHidden/>
    <w:rPr>
      <w:rFonts w:ascii="Verdana" w:eastAsia="黑体" w:hAnsi="Verdana"/>
      <w:sz w:val="30"/>
    </w:rPr>
  </w:style>
  <w:style w:type="table" w:customStyle="1" w:styleId="a3">
    <w:name w:val="建设项目基本情况"/>
    <w:basedOn w:val="TableNormal"/>
    <w:pPr>
      <w:jc w:val="center"/>
    </w:pPr>
    <w:rPr>
      <w:sz w:val="24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2" w:space="0" w:color="auto"/>
        <w:insideV w:val="single" w:sz="2" w:space="0" w:color="auto"/>
      </w:tblBorders>
    </w:tblPr>
  </w:style>
  <w:style w:type="paragraph" w:customStyle="1" w:styleId="a4">
    <w:name w:val="表名"/>
    <w:basedOn w:val="Normal"/>
    <w:pPr>
      <w:jc w:val="center"/>
    </w:pPr>
    <w:rPr>
      <w:rFonts w:ascii="黑体" w:eastAsia="黑体" w:hAnsi="黑体"/>
    </w:rPr>
  </w:style>
  <w:style w:type="table" w:customStyle="1" w:styleId="a5">
    <w:name w:val="嵌套表格"/>
    <w:basedOn w:val="TableNormal"/>
    <w:pPr>
      <w:jc w:val="center"/>
    </w:pPr>
    <w:rPr>
      <w:sz w:val="21"/>
    </w:rPr>
    <w:tblPr>
      <w:jc w:val="center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2" w:space="0" w:color="auto"/>
        <w:insideV w:val="single" w:sz="2" w:space="0" w:color="auto"/>
      </w:tblBorders>
    </w:tblPr>
  </w:style>
  <w:style w:type="paragraph" w:customStyle="1" w:styleId="5">
    <w:name w:val="标题5"/>
    <w:basedOn w:val="Normal"/>
    <w:pPr>
      <w:autoSpaceDE w:val="0"/>
      <w:autoSpaceDN w:val="0"/>
      <w:adjustRightInd w:val="0"/>
      <w:textAlignment w:val="baseline"/>
    </w:pPr>
    <w:rPr>
      <w:rFonts w:ascii="黑体" w:eastAsia="黑体"/>
      <w:b/>
      <w:sz w:val="24"/>
      <w:szCs w:val="20"/>
    </w:rPr>
  </w:style>
  <w:style w:type="paragraph" w:customStyle="1" w:styleId="Char4CharCharCharCharCharChar1">
    <w:name w:val="Char4 Char Char Char Char Char Char1"/>
    <w:basedOn w:val="Normal"/>
    <w:pPr>
      <w:spacing w:line="360" w:lineRule="auto"/>
      <w:ind w:firstLine="200" w:firstLineChars="200"/>
    </w:pPr>
    <w:rPr>
      <w:rFonts w:ascii="宋体" w:hAnsi="宋体" w:cs="宋体"/>
      <w:sz w:val="24"/>
    </w:rPr>
  </w:style>
  <w:style w:type="paragraph" w:customStyle="1" w:styleId="CharCharCharCharCharChar">
    <w:name w:val="Char Char Char Char Char Char"/>
    <w:basedOn w:val="a4"/>
    <w:next w:val="Normal"/>
    <w:pPr>
      <w:spacing w:line="360" w:lineRule="auto"/>
      <w:textAlignment w:val="center"/>
    </w:pPr>
    <w:rPr>
      <w:rFonts w:ascii="Times New Roman" w:eastAsia="宋体" w:hAnsi="Times New Roman"/>
      <w:sz w:val="24"/>
    </w:rPr>
  </w:style>
  <w:style w:type="paragraph" w:customStyle="1" w:styleId="Char4CharCharCharCharCharChar11">
    <w:name w:val="Char4 Char Char Char Char Char Char11"/>
    <w:basedOn w:val="Normal"/>
    <w:pPr>
      <w:ind w:left="168" w:firstLine="1" w:leftChars="80"/>
      <w:jc w:val="center"/>
    </w:pPr>
    <w:rPr>
      <w:rFonts w:ascii="宋体" w:hAnsi="宋体" w:cs="宋体"/>
    </w:rPr>
  </w:style>
  <w:style w:type="paragraph" w:customStyle="1" w:styleId="a6">
    <w:name w:val="表号"/>
    <w:basedOn w:val="Normal"/>
    <w:link w:val="Char3"/>
    <w:pPr>
      <w:ind w:firstLine="200" w:firstLineChars="200"/>
    </w:pPr>
    <w:rPr>
      <w:color w:val="000000"/>
      <w:szCs w:val="20"/>
    </w:rPr>
  </w:style>
  <w:style w:type="character" w:customStyle="1" w:styleId="Char3">
    <w:name w:val="表号 Char"/>
    <w:link w:val="a6"/>
    <w:rPr>
      <w:rFonts w:eastAsia="宋体"/>
      <w:color w:val="000000"/>
      <w:kern w:val="2"/>
      <w:sz w:val="21"/>
      <w:lang w:val="en-US" w:eastAsia="zh-CN" w:bidi="ar-SA"/>
    </w:rPr>
  </w:style>
  <w:style w:type="paragraph" w:customStyle="1" w:styleId="a7">
    <w:name w:val="表格"/>
    <w:basedOn w:val="Normal"/>
    <w:link w:val="Char10"/>
  </w:style>
  <w:style w:type="character" w:customStyle="1" w:styleId="Char10">
    <w:name w:val="表格 Char1"/>
    <w:link w:val="a7"/>
    <w:rPr>
      <w:rFonts w:eastAsia="宋体"/>
      <w:kern w:val="2"/>
      <w:sz w:val="21"/>
      <w:szCs w:val="24"/>
      <w:lang w:val="en-US" w:eastAsia="zh-CN" w:bidi="ar-SA"/>
    </w:rPr>
  </w:style>
  <w:style w:type="paragraph" w:customStyle="1" w:styleId="a8">
    <w:name w:val="表格格式"/>
    <w:pPr>
      <w:jc w:val="center"/>
    </w:pPr>
    <w:rPr>
      <w:rFonts w:ascii="宋体" w:hAnsi="宋体"/>
      <w:kern w:val="2"/>
      <w:sz w:val="21"/>
      <w:szCs w:val="21"/>
      <w:lang w:val="en-US" w:eastAsia="zh-CN" w:bidi="ar-SA"/>
    </w:rPr>
  </w:style>
  <w:style w:type="paragraph" w:customStyle="1" w:styleId="a9">
    <w:name w:val="表头"/>
    <w:basedOn w:val="a4"/>
    <w:next w:val="a7"/>
    <w:pPr>
      <w:ind w:firstLine="420" w:firstLineChars="200"/>
      <w:jc w:val="both"/>
    </w:pPr>
    <w:rPr>
      <w:rFonts w:ascii="Times New Roman" w:eastAsia="宋体" w:hAnsi="宋体"/>
      <w:szCs w:val="21"/>
    </w:rPr>
  </w:style>
  <w:style w:type="paragraph" w:customStyle="1" w:styleId="4">
    <w:name w:val="样式4"/>
    <w:basedOn w:val="Heading4"/>
    <w:next w:val="NormalIndent"/>
    <w:pPr>
      <w:numPr>
        <w:ilvl w:val="0"/>
        <w:numId w:val="0"/>
      </w:numPr>
      <w:tabs>
        <w:tab w:val="clear" w:pos="1224"/>
      </w:tabs>
      <w:spacing w:after="156" w:line="240" w:lineRule="auto"/>
      <w:jc w:val="center"/>
    </w:pPr>
    <w:rPr>
      <w:rFonts w:eastAsia="宋体"/>
      <w:b w:val="0"/>
      <w:bCs w:val="0"/>
      <w:snapToGrid/>
      <w:szCs w:val="20"/>
    </w:rPr>
  </w:style>
  <w:style w:type="paragraph" w:customStyle="1" w:styleId="1">
    <w:name w:val="标题1"/>
    <w:basedOn w:val="Heading1"/>
    <w:next w:val="NormalIndent"/>
    <w:pPr>
      <w:pageBreakBefore/>
      <w:numPr>
        <w:numId w:val="3"/>
      </w:numPr>
      <w:tabs>
        <w:tab w:val="clear" w:pos="432"/>
        <w:tab w:val="clear" w:pos="1584"/>
      </w:tabs>
      <w:spacing w:before="156" w:after="312" w:line="360" w:lineRule="auto"/>
      <w:jc w:val="both"/>
    </w:pPr>
    <w:rPr>
      <w:b w:val="0"/>
      <w:bCs w:val="0"/>
      <w:sz w:val="32"/>
      <w:szCs w:val="20"/>
    </w:rPr>
  </w:style>
  <w:style w:type="paragraph" w:customStyle="1" w:styleId="2">
    <w:name w:val="标题2"/>
    <w:basedOn w:val="Heading2"/>
    <w:next w:val="NormalIndent"/>
    <w:pPr>
      <w:numPr>
        <w:numId w:val="3"/>
      </w:numPr>
      <w:tabs>
        <w:tab w:val="left" w:pos="576"/>
        <w:tab w:val="clear" w:pos="1584"/>
      </w:tabs>
      <w:spacing w:before="0" w:after="0"/>
      <w:jc w:val="both"/>
    </w:pPr>
    <w:rPr>
      <w:rFonts w:ascii="宋体" w:eastAsia="黑体"/>
      <w:b w:val="0"/>
      <w:snapToGrid/>
      <w:kern w:val="0"/>
      <w:sz w:val="24"/>
      <w:szCs w:val="20"/>
    </w:rPr>
  </w:style>
  <w:style w:type="paragraph" w:customStyle="1" w:styleId="3">
    <w:name w:val="标题3"/>
    <w:basedOn w:val="Heading3"/>
    <w:next w:val="NormalIndent"/>
    <w:pPr>
      <w:numPr>
        <w:numId w:val="3"/>
      </w:numPr>
      <w:tabs>
        <w:tab w:val="left" w:pos="720"/>
        <w:tab w:val="clear" w:pos="1584"/>
      </w:tabs>
      <w:spacing w:beforeLines="30" w:after="0"/>
      <w:jc w:val="both"/>
    </w:pPr>
    <w:rPr>
      <w:rFonts w:ascii="黑体" w:eastAsia="黑体"/>
      <w:b w:val="0"/>
      <w:snapToGrid/>
      <w:kern w:val="0"/>
      <w:sz w:val="24"/>
      <w:szCs w:val="20"/>
    </w:rPr>
  </w:style>
  <w:style w:type="paragraph" w:customStyle="1" w:styleId="10">
    <w:name w:val="样式1"/>
    <w:basedOn w:val="Heading2"/>
    <w:pPr>
      <w:numPr>
        <w:ilvl w:val="0"/>
        <w:numId w:val="0"/>
      </w:numPr>
      <w:tabs>
        <w:tab w:val="left" w:pos="576"/>
      </w:tabs>
      <w:spacing w:before="260" w:after="260"/>
      <w:ind w:left="576" w:hanging="576"/>
      <w:jc w:val="both"/>
    </w:pPr>
    <w:rPr>
      <w:rFonts w:ascii="黑体" w:eastAsia="黑体" w:hAnsi="Arial"/>
      <w:b w:val="0"/>
      <w:snapToGrid/>
      <w:kern w:val="0"/>
      <w:szCs w:val="20"/>
    </w:rPr>
  </w:style>
  <w:style w:type="paragraph" w:customStyle="1" w:styleId="a10">
    <w:name w:val="表格字体"/>
    <w:basedOn w:val="Normal"/>
    <w:pPr>
      <w:jc w:val="center"/>
    </w:pPr>
    <w:rPr>
      <w:rFonts w:eastAsia="仿宋_GB2312"/>
    </w:rPr>
  </w:style>
  <w:style w:type="paragraph" w:customStyle="1" w:styleId="a11">
    <w:name w:val="样式 表格"/>
    <w:basedOn w:val="a7"/>
    <w:link w:val="Char4"/>
    <w:pPr>
      <w:ind w:right="10" w:rightChars="4"/>
      <w:jc w:val="center"/>
    </w:pPr>
    <w:rPr>
      <w:sz w:val="24"/>
      <w:szCs w:val="21"/>
    </w:rPr>
  </w:style>
  <w:style w:type="character" w:customStyle="1" w:styleId="Char4">
    <w:name w:val="样式 表格 Char"/>
    <w:link w:val="a11"/>
    <w:rPr>
      <w:rFonts w:eastAsia="宋体"/>
      <w:kern w:val="2"/>
      <w:sz w:val="24"/>
      <w:szCs w:val="21"/>
      <w:lang w:val="en-US" w:eastAsia="zh-CN" w:bidi="ar-SA"/>
    </w:rPr>
  </w:style>
  <w:style w:type="paragraph" w:customStyle="1" w:styleId="Char11">
    <w:name w:val="Char1"/>
    <w:basedOn w:val="Normal"/>
    <w:next w:val="Normal"/>
    <w:semiHidden/>
  </w:style>
  <w:style w:type="paragraph" w:customStyle="1" w:styleId="a12">
    <w:name w:val="内容"/>
    <w:basedOn w:val="Normal"/>
    <w:pPr>
      <w:autoSpaceDE w:val="0"/>
      <w:autoSpaceDN w:val="0"/>
      <w:adjustRightInd w:val="0"/>
      <w:spacing w:line="360" w:lineRule="auto"/>
      <w:ind w:firstLine="480" w:firstLineChars="200"/>
    </w:pPr>
    <w:rPr>
      <w:rFonts w:ascii="宋体" w:hAnsi="宋体"/>
      <w:sz w:val="24"/>
      <w:szCs w:val="20"/>
    </w:rPr>
  </w:style>
  <w:style w:type="paragraph" w:customStyle="1" w:styleId="a13">
    <w:name w:val="图表头"/>
    <w:basedOn w:val="Normal"/>
    <w:pPr>
      <w:adjustRightInd w:val="0"/>
      <w:snapToGrid w:val="0"/>
      <w:spacing w:line="360" w:lineRule="auto"/>
      <w:ind w:firstLine="200" w:firstLineChars="200"/>
      <w:jc w:val="center"/>
      <w:textAlignment w:val="baseline"/>
    </w:pPr>
    <w:rPr>
      <w:rFonts w:ascii="黑体" w:eastAsia="黑体"/>
      <w:spacing w:val="5"/>
      <w:kern w:val="0"/>
      <w:sz w:val="24"/>
      <w:szCs w:val="20"/>
    </w:rPr>
  </w:style>
  <w:style w:type="paragraph" w:customStyle="1" w:styleId="01">
    <w:name w:val="正文01"/>
    <w:basedOn w:val="Normal"/>
    <w:pPr>
      <w:spacing w:before="60" w:line="460" w:lineRule="exact"/>
      <w:ind w:firstLine="200" w:firstLineChars="200"/>
    </w:pPr>
    <w:rPr>
      <w:sz w:val="24"/>
      <w:szCs w:val="20"/>
    </w:rPr>
  </w:style>
  <w:style w:type="paragraph" w:customStyle="1" w:styleId="a14">
    <w:name w:val="表尾"/>
    <w:basedOn w:val="NormalIndent"/>
    <w:pPr>
      <w:adjustRightInd/>
      <w:spacing w:line="240" w:lineRule="auto"/>
      <w:ind w:firstLine="210" w:firstLineChars="100"/>
      <w:jc w:val="left"/>
    </w:pPr>
    <w:rPr>
      <w:rFonts w:ascii="宋体" w:hAnsi="宋体"/>
      <w:sz w:val="21"/>
    </w:rPr>
  </w:style>
  <w:style w:type="paragraph" w:customStyle="1" w:styleId="11">
    <w:name w:val="正文1"/>
    <w:basedOn w:val="Normal"/>
    <w:pPr>
      <w:adjustRightInd w:val="0"/>
      <w:spacing w:after="120"/>
      <w:textAlignment w:val="baseline"/>
    </w:pPr>
    <w:rPr>
      <w:rFonts w:ascii="宋体"/>
      <w:kern w:val="0"/>
      <w:szCs w:val="20"/>
    </w:rPr>
  </w:style>
  <w:style w:type="paragraph" w:customStyle="1" w:styleId="a15">
    <w:name w:val="编号正文"/>
    <w:basedOn w:val="Normal"/>
    <w:pPr>
      <w:tabs>
        <w:tab w:val="left" w:pos="425"/>
      </w:tabs>
      <w:ind w:left="425" w:hanging="425"/>
    </w:pPr>
    <w:rPr>
      <w:rFonts w:eastAsia="仿宋_GB2312"/>
      <w:sz w:val="28"/>
      <w:szCs w:val="20"/>
    </w:rPr>
  </w:style>
  <w:style w:type="paragraph" w:customStyle="1" w:styleId="a16">
    <w:name w:val="正文表格"/>
    <w:basedOn w:val="Normal"/>
    <w:pPr>
      <w:spacing w:before="60" w:after="60"/>
    </w:pPr>
    <w:rPr>
      <w:sz w:val="24"/>
      <w:szCs w:val="20"/>
    </w:rPr>
  </w:style>
  <w:style w:type="paragraph" w:customStyle="1" w:styleId="xl25">
    <w:name w:val="xl25"/>
    <w:basedOn w:val="Normal"/>
    <w:pPr>
      <w:widowControl/>
      <w:spacing w:before="100" w:beforeAutospacing="1" w:after="100" w:afterAutospacing="1" w:line="360" w:lineRule="auto"/>
      <w:ind w:firstLine="200" w:firstLineChars="200"/>
      <w:jc w:val="center"/>
    </w:pPr>
    <w:rPr>
      <w:rFonts w:hAnsi="宋体"/>
      <w:kern w:val="0"/>
      <w:sz w:val="24"/>
      <w:szCs w:val="21"/>
    </w:rPr>
  </w:style>
  <w:style w:type="paragraph" w:customStyle="1" w:styleId="Char5">
    <w:name w:val="表格 Char"/>
    <w:basedOn w:val="Normal"/>
    <w:pPr>
      <w:spacing w:line="360" w:lineRule="auto"/>
      <w:jc w:val="center"/>
    </w:pPr>
  </w:style>
  <w:style w:type="paragraph" w:customStyle="1" w:styleId="2155155">
    <w:name w:val="样式 列表 2 + 居中 段前: 1.55 磅 段后: 1.55 磅"/>
    <w:basedOn w:val="List2"/>
    <w:pPr>
      <w:ind w:left="0" w:firstLine="0" w:leftChars="0" w:firstLineChars="0"/>
      <w:jc w:val="center"/>
    </w:pPr>
    <w:rPr>
      <w:rFonts w:cs="宋体"/>
      <w:kern w:val="0"/>
      <w:szCs w:val="20"/>
    </w:rPr>
  </w:style>
  <w:style w:type="paragraph" w:customStyle="1" w:styleId="30202">
    <w:name w:val="样式 列表 3 + 两端对齐 段前: 0.2 行 段后: 0.2 行"/>
    <w:basedOn w:val="List3"/>
    <w:pPr>
      <w:spacing w:beforeLines="20" w:afterLines="20"/>
    </w:pPr>
    <w:rPr>
      <w:rFonts w:ascii="Times New Roman" w:hAnsi="Times New Roman" w:cs="宋体"/>
    </w:rPr>
  </w:style>
  <w:style w:type="character" w:customStyle="1" w:styleId="font">
    <w:name w:val="font"/>
    <w:basedOn w:val="DefaultParagraphFont"/>
  </w:style>
  <w:style w:type="paragraph" w:customStyle="1" w:styleId="1-00">
    <w:name w:val="样式 标题 1章标题-*+ + 左侧:  0 厘米 首行缩进:  0 厘米"/>
    <w:basedOn w:val="Heading1"/>
    <w:pPr>
      <w:keepLines w:val="0"/>
      <w:tabs>
        <w:tab w:val="left" w:pos="360"/>
        <w:tab w:val="clear" w:pos="432"/>
      </w:tabs>
      <w:spacing w:line="360" w:lineRule="auto"/>
      <w:ind w:left="360" w:hanging="360"/>
      <w:jc w:val="both"/>
    </w:pPr>
    <w:rPr>
      <w:rFonts w:cs="宋体"/>
      <w:b w:val="0"/>
      <w:bCs w:val="0"/>
      <w:kern w:val="2"/>
      <w:sz w:val="32"/>
      <w:szCs w:val="20"/>
    </w:rPr>
  </w:style>
  <w:style w:type="character" w:customStyle="1" w:styleId="Char6">
    <w:name w:val="表名 Char"/>
    <w:rPr>
      <w:rFonts w:eastAsia="宋体"/>
      <w:b/>
      <w:kern w:val="2"/>
      <w:sz w:val="24"/>
      <w:szCs w:val="24"/>
      <w:lang w:val="en-US" w:eastAsia="zh-CN" w:bidi="ar-SA"/>
    </w:rPr>
  </w:style>
  <w:style w:type="paragraph" w:customStyle="1" w:styleId="font5">
    <w:name w:val="font5"/>
    <w:basedOn w:val="Normal"/>
    <w:pPr>
      <w:widowControl/>
      <w:spacing w:before="100" w:beforeAutospacing="1" w:after="100" w:afterAutospacing="1"/>
      <w:jc w:val="left"/>
    </w:pPr>
    <w:rPr>
      <w:rFonts w:eastAsia="Arial Unicode MS"/>
      <w:kern w:val="0"/>
      <w:szCs w:val="21"/>
    </w:rPr>
  </w:style>
  <w:style w:type="paragraph" w:customStyle="1" w:styleId="font6">
    <w:name w:val="font6"/>
    <w:basedOn w:val="Normal"/>
    <w:pPr>
      <w:widowControl/>
      <w:spacing w:before="100" w:beforeAutospacing="1" w:after="100" w:afterAutospacing="1"/>
      <w:jc w:val="left"/>
    </w:pPr>
    <w:rPr>
      <w:rFonts w:ascii="宋体" w:hAnsi="宋体" w:cs="Arial Unicode MS" w:hint="eastAsia"/>
      <w:kern w:val="0"/>
      <w:szCs w:val="21"/>
    </w:rPr>
  </w:style>
  <w:style w:type="paragraph" w:customStyle="1" w:styleId="font7">
    <w:name w:val="font7"/>
    <w:basedOn w:val="Normal"/>
    <w:pPr>
      <w:widowControl/>
      <w:spacing w:before="100" w:beforeAutospacing="1" w:after="100" w:afterAutospacing="1"/>
      <w:jc w:val="left"/>
    </w:pPr>
    <w:rPr>
      <w:rFonts w:eastAsia="Arial Unicode MS"/>
      <w:kern w:val="0"/>
      <w:szCs w:val="21"/>
    </w:rPr>
  </w:style>
  <w:style w:type="paragraph" w:customStyle="1" w:styleId="xl24">
    <w:name w:val="xl24"/>
    <w:basedOn w:val="Normal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26">
    <w:name w:val="xl26"/>
    <w:basedOn w:val="Normal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1"/>
    </w:rPr>
  </w:style>
  <w:style w:type="paragraph" w:customStyle="1" w:styleId="xl27">
    <w:name w:val="xl27"/>
    <w:basedOn w:val="Normal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1"/>
    </w:rPr>
  </w:style>
  <w:style w:type="paragraph" w:customStyle="1" w:styleId="xl28">
    <w:name w:val="xl28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29">
    <w:name w:val="xl29"/>
    <w:basedOn w:val="Normal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30">
    <w:name w:val="xl3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31">
    <w:name w:val="xl31"/>
    <w:basedOn w:val="Normal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32">
    <w:name w:val="xl32"/>
    <w:basedOn w:val="Normal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1"/>
    </w:rPr>
  </w:style>
  <w:style w:type="paragraph" w:customStyle="1" w:styleId="xl33">
    <w:name w:val="xl33"/>
    <w:basedOn w:val="Normal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34">
    <w:name w:val="xl34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35">
    <w:name w:val="xl35"/>
    <w:basedOn w:val="Normal"/>
    <w:pPr>
      <w:widowControl/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36">
    <w:name w:val="xl36"/>
    <w:basedOn w:val="Normal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37">
    <w:name w:val="xl37"/>
    <w:basedOn w:val="Normal"/>
    <w:pPr>
      <w:widowControl/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38">
    <w:name w:val="xl38"/>
    <w:basedOn w:val="Normal"/>
    <w:pPr>
      <w:widowControl/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39">
    <w:name w:val="xl39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40">
    <w:name w:val="xl40"/>
    <w:basedOn w:val="Normal"/>
    <w:pPr>
      <w:widowControl/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41">
    <w:name w:val="xl41"/>
    <w:basedOn w:val="Normal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42">
    <w:name w:val="xl42"/>
    <w:basedOn w:val="Normal"/>
    <w:pPr>
      <w:widowControl/>
      <w:pBdr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43">
    <w:name w:val="xl43"/>
    <w:basedOn w:val="Normal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44">
    <w:name w:val="xl44"/>
    <w:basedOn w:val="Normal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45">
    <w:name w:val="xl45"/>
    <w:basedOn w:val="Normal"/>
    <w:pPr>
      <w:widowControl/>
      <w:pBdr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46">
    <w:name w:val="xl46"/>
    <w:basedOn w:val="Normal"/>
    <w:pPr>
      <w:widowControl/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1"/>
    </w:rPr>
  </w:style>
  <w:style w:type="paragraph" w:customStyle="1" w:styleId="xl47">
    <w:name w:val="xl47"/>
    <w:basedOn w:val="Normal"/>
    <w:pPr>
      <w:widowControl/>
      <w:pBdr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eastAsia="Arial Unicode MS"/>
      <w:kern w:val="0"/>
      <w:szCs w:val="21"/>
    </w:rPr>
  </w:style>
  <w:style w:type="paragraph" w:customStyle="1" w:styleId="font8">
    <w:name w:val="font8"/>
    <w:basedOn w:val="Normal"/>
    <w:pPr>
      <w:widowControl/>
      <w:spacing w:before="100" w:beforeAutospacing="1" w:after="100" w:afterAutospacing="1"/>
      <w:jc w:val="left"/>
    </w:pPr>
    <w:rPr>
      <w:rFonts w:eastAsia="Arial Unicode MS"/>
      <w:kern w:val="0"/>
      <w:szCs w:val="21"/>
    </w:rPr>
  </w:style>
  <w:style w:type="paragraph" w:customStyle="1" w:styleId="0">
    <w:name w:val="0"/>
    <w:basedOn w:val="Normal"/>
    <w:pPr>
      <w:widowControl/>
      <w:snapToGrid w:val="0"/>
      <w:spacing w:line="400" w:lineRule="atLeast"/>
    </w:pPr>
    <w:rPr>
      <w:kern w:val="0"/>
      <w:sz w:val="24"/>
      <w:szCs w:val="20"/>
    </w:rPr>
  </w:style>
  <w:style w:type="paragraph" w:customStyle="1" w:styleId="20">
    <w:name w:val="样式2"/>
    <w:basedOn w:val="Normal"/>
    <w:pPr>
      <w:spacing w:line="360" w:lineRule="auto"/>
      <w:ind w:firstLine="480" w:firstLineChars="200"/>
      <w:jc w:val="left"/>
    </w:pPr>
    <w:rPr>
      <w:snapToGrid/>
      <w:kern w:val="0"/>
      <w:sz w:val="24"/>
    </w:rPr>
  </w:style>
  <w:style w:type="paragraph" w:customStyle="1" w:styleId="a17">
    <w:name w:val="表名、图名"/>
    <w:basedOn w:val="Normal"/>
    <w:next w:val="Normal"/>
    <w:link w:val="Char7"/>
    <w:semiHidden/>
    <w:pPr>
      <w:jc w:val="center"/>
    </w:pPr>
    <w:rPr>
      <w:rFonts w:ascii="黑体" w:eastAsia="黑体" w:hAnsi="黑体"/>
    </w:rPr>
  </w:style>
  <w:style w:type="character" w:customStyle="1" w:styleId="Char7">
    <w:name w:val="表名、图名 Char"/>
    <w:link w:val="a17"/>
    <w:rPr>
      <w:rFonts w:ascii="黑体" w:eastAsia="黑体" w:hAnsi="黑体"/>
      <w:kern w:val="2"/>
      <w:sz w:val="21"/>
      <w:szCs w:val="24"/>
      <w:lang w:val="en-US" w:eastAsia="zh-CN" w:bidi="ar-SA"/>
    </w:rPr>
  </w:style>
  <w:style w:type="paragraph" w:customStyle="1" w:styleId="12">
    <w:name w:val="专题1"/>
    <w:next w:val="Normal"/>
    <w:pPr>
      <w:numPr>
        <w:ilvl w:val="0"/>
        <w:numId w:val="4"/>
      </w:numPr>
      <w:tabs>
        <w:tab w:val="left" w:pos="431"/>
      </w:tabs>
      <w:spacing w:line="360" w:lineRule="auto"/>
      <w:outlineLvl w:val="1"/>
    </w:pPr>
    <w:rPr>
      <w:rFonts w:eastAsia="黑体"/>
      <w:snapToGrid w:val="0"/>
      <w:kern w:val="2"/>
      <w:sz w:val="28"/>
      <w:lang w:val="en-US" w:eastAsia="zh-CN" w:bidi="ar-SA"/>
    </w:rPr>
  </w:style>
  <w:style w:type="paragraph" w:customStyle="1" w:styleId="21">
    <w:name w:val="专标2"/>
    <w:next w:val="Normal"/>
    <w:pPr>
      <w:numPr>
        <w:ilvl w:val="1"/>
        <w:numId w:val="4"/>
      </w:numPr>
      <w:tabs>
        <w:tab w:val="left" w:pos="575"/>
      </w:tabs>
      <w:outlineLvl w:val="2"/>
    </w:pPr>
    <w:rPr>
      <w:rFonts w:eastAsia="黑体"/>
      <w:kern w:val="2"/>
      <w:sz w:val="24"/>
      <w:lang w:val="en-US" w:eastAsia="zh-CN" w:bidi="ar-SA"/>
    </w:rPr>
  </w:style>
  <w:style w:type="paragraph" w:customStyle="1" w:styleId="30">
    <w:name w:val="专标3"/>
    <w:next w:val="Normal"/>
    <w:pPr>
      <w:numPr>
        <w:ilvl w:val="2"/>
        <w:numId w:val="4"/>
      </w:numPr>
      <w:tabs>
        <w:tab w:val="left" w:pos="719"/>
      </w:tabs>
      <w:spacing w:line="360" w:lineRule="auto"/>
      <w:outlineLvl w:val="3"/>
    </w:pPr>
    <w:rPr>
      <w:kern w:val="2"/>
      <w:sz w:val="24"/>
      <w:lang w:val="en-US" w:eastAsia="zh-CN" w:bidi="ar-SA"/>
    </w:rPr>
  </w:style>
  <w:style w:type="paragraph" w:customStyle="1" w:styleId="40">
    <w:name w:val="专标4"/>
    <w:basedOn w:val="Normal"/>
    <w:semiHidden/>
    <w:pPr>
      <w:numPr>
        <w:ilvl w:val="3"/>
        <w:numId w:val="4"/>
      </w:numPr>
      <w:tabs>
        <w:tab w:val="left" w:pos="862"/>
      </w:tabs>
      <w:spacing w:line="360" w:lineRule="auto"/>
    </w:pPr>
    <w:rPr>
      <w:sz w:val="24"/>
      <w:szCs w:val="2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  <w:style w:type="paragraph" w:customStyle="1" w:styleId="a18">
    <w:name w:val="文章正文"/>
    <w:basedOn w:val="Normal"/>
    <w:link w:val="Char8"/>
    <w:pPr>
      <w:spacing w:line="360" w:lineRule="auto"/>
      <w:ind w:firstLine="200" w:firstLineChars="200"/>
    </w:pPr>
    <w:rPr>
      <w:sz w:val="24"/>
    </w:rPr>
  </w:style>
  <w:style w:type="character" w:customStyle="1" w:styleId="Char8">
    <w:name w:val="文章正文 Char"/>
    <w:link w:val="a18"/>
    <w:rPr>
      <w:rFonts w:eastAsia="宋体"/>
      <w:kern w:val="2"/>
      <w:sz w:val="24"/>
      <w:szCs w:val="24"/>
      <w:lang w:val="en-US" w:eastAsia="zh-CN" w:bidi="ar-SA"/>
    </w:rPr>
  </w:style>
  <w:style w:type="paragraph" w:customStyle="1" w:styleId="a19">
    <w:name w:val="表格文字"/>
    <w:basedOn w:val="Normal"/>
    <w:next w:val="a18"/>
    <w:semiHidden/>
    <w:pPr>
      <w:jc w:val="center"/>
    </w:pPr>
  </w:style>
  <w:style w:type="paragraph" w:customStyle="1" w:styleId="a20">
    <w:name w:val="正文内容"/>
    <w:basedOn w:val="Normal"/>
    <w:pPr>
      <w:spacing w:line="318" w:lineRule="exact"/>
      <w:ind w:firstLine="200" w:firstLineChars="200"/>
    </w:pPr>
    <w:rPr>
      <w:rFonts w:ascii="汉仪书宋二简" w:eastAsia="汉仪书宋二简" w:hAnsi="宋体"/>
      <w:szCs w:val="21"/>
    </w:rPr>
  </w:style>
  <w:style w:type="character" w:customStyle="1" w:styleId="apple-style-span">
    <w:name w:val="apple-style-span"/>
    <w:basedOn w:val="DefaultParagraphFont"/>
  </w:style>
  <w:style w:type="paragraph" w:customStyle="1" w:styleId="pic-info">
    <w:name w:val="pic-info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21">
    <w:name w:val="报告正文"/>
    <w:basedOn w:val="Normal"/>
    <w:pPr>
      <w:spacing w:line="360" w:lineRule="auto"/>
      <w:jc w:val="left"/>
    </w:pPr>
    <w:rPr>
      <w:sz w:val="24"/>
    </w:rPr>
  </w:style>
  <w:style w:type="paragraph" w:customStyle="1" w:styleId="CharChar1Char">
    <w:name w:val="Char Char1 Char"/>
    <w:basedOn w:val="Normal"/>
    <w:pPr>
      <w:spacing w:before="100" w:beforeAutospacing="1" w:after="100" w:afterAutospacing="1" w:line="360" w:lineRule="auto"/>
      <w:ind w:firstLine="480" w:firstLineChars="200"/>
      <w:jc w:val="left"/>
    </w:pPr>
    <w:rPr>
      <w:rFonts w:ascii="Arial" w:hAnsi="Arial"/>
      <w:kern w:val="0"/>
      <w:sz w:val="24"/>
      <w:lang w:eastAsia="en-US"/>
    </w:rPr>
  </w:style>
  <w:style w:type="paragraph" w:customStyle="1" w:styleId="a22">
    <w:name w:val="报告书正文"/>
    <w:pPr>
      <w:spacing w:line="360" w:lineRule="auto"/>
      <w:ind w:firstLine="200" w:firstLineChars="200"/>
      <w:jc w:val="both"/>
    </w:pPr>
    <w:rPr>
      <w:rFonts w:ascii="黑体"/>
      <w:kern w:val="2"/>
      <w:sz w:val="24"/>
      <w:szCs w:val="58"/>
      <w:lang w:val="en-US" w:eastAsia="zh-CN" w:bidi="ar-SA"/>
    </w:rPr>
  </w:style>
  <w:style w:type="paragraph" w:customStyle="1" w:styleId="a23">
    <w:name w:val="图表名"/>
    <w:next w:val="a21"/>
    <w:link w:val="Char9"/>
    <w:pPr>
      <w:spacing w:line="288" w:lineRule="auto"/>
      <w:jc w:val="center"/>
    </w:pPr>
    <w:rPr>
      <w:rFonts w:eastAsia="黑体"/>
      <w:snapToGrid w:val="0"/>
      <w:kern w:val="2"/>
      <w:sz w:val="24"/>
      <w:lang w:bidi="ar-SA"/>
    </w:rPr>
  </w:style>
  <w:style w:type="character" w:customStyle="1" w:styleId="Char9">
    <w:name w:val="图表名 Char"/>
    <w:link w:val="a23"/>
    <w:rPr>
      <w:rFonts w:eastAsia="黑体"/>
      <w:snapToGrid w:val="0"/>
      <w:kern w:val="2"/>
      <w:sz w:val="24"/>
      <w:lang w:bidi="ar-SA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  <w:style w:type="paragraph" w:customStyle="1" w:styleId="Char50">
    <w:name w:val="Char5"/>
    <w:basedOn w:val="DocumentMap"/>
    <w:pPr>
      <w:adjustRightInd w:val="0"/>
      <w:spacing w:line="436" w:lineRule="exact"/>
      <w:ind w:left="357"/>
      <w:jc w:val="left"/>
      <w:outlineLvl w:val="3"/>
    </w:pPr>
    <w:rPr>
      <w:rFonts w:ascii="宋体" w:hAnsi="宋体" w:cs="宋体"/>
      <w:sz w:val="24"/>
    </w:rPr>
  </w:style>
  <w:style w:type="paragraph" w:customStyle="1" w:styleId="CharChar1CharCharCharCharCharChar">
    <w:name w:val="Char Char1 Char Char Char Char Char Char"/>
    <w:basedOn w:val="Normal"/>
    <w:semiHidden/>
    <w:pPr>
      <w:spacing w:line="360" w:lineRule="auto"/>
    </w:pPr>
    <w:rPr>
      <w:sz w:val="24"/>
    </w:rPr>
  </w:style>
  <w:style w:type="paragraph" w:customStyle="1" w:styleId="a24">
    <w:name w:val="表名 图名"/>
    <w:basedOn w:val="Normal"/>
    <w:next w:val="Normal"/>
    <w:pPr>
      <w:spacing w:line="360" w:lineRule="auto"/>
      <w:jc w:val="center"/>
    </w:pPr>
    <w:rPr>
      <w:rFonts w:eastAsia="黑体"/>
      <w:sz w:val="24"/>
    </w:rPr>
  </w:style>
  <w:style w:type="paragraph" w:styleId="Revision">
    <w:name w:val="Revision"/>
    <w:uiPriority w:val="99"/>
    <w:semiHidden/>
    <w:rPr>
      <w:kern w:val="2"/>
      <w:sz w:val="21"/>
      <w:szCs w:val="24"/>
      <w:lang w:val="en-US" w:eastAsia="zh-CN" w:bidi="ar-SA"/>
    </w:rPr>
  </w:style>
  <w:style w:type="paragraph" w:customStyle="1" w:styleId="ParaCharCharCharCharCharCharCharCharCharCharCharCharChar1Char">
    <w:name w:val="默认段落字体 Para Char Char Char Char Char Char Char Char Char Char Char Char Char1 Char"/>
    <w:basedOn w:val="DocumentMap"/>
    <w:rPr>
      <w:rFonts w:ascii="Tahoma" w:hAnsi="Tahom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header" Target="header1.xml" /><Relationship Id="rId17" Type="http://schemas.openxmlformats.org/officeDocument/2006/relationships/footer" Target="footer13.xml" /><Relationship Id="rId18" Type="http://schemas.openxmlformats.org/officeDocument/2006/relationships/footer" Target="footer14.xml" /><Relationship Id="rId19" Type="http://schemas.openxmlformats.org/officeDocument/2006/relationships/header" Target="header2.xml" /><Relationship Id="rId2" Type="http://schemas.openxmlformats.org/officeDocument/2006/relationships/webSettings" Target="webSettings.xml" /><Relationship Id="rId20" Type="http://schemas.openxmlformats.org/officeDocument/2006/relationships/footer" Target="footer15.xml" /><Relationship Id="rId21" Type="http://schemas.openxmlformats.org/officeDocument/2006/relationships/footer" Target="footer16.xml" /><Relationship Id="rId22" Type="http://schemas.openxmlformats.org/officeDocument/2006/relationships/header" Target="header3.xml" /><Relationship Id="rId23" Type="http://schemas.openxmlformats.org/officeDocument/2006/relationships/footer" Target="footer17.xml" /><Relationship Id="rId24" Type="http://schemas.openxmlformats.org/officeDocument/2006/relationships/footer" Target="footer18.xml" /><Relationship Id="rId25" Type="http://schemas.openxmlformats.org/officeDocument/2006/relationships/hyperlink" Target="https://d.book118.com/668053006110006025" TargetMode="External" /><Relationship Id="rId26" Type="http://schemas.openxmlformats.org/officeDocument/2006/relationships/header" Target="header4.xml" /><Relationship Id="rId27" Type="http://schemas.openxmlformats.org/officeDocument/2006/relationships/footer" Target="footer19.xml" /><Relationship Id="rId28" Type="http://schemas.openxmlformats.org/officeDocument/2006/relationships/footer" Target="footer20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2147</Words>
  <Characters>12241</Characters>
  <Application>Microsoft Office Word</Application>
  <DocSecurity>0</DocSecurity>
  <Lines>102</Lines>
  <Paragraphs>28</Paragraphs>
  <ScaleCrop>false</ScaleCrop>
  <Company>Sky123.Org</Company>
  <LinksUpToDate>false</LinksUpToDate>
  <CharactersWithSpaces>14360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建设项目环境影响报告表</dc:title>
  <dc:creator>zhang_k3</dc:creator>
  <cp:lastModifiedBy>委员</cp:lastModifiedBy>
  <cp:revision>12</cp:revision>
  <cp:lastPrinted>2014-11-10T09:07:00Z</cp:lastPrinted>
  <dcterms:created xsi:type="dcterms:W3CDTF">2014-11-24T12:23:00Z</dcterms:created>
  <dcterms:modified xsi:type="dcterms:W3CDTF">2024-01-08T07:49:22Z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228EA83F65BA4A9384F6BF7621691F7A_12</vt:lpwstr>
  </property>
  <property fmtid="{D5CDD505-2E9C-101B-9397-08002B2CF9AE}" pid="3" name="KSOProductBuildVer">
    <vt:lpwstr>2052-12.1.0.15712</vt:lpwstr>
  </property>
</Properties>
</file>