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氮肥项目规划设计方案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954" w:history="1">
        <w:r>
          <w:rPr>
            <w:rFonts w:ascii="仿宋" w:eastAsia="仿宋" w:hAnsi="仿宋" w:cs="仿宋" w:hint="eastAsia"/>
            <w:lang w:eastAsia="zh-CN"/>
          </w:rPr>
          <w:t>前言</w:t>
        </w:r>
        <w:r>
          <w:tab/>
        </w:r>
        <w:r>
          <w:fldChar w:fldCharType="begin"/>
        </w:r>
        <w:r>
          <w:instrText xml:space="preserve"> PAGEREF _Toc29954 \h </w:instrText>
        </w:r>
        <w:r>
          <w:fldChar w:fldCharType="separate"/>
        </w:r>
        <w:r>
          <w:t>3</w:t>
        </w:r>
        <w:r>
          <w:fldChar w:fldCharType="end"/>
        </w:r>
      </w:hyperlink>
    </w:p>
    <w:p>
      <w:pPr>
        <w:pStyle w:val="TOC1"/>
        <w:tabs>
          <w:tab w:val="right" w:leader="dot" w:pos="8306"/>
        </w:tabs>
      </w:pPr>
      <w:hyperlink w:anchor="_Toc10348" w:history="1">
        <w:r>
          <w:rPr>
            <w:rFonts w:ascii="仿宋" w:eastAsia="仿宋" w:hAnsi="仿宋" w:cs="仿宋" w:hint="eastAsia"/>
            <w:lang w:eastAsia="zh-CN"/>
          </w:rPr>
          <w:t>一、氮肥项目文档管理</w:t>
        </w:r>
        <w:r>
          <w:tab/>
        </w:r>
        <w:r>
          <w:fldChar w:fldCharType="begin"/>
        </w:r>
        <w:r>
          <w:instrText xml:space="preserve"> PAGEREF _Toc10348 \h </w:instrText>
        </w:r>
        <w:r>
          <w:fldChar w:fldCharType="separate"/>
        </w:r>
        <w:r>
          <w:t>3</w:t>
        </w:r>
        <w:r>
          <w:fldChar w:fldCharType="end"/>
        </w:r>
      </w:hyperlink>
    </w:p>
    <w:p>
      <w:pPr>
        <w:pStyle w:val="TOC2"/>
        <w:tabs>
          <w:tab w:val="right" w:leader="dot" w:pos="8306"/>
        </w:tabs>
      </w:pPr>
      <w:hyperlink w:anchor="_Toc9580" w:history="1">
        <w:r>
          <w:rPr>
            <w:rFonts w:ascii="仿宋" w:eastAsia="仿宋" w:hAnsi="仿宋" w:cs="仿宋" w:hint="eastAsia"/>
            <w:lang w:eastAsia="zh-CN"/>
          </w:rPr>
          <w:t>(一)、文档编制与审查</w:t>
        </w:r>
        <w:r>
          <w:tab/>
        </w:r>
        <w:r>
          <w:fldChar w:fldCharType="begin"/>
        </w:r>
        <w:r>
          <w:instrText xml:space="preserve"> PAGEREF _Toc9580 \h </w:instrText>
        </w:r>
        <w:r>
          <w:fldChar w:fldCharType="separate"/>
        </w:r>
        <w:r>
          <w:t>3</w:t>
        </w:r>
        <w:r>
          <w:fldChar w:fldCharType="end"/>
        </w:r>
      </w:hyperlink>
    </w:p>
    <w:p>
      <w:pPr>
        <w:pStyle w:val="TOC2"/>
        <w:tabs>
          <w:tab w:val="right" w:leader="dot" w:pos="8306"/>
        </w:tabs>
      </w:pPr>
      <w:hyperlink w:anchor="_Toc31456" w:history="1">
        <w:r>
          <w:rPr>
            <w:rFonts w:ascii="仿宋" w:eastAsia="仿宋" w:hAnsi="仿宋" w:cs="仿宋" w:hint="eastAsia"/>
            <w:lang w:eastAsia="zh-CN"/>
          </w:rPr>
          <w:t>(二)、文档发布与分发</w:t>
        </w:r>
        <w:r>
          <w:tab/>
        </w:r>
        <w:r>
          <w:fldChar w:fldCharType="begin"/>
        </w:r>
        <w:r>
          <w:instrText xml:space="preserve"> PAGEREF _Toc31456 \h </w:instrText>
        </w:r>
        <w:r>
          <w:fldChar w:fldCharType="separate"/>
        </w:r>
        <w:r>
          <w:t>4</w:t>
        </w:r>
        <w:r>
          <w:fldChar w:fldCharType="end"/>
        </w:r>
      </w:hyperlink>
    </w:p>
    <w:p>
      <w:pPr>
        <w:pStyle w:val="TOC2"/>
        <w:tabs>
          <w:tab w:val="right" w:leader="dot" w:pos="8306"/>
        </w:tabs>
      </w:pPr>
      <w:hyperlink w:anchor="_Toc7834" w:history="1">
        <w:r>
          <w:rPr>
            <w:rFonts w:ascii="仿宋" w:eastAsia="仿宋" w:hAnsi="仿宋" w:cs="仿宋" w:hint="eastAsia"/>
            <w:lang w:eastAsia="zh-CN"/>
          </w:rPr>
          <w:t>(三)、文档存档与归档</w:t>
        </w:r>
        <w:r>
          <w:tab/>
        </w:r>
        <w:r>
          <w:fldChar w:fldCharType="begin"/>
        </w:r>
        <w:r>
          <w:instrText xml:space="preserve"> PAGEREF _Toc7834 \h </w:instrText>
        </w:r>
        <w:r>
          <w:fldChar w:fldCharType="separate"/>
        </w:r>
        <w:r>
          <w:t>5</w:t>
        </w:r>
        <w:r>
          <w:fldChar w:fldCharType="end"/>
        </w:r>
      </w:hyperlink>
    </w:p>
    <w:p>
      <w:pPr>
        <w:pStyle w:val="TOC1"/>
        <w:tabs>
          <w:tab w:val="right" w:leader="dot" w:pos="8306"/>
        </w:tabs>
      </w:pPr>
      <w:hyperlink w:anchor="_Toc27357" w:history="1">
        <w:r>
          <w:rPr>
            <w:rFonts w:ascii="仿宋" w:eastAsia="仿宋" w:hAnsi="仿宋" w:cs="仿宋" w:hint="eastAsia"/>
            <w:lang w:eastAsia="zh-CN"/>
          </w:rPr>
          <w:t>二、氮肥项目建设单位说明</w:t>
        </w:r>
        <w:r>
          <w:tab/>
        </w:r>
        <w:r>
          <w:fldChar w:fldCharType="begin"/>
        </w:r>
        <w:r>
          <w:instrText xml:space="preserve"> PAGEREF _Toc27357 \h </w:instrText>
        </w:r>
        <w:r>
          <w:fldChar w:fldCharType="separate"/>
        </w:r>
        <w:r>
          <w:t>6</w:t>
        </w:r>
        <w:r>
          <w:fldChar w:fldCharType="end"/>
        </w:r>
      </w:hyperlink>
    </w:p>
    <w:p>
      <w:pPr>
        <w:pStyle w:val="TOC2"/>
        <w:tabs>
          <w:tab w:val="right" w:leader="dot" w:pos="8306"/>
        </w:tabs>
      </w:pPr>
      <w:hyperlink w:anchor="_Toc13490" w:history="1">
        <w:r>
          <w:rPr>
            <w:rFonts w:ascii="仿宋" w:eastAsia="仿宋" w:hAnsi="仿宋" w:cs="仿宋" w:hint="eastAsia"/>
            <w:lang w:eastAsia="zh-CN"/>
          </w:rPr>
          <w:t>(一)、氮肥项目承办单位基本情况</w:t>
        </w:r>
        <w:r>
          <w:tab/>
        </w:r>
        <w:r>
          <w:fldChar w:fldCharType="begin"/>
        </w:r>
        <w:r>
          <w:instrText xml:space="preserve"> PAGEREF _Toc13490 \h </w:instrText>
        </w:r>
        <w:r>
          <w:fldChar w:fldCharType="separate"/>
        </w:r>
        <w:r>
          <w:t>6</w:t>
        </w:r>
        <w:r>
          <w:fldChar w:fldCharType="end"/>
        </w:r>
      </w:hyperlink>
    </w:p>
    <w:p>
      <w:pPr>
        <w:pStyle w:val="TOC2"/>
        <w:tabs>
          <w:tab w:val="right" w:leader="dot" w:pos="8306"/>
        </w:tabs>
      </w:pPr>
      <w:hyperlink w:anchor="_Toc3207" w:history="1">
        <w:r>
          <w:rPr>
            <w:rFonts w:ascii="仿宋" w:eastAsia="仿宋" w:hAnsi="仿宋" w:cs="仿宋" w:hint="eastAsia"/>
            <w:lang w:eastAsia="zh-CN"/>
          </w:rPr>
          <w:t>(二)、公司经济效益分析</w:t>
        </w:r>
        <w:r>
          <w:tab/>
        </w:r>
        <w:r>
          <w:fldChar w:fldCharType="begin"/>
        </w:r>
        <w:r>
          <w:instrText xml:space="preserve"> PAGEREF _Toc3207 \h </w:instrText>
        </w:r>
        <w:r>
          <w:fldChar w:fldCharType="separate"/>
        </w:r>
        <w:r>
          <w:t>7</w:t>
        </w:r>
        <w:r>
          <w:fldChar w:fldCharType="end"/>
        </w:r>
      </w:hyperlink>
    </w:p>
    <w:p>
      <w:pPr>
        <w:pStyle w:val="TOC1"/>
        <w:tabs>
          <w:tab w:val="right" w:leader="dot" w:pos="8306"/>
        </w:tabs>
      </w:pPr>
      <w:hyperlink w:anchor="_Toc24955" w:history="1">
        <w:r>
          <w:rPr>
            <w:rFonts w:ascii="仿宋" w:eastAsia="仿宋" w:hAnsi="仿宋" w:cs="仿宋" w:hint="eastAsia"/>
            <w:lang w:eastAsia="zh-CN"/>
          </w:rPr>
          <w:t>三、氮肥项目概论</w:t>
        </w:r>
        <w:r>
          <w:tab/>
        </w:r>
        <w:r>
          <w:fldChar w:fldCharType="begin"/>
        </w:r>
        <w:r>
          <w:instrText xml:space="preserve"> PAGEREF _Toc24955 \h </w:instrText>
        </w:r>
        <w:r>
          <w:fldChar w:fldCharType="separate"/>
        </w:r>
        <w:r>
          <w:t>8</w:t>
        </w:r>
        <w:r>
          <w:fldChar w:fldCharType="end"/>
        </w:r>
      </w:hyperlink>
    </w:p>
    <w:p>
      <w:pPr>
        <w:pStyle w:val="TOC2"/>
        <w:tabs>
          <w:tab w:val="right" w:leader="dot" w:pos="8306"/>
        </w:tabs>
      </w:pPr>
      <w:hyperlink w:anchor="_Toc6133" w:history="1">
        <w:r>
          <w:rPr>
            <w:rFonts w:ascii="仿宋" w:eastAsia="仿宋" w:hAnsi="仿宋" w:cs="仿宋" w:hint="eastAsia"/>
            <w:lang w:eastAsia="zh-CN"/>
          </w:rPr>
          <w:t>(一)、氮肥项目概况</w:t>
        </w:r>
        <w:r>
          <w:tab/>
        </w:r>
        <w:r>
          <w:fldChar w:fldCharType="begin"/>
        </w:r>
        <w:r>
          <w:instrText xml:space="preserve"> PAGEREF _Toc6133 \h </w:instrText>
        </w:r>
        <w:r>
          <w:fldChar w:fldCharType="separate"/>
        </w:r>
        <w:r>
          <w:t>8</w:t>
        </w:r>
        <w:r>
          <w:fldChar w:fldCharType="end"/>
        </w:r>
      </w:hyperlink>
    </w:p>
    <w:p>
      <w:pPr>
        <w:pStyle w:val="TOC2"/>
        <w:tabs>
          <w:tab w:val="right" w:leader="dot" w:pos="8306"/>
        </w:tabs>
      </w:pPr>
      <w:hyperlink w:anchor="_Toc13427" w:history="1">
        <w:r>
          <w:rPr>
            <w:rFonts w:ascii="仿宋" w:eastAsia="仿宋" w:hAnsi="仿宋" w:cs="仿宋" w:hint="eastAsia"/>
            <w:lang w:eastAsia="zh-CN"/>
          </w:rPr>
          <w:t>(二)、氮肥项目目标</w:t>
        </w:r>
        <w:r>
          <w:tab/>
        </w:r>
        <w:r>
          <w:fldChar w:fldCharType="begin"/>
        </w:r>
        <w:r>
          <w:instrText xml:space="preserve"> PAGEREF _Toc13427 \h </w:instrText>
        </w:r>
        <w:r>
          <w:fldChar w:fldCharType="separate"/>
        </w:r>
        <w:r>
          <w:t>10</w:t>
        </w:r>
        <w:r>
          <w:fldChar w:fldCharType="end"/>
        </w:r>
      </w:hyperlink>
    </w:p>
    <w:p>
      <w:pPr>
        <w:pStyle w:val="TOC2"/>
        <w:tabs>
          <w:tab w:val="right" w:leader="dot" w:pos="8306"/>
        </w:tabs>
      </w:pPr>
      <w:hyperlink w:anchor="_Toc16234" w:history="1">
        <w:r>
          <w:rPr>
            <w:rFonts w:ascii="仿宋" w:eastAsia="仿宋" w:hAnsi="仿宋" w:cs="仿宋" w:hint="eastAsia"/>
            <w:lang w:eastAsia="zh-CN"/>
          </w:rPr>
          <w:t>(三)、氮肥项目提出的理由</w:t>
        </w:r>
        <w:r>
          <w:tab/>
        </w:r>
        <w:r>
          <w:fldChar w:fldCharType="begin"/>
        </w:r>
        <w:r>
          <w:instrText xml:space="preserve"> PAGEREF _Toc16234 \h </w:instrText>
        </w:r>
        <w:r>
          <w:fldChar w:fldCharType="separate"/>
        </w:r>
        <w:r>
          <w:t>11</w:t>
        </w:r>
        <w:r>
          <w:fldChar w:fldCharType="end"/>
        </w:r>
      </w:hyperlink>
    </w:p>
    <w:p>
      <w:pPr>
        <w:pStyle w:val="TOC2"/>
        <w:tabs>
          <w:tab w:val="right" w:leader="dot" w:pos="8306"/>
        </w:tabs>
      </w:pPr>
      <w:hyperlink w:anchor="_Toc23712" w:history="1">
        <w:r>
          <w:rPr>
            <w:rFonts w:ascii="仿宋" w:eastAsia="仿宋" w:hAnsi="仿宋" w:cs="仿宋" w:hint="eastAsia"/>
            <w:lang w:eastAsia="zh-CN"/>
          </w:rPr>
          <w:t>(四)、氮肥项目意义</w:t>
        </w:r>
        <w:r>
          <w:tab/>
        </w:r>
        <w:r>
          <w:fldChar w:fldCharType="begin"/>
        </w:r>
        <w:r>
          <w:instrText xml:space="preserve"> PAGEREF _Toc23712 \h </w:instrText>
        </w:r>
        <w:r>
          <w:fldChar w:fldCharType="separate"/>
        </w:r>
        <w:r>
          <w:t>12</w:t>
        </w:r>
        <w:r>
          <w:fldChar w:fldCharType="end"/>
        </w:r>
      </w:hyperlink>
    </w:p>
    <w:p>
      <w:pPr>
        <w:pStyle w:val="TOC2"/>
        <w:tabs>
          <w:tab w:val="right" w:leader="dot" w:pos="8306"/>
        </w:tabs>
      </w:pPr>
      <w:hyperlink w:anchor="_Toc27737" w:history="1">
        <w:r>
          <w:rPr>
            <w:rFonts w:ascii="仿宋" w:eastAsia="仿宋" w:hAnsi="仿宋" w:cs="仿宋" w:hint="eastAsia"/>
            <w:lang w:eastAsia="zh-CN"/>
          </w:rPr>
          <w:t>(五)、氮肥项目背景</w:t>
        </w:r>
        <w:r>
          <w:tab/>
        </w:r>
        <w:r>
          <w:fldChar w:fldCharType="begin"/>
        </w:r>
        <w:r>
          <w:instrText xml:space="preserve"> PAGEREF _Toc27737 \h </w:instrText>
        </w:r>
        <w:r>
          <w:fldChar w:fldCharType="separate"/>
        </w:r>
        <w:r>
          <w:t>13</w:t>
        </w:r>
        <w:r>
          <w:fldChar w:fldCharType="end"/>
        </w:r>
      </w:hyperlink>
    </w:p>
    <w:p>
      <w:pPr>
        <w:pStyle w:val="TOC1"/>
        <w:tabs>
          <w:tab w:val="right" w:leader="dot" w:pos="8306"/>
        </w:tabs>
      </w:pPr>
      <w:hyperlink w:anchor="_Toc25104" w:history="1">
        <w:r>
          <w:rPr>
            <w:rFonts w:ascii="仿宋" w:eastAsia="仿宋" w:hAnsi="仿宋" w:cs="仿宋" w:hint="eastAsia"/>
            <w:lang w:eastAsia="zh-CN"/>
          </w:rPr>
          <w:t>四、市场分析、调研</w:t>
        </w:r>
        <w:r>
          <w:tab/>
        </w:r>
        <w:r>
          <w:fldChar w:fldCharType="begin"/>
        </w:r>
        <w:r>
          <w:instrText xml:space="preserve"> PAGEREF _Toc25104 \h </w:instrText>
        </w:r>
        <w:r>
          <w:fldChar w:fldCharType="separate"/>
        </w:r>
        <w:r>
          <w:t>14</w:t>
        </w:r>
        <w:r>
          <w:fldChar w:fldCharType="end"/>
        </w:r>
      </w:hyperlink>
    </w:p>
    <w:p>
      <w:pPr>
        <w:pStyle w:val="TOC2"/>
        <w:tabs>
          <w:tab w:val="right" w:leader="dot" w:pos="8306"/>
        </w:tabs>
      </w:pPr>
      <w:hyperlink w:anchor="_Toc16756" w:history="1">
        <w:r>
          <w:rPr>
            <w:rFonts w:ascii="仿宋" w:eastAsia="仿宋" w:hAnsi="仿宋" w:cs="仿宋" w:hint="eastAsia"/>
            <w:lang w:eastAsia="zh-CN"/>
          </w:rPr>
          <w:t>(一)、氮肥行业分析</w:t>
        </w:r>
        <w:r>
          <w:tab/>
        </w:r>
        <w:r>
          <w:fldChar w:fldCharType="begin"/>
        </w:r>
        <w:r>
          <w:instrText xml:space="preserve"> PAGEREF _Toc16756 \h </w:instrText>
        </w:r>
        <w:r>
          <w:fldChar w:fldCharType="separate"/>
        </w:r>
        <w:r>
          <w:t>14</w:t>
        </w:r>
        <w:r>
          <w:fldChar w:fldCharType="end"/>
        </w:r>
      </w:hyperlink>
    </w:p>
    <w:p>
      <w:pPr>
        <w:pStyle w:val="TOC2"/>
        <w:tabs>
          <w:tab w:val="right" w:leader="dot" w:pos="8306"/>
        </w:tabs>
      </w:pPr>
      <w:hyperlink w:anchor="_Toc5148" w:history="1">
        <w:r>
          <w:rPr>
            <w:rFonts w:ascii="仿宋" w:eastAsia="仿宋" w:hAnsi="仿宋" w:cs="仿宋" w:hint="eastAsia"/>
            <w:lang w:eastAsia="zh-CN"/>
          </w:rPr>
          <w:t>(二)、氮肥市场分析预测</w:t>
        </w:r>
        <w:r>
          <w:tab/>
        </w:r>
        <w:r>
          <w:fldChar w:fldCharType="begin"/>
        </w:r>
        <w:r>
          <w:instrText xml:space="preserve"> PAGEREF _Toc5148 \h </w:instrText>
        </w:r>
        <w:r>
          <w:fldChar w:fldCharType="separate"/>
        </w:r>
        <w:r>
          <w:t>15</w:t>
        </w:r>
        <w:r>
          <w:fldChar w:fldCharType="end"/>
        </w:r>
      </w:hyperlink>
    </w:p>
    <w:p>
      <w:pPr>
        <w:pStyle w:val="TOC1"/>
        <w:tabs>
          <w:tab w:val="right" w:leader="dot" w:pos="8306"/>
        </w:tabs>
      </w:pPr>
      <w:hyperlink w:anchor="_Toc29276" w:history="1">
        <w:r>
          <w:rPr>
            <w:rFonts w:ascii="仿宋" w:eastAsia="仿宋" w:hAnsi="仿宋" w:cs="仿宋" w:hint="eastAsia"/>
            <w:lang w:eastAsia="zh-CN"/>
          </w:rPr>
          <w:t>五、氮肥项目建设背景及必要性分析</w:t>
        </w:r>
        <w:r>
          <w:tab/>
        </w:r>
        <w:r>
          <w:fldChar w:fldCharType="begin"/>
        </w:r>
        <w:r>
          <w:instrText xml:space="preserve"> PAGEREF _Toc29276 \h </w:instrText>
        </w:r>
        <w:r>
          <w:fldChar w:fldCharType="separate"/>
        </w:r>
        <w:r>
          <w:t>16</w:t>
        </w:r>
        <w:r>
          <w:fldChar w:fldCharType="end"/>
        </w:r>
      </w:hyperlink>
    </w:p>
    <w:p>
      <w:pPr>
        <w:pStyle w:val="TOC2"/>
        <w:tabs>
          <w:tab w:val="right" w:leader="dot" w:pos="8306"/>
        </w:tabs>
      </w:pPr>
      <w:hyperlink w:anchor="_Toc6883" w:history="1">
        <w:r>
          <w:rPr>
            <w:rFonts w:ascii="仿宋" w:eastAsia="仿宋" w:hAnsi="仿宋" w:cs="仿宋" w:hint="eastAsia"/>
            <w:lang w:eastAsia="zh-CN"/>
          </w:rPr>
          <w:t>(一)、氮肥项目背景分析</w:t>
        </w:r>
        <w:r>
          <w:tab/>
        </w:r>
        <w:r>
          <w:fldChar w:fldCharType="begin"/>
        </w:r>
        <w:r>
          <w:instrText xml:space="preserve"> PAGEREF _Toc6883 \h </w:instrText>
        </w:r>
        <w:r>
          <w:fldChar w:fldCharType="separate"/>
        </w:r>
        <w:r>
          <w:t>16</w:t>
        </w:r>
        <w:r>
          <w:fldChar w:fldCharType="end"/>
        </w:r>
      </w:hyperlink>
    </w:p>
    <w:p>
      <w:pPr>
        <w:pStyle w:val="TOC2"/>
        <w:tabs>
          <w:tab w:val="right" w:leader="dot" w:pos="8306"/>
        </w:tabs>
      </w:pPr>
      <w:hyperlink w:anchor="_Toc17837" w:history="1">
        <w:r>
          <w:rPr>
            <w:rFonts w:ascii="仿宋" w:eastAsia="仿宋" w:hAnsi="仿宋" w:cs="仿宋" w:hint="eastAsia"/>
            <w:lang w:eastAsia="zh-CN"/>
          </w:rPr>
          <w:t>(二)、氮肥项目建设必要性分析</w:t>
        </w:r>
        <w:r>
          <w:tab/>
        </w:r>
        <w:r>
          <w:fldChar w:fldCharType="begin"/>
        </w:r>
        <w:r>
          <w:instrText xml:space="preserve"> PAGEREF _Toc17837 \h </w:instrText>
        </w:r>
        <w:r>
          <w:fldChar w:fldCharType="separate"/>
        </w:r>
        <w:r>
          <w:t>17</w:t>
        </w:r>
        <w:r>
          <w:fldChar w:fldCharType="end"/>
        </w:r>
      </w:hyperlink>
    </w:p>
    <w:p>
      <w:pPr>
        <w:pStyle w:val="TOC1"/>
        <w:tabs>
          <w:tab w:val="right" w:leader="dot" w:pos="8306"/>
        </w:tabs>
      </w:pPr>
      <w:hyperlink w:anchor="_Toc19875" w:history="1">
        <w:r>
          <w:rPr>
            <w:rFonts w:ascii="仿宋" w:eastAsia="仿宋" w:hAnsi="仿宋" w:cs="仿宋" w:hint="eastAsia"/>
            <w:lang w:eastAsia="zh-CN"/>
          </w:rPr>
          <w:t>六、工艺说明</w:t>
        </w:r>
        <w:r>
          <w:tab/>
        </w:r>
        <w:r>
          <w:fldChar w:fldCharType="begin"/>
        </w:r>
        <w:r>
          <w:instrText xml:space="preserve"> PAGEREF _Toc19875 \h </w:instrText>
        </w:r>
        <w:r>
          <w:fldChar w:fldCharType="separate"/>
        </w:r>
        <w:r>
          <w:t>19</w:t>
        </w:r>
        <w:r>
          <w:fldChar w:fldCharType="end"/>
        </w:r>
      </w:hyperlink>
    </w:p>
    <w:p>
      <w:pPr>
        <w:pStyle w:val="TOC2"/>
        <w:tabs>
          <w:tab w:val="right" w:leader="dot" w:pos="8306"/>
        </w:tabs>
      </w:pPr>
      <w:hyperlink w:anchor="_Toc31859" w:history="1">
        <w:r>
          <w:rPr>
            <w:rFonts w:ascii="仿宋" w:eastAsia="仿宋" w:hAnsi="仿宋" w:cs="仿宋" w:hint="eastAsia"/>
            <w:lang w:eastAsia="zh-CN"/>
          </w:rPr>
          <w:t>(一)、技术管理特点</w:t>
        </w:r>
        <w:r>
          <w:tab/>
        </w:r>
        <w:r>
          <w:fldChar w:fldCharType="begin"/>
        </w:r>
        <w:r>
          <w:instrText xml:space="preserve"> PAGEREF _Toc31859 \h </w:instrText>
        </w:r>
        <w:r>
          <w:fldChar w:fldCharType="separate"/>
        </w:r>
        <w:r>
          <w:t>19</w:t>
        </w:r>
        <w:r>
          <w:fldChar w:fldCharType="end"/>
        </w:r>
      </w:hyperlink>
    </w:p>
    <w:p>
      <w:pPr>
        <w:pStyle w:val="TOC2"/>
        <w:tabs>
          <w:tab w:val="right" w:leader="dot" w:pos="8306"/>
        </w:tabs>
      </w:pPr>
      <w:hyperlink w:anchor="_Toc15578" w:history="1">
        <w:r>
          <w:rPr>
            <w:rFonts w:ascii="仿宋" w:eastAsia="仿宋" w:hAnsi="仿宋" w:cs="仿宋" w:hint="eastAsia"/>
            <w:lang w:eastAsia="zh-CN"/>
          </w:rPr>
          <w:t>(二)、氮肥项目工艺技术设计方案</w:t>
        </w:r>
        <w:r>
          <w:tab/>
        </w:r>
        <w:r>
          <w:fldChar w:fldCharType="begin"/>
        </w:r>
        <w:r>
          <w:instrText xml:space="preserve"> PAGEREF _Toc15578 \h </w:instrText>
        </w:r>
        <w:r>
          <w:fldChar w:fldCharType="separate"/>
        </w:r>
        <w:r>
          <w:t>20</w:t>
        </w:r>
        <w:r>
          <w:fldChar w:fldCharType="end"/>
        </w:r>
      </w:hyperlink>
    </w:p>
    <w:p>
      <w:pPr>
        <w:pStyle w:val="TOC2"/>
        <w:tabs>
          <w:tab w:val="right" w:leader="dot" w:pos="8306"/>
        </w:tabs>
      </w:pPr>
      <w:hyperlink w:anchor="_Toc29266" w:history="1">
        <w:r>
          <w:rPr>
            <w:rFonts w:ascii="仿宋" w:eastAsia="仿宋" w:hAnsi="仿宋" w:cs="仿宋" w:hint="eastAsia"/>
            <w:lang w:eastAsia="zh-CN"/>
          </w:rPr>
          <w:t>(三)、设备选型方案</w:t>
        </w:r>
        <w:r>
          <w:tab/>
        </w:r>
        <w:r>
          <w:fldChar w:fldCharType="begin"/>
        </w:r>
        <w:r>
          <w:instrText xml:space="preserve"> PAGEREF _Toc29266 \h </w:instrText>
        </w:r>
        <w:r>
          <w:fldChar w:fldCharType="separate"/>
        </w:r>
        <w:r>
          <w:t>21</w:t>
        </w:r>
        <w:r>
          <w:fldChar w:fldCharType="end"/>
        </w:r>
      </w:hyperlink>
    </w:p>
    <w:p>
      <w:pPr>
        <w:pStyle w:val="TOC1"/>
        <w:tabs>
          <w:tab w:val="right" w:leader="dot" w:pos="8306"/>
        </w:tabs>
      </w:pPr>
      <w:hyperlink w:anchor="_Toc5708" w:history="1">
        <w:r>
          <w:rPr>
            <w:rFonts w:ascii="仿宋" w:eastAsia="仿宋" w:hAnsi="仿宋" w:cs="仿宋" w:hint="eastAsia"/>
            <w:lang w:eastAsia="zh-CN"/>
          </w:rPr>
          <w:t>七、生产安全保护</w:t>
        </w:r>
        <w:r>
          <w:tab/>
        </w:r>
        <w:r>
          <w:fldChar w:fldCharType="begin"/>
        </w:r>
        <w:r>
          <w:instrText xml:space="preserve"> PAGEREF _Toc5708 \h </w:instrText>
        </w:r>
        <w:r>
          <w:fldChar w:fldCharType="separate"/>
        </w:r>
        <w:r>
          <w:t>22</w:t>
        </w:r>
        <w:r>
          <w:fldChar w:fldCharType="end"/>
        </w:r>
      </w:hyperlink>
    </w:p>
    <w:p>
      <w:pPr>
        <w:pStyle w:val="TOC2"/>
        <w:tabs>
          <w:tab w:val="right" w:leader="dot" w:pos="8306"/>
        </w:tabs>
      </w:pPr>
      <w:hyperlink w:anchor="_Toc9193" w:history="1">
        <w:r>
          <w:rPr>
            <w:rFonts w:ascii="仿宋" w:eastAsia="仿宋" w:hAnsi="仿宋" w:cs="仿宋" w:hint="eastAsia"/>
            <w:lang w:eastAsia="zh-CN"/>
          </w:rPr>
          <w:t>(一)、消防安全</w:t>
        </w:r>
        <w:r>
          <w:tab/>
        </w:r>
        <w:r>
          <w:fldChar w:fldCharType="begin"/>
        </w:r>
        <w:r>
          <w:instrText xml:space="preserve"> PAGEREF _Toc9193 \h </w:instrText>
        </w:r>
        <w:r>
          <w:fldChar w:fldCharType="separate"/>
        </w:r>
        <w:r>
          <w:t>22</w:t>
        </w:r>
        <w:r>
          <w:fldChar w:fldCharType="end"/>
        </w:r>
      </w:hyperlink>
    </w:p>
    <w:p>
      <w:pPr>
        <w:pStyle w:val="TOC2"/>
        <w:tabs>
          <w:tab w:val="right" w:leader="dot" w:pos="8306"/>
        </w:tabs>
      </w:pPr>
      <w:hyperlink w:anchor="_Toc31333" w:history="1">
        <w:r>
          <w:rPr>
            <w:rFonts w:ascii="仿宋" w:eastAsia="仿宋" w:hAnsi="仿宋" w:cs="仿宋" w:hint="eastAsia"/>
            <w:lang w:eastAsia="zh-CN"/>
          </w:rPr>
          <w:t>(二)、防火防爆总图布置措施</w:t>
        </w:r>
        <w:r>
          <w:tab/>
        </w:r>
        <w:r>
          <w:fldChar w:fldCharType="begin"/>
        </w:r>
        <w:r>
          <w:instrText xml:space="preserve"> PAGEREF _Toc31333 \h </w:instrText>
        </w:r>
        <w:r>
          <w:fldChar w:fldCharType="separate"/>
        </w:r>
        <w:r>
          <w:t>24</w:t>
        </w:r>
        <w:r>
          <w:fldChar w:fldCharType="end"/>
        </w:r>
      </w:hyperlink>
    </w:p>
    <w:p>
      <w:pPr>
        <w:pStyle w:val="TOC2"/>
        <w:tabs>
          <w:tab w:val="right" w:leader="dot" w:pos="8306"/>
        </w:tabs>
      </w:pPr>
      <w:hyperlink w:anchor="_Toc29995" w:history="1">
        <w:r>
          <w:rPr>
            <w:rFonts w:ascii="仿宋" w:eastAsia="仿宋" w:hAnsi="仿宋" w:cs="仿宋" w:hint="eastAsia"/>
            <w:lang w:eastAsia="zh-CN"/>
          </w:rPr>
          <w:t>(三)、自然灾害防范措施</w:t>
        </w:r>
        <w:r>
          <w:tab/>
        </w:r>
        <w:r>
          <w:fldChar w:fldCharType="begin"/>
        </w:r>
        <w:r>
          <w:instrText xml:space="preserve"> PAGEREF _Toc29995 \h </w:instrText>
        </w:r>
        <w:r>
          <w:fldChar w:fldCharType="separate"/>
        </w:r>
        <w:r>
          <w:t>24</w:t>
        </w:r>
        <w:r>
          <w:fldChar w:fldCharType="end"/>
        </w:r>
      </w:hyperlink>
    </w:p>
    <w:p>
      <w:pPr>
        <w:pStyle w:val="TOC2"/>
        <w:tabs>
          <w:tab w:val="right" w:leader="dot" w:pos="8306"/>
        </w:tabs>
      </w:pPr>
      <w:hyperlink w:anchor="_Toc21909" w:history="1">
        <w:r>
          <w:rPr>
            <w:rFonts w:ascii="仿宋" w:eastAsia="仿宋" w:hAnsi="仿宋" w:cs="仿宋" w:hint="eastAsia"/>
            <w:lang w:eastAsia="zh-CN"/>
          </w:rPr>
          <w:t>(四)、安全色及安全标志使用要求</w:t>
        </w:r>
        <w:r>
          <w:tab/>
        </w:r>
        <w:r>
          <w:fldChar w:fldCharType="begin"/>
        </w:r>
        <w:r>
          <w:instrText xml:space="preserve"> PAGEREF _Toc21909 \h </w:instrText>
        </w:r>
        <w:r>
          <w:fldChar w:fldCharType="separate"/>
        </w:r>
        <w:r>
          <w:t>25</w:t>
        </w:r>
        <w:r>
          <w:fldChar w:fldCharType="end"/>
        </w:r>
      </w:hyperlink>
    </w:p>
    <w:p>
      <w:pPr>
        <w:pStyle w:val="TOC2"/>
        <w:tabs>
          <w:tab w:val="right" w:leader="dot" w:pos="8306"/>
        </w:tabs>
      </w:pPr>
      <w:hyperlink w:anchor="_Toc8147" w:history="1">
        <w:r>
          <w:rPr>
            <w:rFonts w:ascii="仿宋" w:eastAsia="仿宋" w:hAnsi="仿宋" w:cs="仿宋" w:hint="eastAsia"/>
            <w:lang w:eastAsia="zh-CN"/>
          </w:rPr>
          <w:t>(五)、防尘防毒措施</w:t>
        </w:r>
        <w:r>
          <w:tab/>
        </w:r>
        <w:r>
          <w:fldChar w:fldCharType="begin"/>
        </w:r>
        <w:r>
          <w:instrText xml:space="preserve"> PAGEREF _Toc8147 \h </w:instrText>
        </w:r>
        <w:r>
          <w:fldChar w:fldCharType="separate"/>
        </w:r>
        <w:r>
          <w:t>26</w:t>
        </w:r>
        <w:r>
          <w:fldChar w:fldCharType="end"/>
        </w:r>
      </w:hyperlink>
    </w:p>
    <w:p>
      <w:pPr>
        <w:pStyle w:val="TOC2"/>
        <w:tabs>
          <w:tab w:val="right" w:leader="dot" w:pos="8306"/>
        </w:tabs>
      </w:pPr>
      <w:hyperlink w:anchor="_Toc9619" w:history="1">
        <w:r>
          <w:rPr>
            <w:rFonts w:ascii="仿宋" w:eastAsia="仿宋" w:hAnsi="仿宋" w:cs="仿宋" w:hint="eastAsia"/>
            <w:lang w:eastAsia="zh-CN"/>
          </w:rPr>
          <w:t>(六)、防静电、触电防护及防雷措施</w:t>
        </w:r>
        <w:r>
          <w:tab/>
        </w:r>
        <w:r>
          <w:fldChar w:fldCharType="begin"/>
        </w:r>
        <w:r>
          <w:instrText xml:space="preserve"> PAGEREF _Toc9619 \h </w:instrText>
        </w:r>
        <w:r>
          <w:fldChar w:fldCharType="separate"/>
        </w:r>
        <w:r>
          <w:t>27</w:t>
        </w:r>
        <w:r>
          <w:fldChar w:fldCharType="end"/>
        </w:r>
      </w:hyperlink>
    </w:p>
    <w:p>
      <w:pPr>
        <w:pStyle w:val="TOC2"/>
        <w:tabs>
          <w:tab w:val="right" w:leader="dot" w:pos="8306"/>
        </w:tabs>
      </w:pPr>
      <w:hyperlink w:anchor="_Toc12825" w:history="1">
        <w:r>
          <w:rPr>
            <w:rFonts w:ascii="仿宋" w:eastAsia="仿宋" w:hAnsi="仿宋" w:cs="仿宋" w:hint="eastAsia"/>
            <w:lang w:eastAsia="zh-CN"/>
          </w:rPr>
          <w:t>(七)、机械设备安全保障措施</w:t>
        </w:r>
        <w:r>
          <w:tab/>
        </w:r>
        <w:r>
          <w:fldChar w:fldCharType="begin"/>
        </w:r>
        <w:r>
          <w:instrText xml:space="preserve"> PAGEREF _Toc12825 \h </w:instrText>
        </w:r>
        <w:r>
          <w:fldChar w:fldCharType="separate"/>
        </w:r>
        <w:r>
          <w:t>28</w:t>
        </w:r>
        <w:r>
          <w:fldChar w:fldCharType="end"/>
        </w:r>
      </w:hyperlink>
    </w:p>
    <w:p>
      <w:pPr>
        <w:pStyle w:val="TOC1"/>
        <w:tabs>
          <w:tab w:val="right" w:leader="dot" w:pos="8306"/>
        </w:tabs>
      </w:pPr>
      <w:hyperlink w:anchor="_Toc4520" w:history="1">
        <w:r>
          <w:rPr>
            <w:rFonts w:ascii="仿宋" w:eastAsia="仿宋" w:hAnsi="仿宋" w:cs="仿宋" w:hint="eastAsia"/>
            <w:lang w:eastAsia="zh-CN"/>
          </w:rPr>
          <w:t>八、氮肥项目人力资源管理</w:t>
        </w:r>
        <w:r>
          <w:tab/>
        </w:r>
        <w:r>
          <w:fldChar w:fldCharType="begin"/>
        </w:r>
        <w:r>
          <w:instrText xml:space="preserve"> PAGEREF _Toc4520 \h </w:instrText>
        </w:r>
        <w:r>
          <w:fldChar w:fldCharType="separate"/>
        </w:r>
        <w:r>
          <w:t>30</w:t>
        </w:r>
        <w:r>
          <w:fldChar w:fldCharType="end"/>
        </w:r>
      </w:hyperlink>
    </w:p>
    <w:p>
      <w:pPr>
        <w:pStyle w:val="TOC2"/>
        <w:tabs>
          <w:tab w:val="right" w:leader="dot" w:pos="8306"/>
        </w:tabs>
      </w:pPr>
      <w:hyperlink w:anchor="_Toc2119" w:history="1">
        <w:r>
          <w:rPr>
            <w:rFonts w:ascii="仿宋" w:eastAsia="仿宋" w:hAnsi="仿宋" w:cs="仿宋" w:hint="eastAsia"/>
            <w:lang w:eastAsia="zh-CN"/>
          </w:rPr>
          <w:t>(一)、建立健全的预算管理制度</w:t>
        </w:r>
        <w:r>
          <w:tab/>
        </w:r>
        <w:r>
          <w:fldChar w:fldCharType="begin"/>
        </w:r>
        <w:r>
          <w:instrText xml:space="preserve"> PAGEREF _Toc2119 \h </w:instrText>
        </w:r>
        <w:r>
          <w:fldChar w:fldCharType="separate"/>
        </w:r>
        <w:r>
          <w:t>30</w:t>
        </w:r>
        <w:r>
          <w:fldChar w:fldCharType="end"/>
        </w:r>
      </w:hyperlink>
    </w:p>
    <w:p>
      <w:pPr>
        <w:pStyle w:val="TOC2"/>
        <w:tabs>
          <w:tab w:val="right" w:leader="dot" w:pos="8306"/>
        </w:tabs>
      </w:pPr>
      <w:hyperlink w:anchor="_Toc13944" w:history="1">
        <w:r>
          <w:rPr>
            <w:rFonts w:ascii="仿宋" w:eastAsia="仿宋" w:hAnsi="仿宋" w:cs="仿宋" w:hint="eastAsia"/>
            <w:lang w:eastAsia="zh-CN"/>
          </w:rPr>
          <w:t>(二)、加强资金流动监控</w:t>
        </w:r>
        <w:r>
          <w:tab/>
        </w:r>
        <w:r>
          <w:fldChar w:fldCharType="begin"/>
        </w:r>
        <w:r>
          <w:instrText xml:space="preserve"> PAGEREF _Toc13944 \h </w:instrText>
        </w:r>
        <w:r>
          <w:fldChar w:fldCharType="separate"/>
        </w:r>
        <w:r>
          <w:t>31</w:t>
        </w:r>
        <w:r>
          <w:fldChar w:fldCharType="end"/>
        </w:r>
      </w:hyperlink>
    </w:p>
    <w:p>
      <w:pPr>
        <w:pStyle w:val="TOC2"/>
        <w:tabs>
          <w:tab w:val="right" w:leader="dot" w:pos="8306"/>
        </w:tabs>
      </w:pPr>
      <w:hyperlink w:anchor="_Toc16367" w:history="1">
        <w:r>
          <w:rPr>
            <w:rFonts w:ascii="仿宋" w:eastAsia="仿宋" w:hAnsi="仿宋" w:cs="仿宋" w:hint="eastAsia"/>
            <w:lang w:eastAsia="zh-CN"/>
          </w:rPr>
          <w:t>(三)、制定完善的风险控制机制</w:t>
        </w:r>
        <w:r>
          <w:tab/>
        </w:r>
        <w:r>
          <w:fldChar w:fldCharType="begin"/>
        </w:r>
        <w:r>
          <w:instrText xml:space="preserve"> PAGEREF _Toc16367 \h </w:instrText>
        </w:r>
        <w:r>
          <w:fldChar w:fldCharType="separate"/>
        </w:r>
        <w:r>
          <w:t>32</w:t>
        </w:r>
        <w:r>
          <w:fldChar w:fldCharType="end"/>
        </w:r>
      </w:hyperlink>
    </w:p>
    <w:p>
      <w:pPr>
        <w:pStyle w:val="TOC2"/>
        <w:tabs>
          <w:tab w:val="right" w:leader="dot" w:pos="8306"/>
        </w:tabs>
      </w:pPr>
      <w:hyperlink w:anchor="_Toc18653" w:history="1">
        <w:r>
          <w:rPr>
            <w:rFonts w:ascii="仿宋" w:eastAsia="仿宋" w:hAnsi="仿宋" w:cs="仿宋" w:hint="eastAsia"/>
            <w:lang w:eastAsia="zh-CN"/>
          </w:rPr>
          <w:t>(四)、优化成本管理</w:t>
        </w:r>
        <w:r>
          <w:tab/>
        </w:r>
        <w:r>
          <w:fldChar w:fldCharType="begin"/>
        </w:r>
        <w:r>
          <w:instrText xml:space="preserve"> PAGEREF _Toc18653 \h </w:instrText>
        </w:r>
        <w:r>
          <w:fldChar w:fldCharType="separate"/>
        </w:r>
        <w:r>
          <w:t>34</w:t>
        </w:r>
        <w:r>
          <w:fldChar w:fldCharType="end"/>
        </w:r>
      </w:hyperlink>
    </w:p>
    <w:p>
      <w:pPr>
        <w:pStyle w:val="TOC1"/>
        <w:tabs>
          <w:tab w:val="right" w:leader="dot" w:pos="8306"/>
        </w:tabs>
      </w:pPr>
      <w:hyperlink w:anchor="_Toc22985" w:history="1">
        <w:r>
          <w:rPr>
            <w:rFonts w:ascii="仿宋" w:eastAsia="仿宋" w:hAnsi="仿宋" w:cs="仿宋" w:hint="eastAsia"/>
            <w:lang w:eastAsia="zh-CN"/>
          </w:rPr>
          <w:t>九、氮肥项目社会影响</w:t>
        </w:r>
        <w:r>
          <w:tab/>
        </w:r>
        <w:r>
          <w:fldChar w:fldCharType="begin"/>
        </w:r>
        <w:r>
          <w:instrText xml:space="preserve"> PAGEREF _Toc22985 \h </w:instrText>
        </w:r>
        <w:r>
          <w:fldChar w:fldCharType="separate"/>
        </w:r>
        <w:r>
          <w:t>35</w:t>
        </w:r>
        <w:r>
          <w:fldChar w:fldCharType="end"/>
        </w:r>
      </w:hyperlink>
    </w:p>
    <w:p>
      <w:pPr>
        <w:pStyle w:val="TOC2"/>
        <w:tabs>
          <w:tab w:val="right" w:leader="dot" w:pos="8306"/>
        </w:tabs>
      </w:pPr>
      <w:hyperlink w:anchor="_Toc4305" w:history="1">
        <w:r>
          <w:rPr>
            <w:rFonts w:ascii="仿宋" w:eastAsia="仿宋" w:hAnsi="仿宋" w:cs="仿宋" w:hint="eastAsia"/>
            <w:lang w:eastAsia="zh-CN"/>
          </w:rPr>
          <w:t>(一)、社会责任与义务</w:t>
        </w:r>
        <w:r>
          <w:tab/>
        </w:r>
        <w:r>
          <w:fldChar w:fldCharType="begin"/>
        </w:r>
        <w:r>
          <w:instrText xml:space="preserve"> PAGEREF _Toc4305 \h </w:instrText>
        </w:r>
        <w:r>
          <w:fldChar w:fldCharType="separate"/>
        </w:r>
        <w:r>
          <w:t>35</w:t>
        </w:r>
        <w:r>
          <w:fldChar w:fldCharType="end"/>
        </w:r>
      </w:hyperlink>
    </w:p>
    <w:p>
      <w:pPr>
        <w:pStyle w:val="TOC2"/>
        <w:tabs>
          <w:tab w:val="right" w:leader="dot" w:pos="8306"/>
        </w:tabs>
      </w:pPr>
      <w:hyperlink w:anchor="_Toc10114" w:history="1">
        <w:r>
          <w:rPr>
            <w:rFonts w:ascii="仿宋" w:eastAsia="仿宋" w:hAnsi="仿宋" w:cs="仿宋" w:hint="eastAsia"/>
            <w:lang w:eastAsia="zh-CN"/>
          </w:rPr>
          <w:t>(二)、社会参与与沟通</w:t>
        </w:r>
        <w:r>
          <w:tab/>
        </w:r>
        <w:r>
          <w:fldChar w:fldCharType="begin"/>
        </w:r>
        <w:r>
          <w:instrText xml:space="preserve"> PAGEREF _Toc10114 \h </w:instrText>
        </w:r>
        <w:r>
          <w:fldChar w:fldCharType="separate"/>
        </w:r>
        <w:r>
          <w:t>36</w:t>
        </w:r>
        <w:r>
          <w:fldChar w:fldCharType="end"/>
        </w:r>
      </w:hyperlink>
    </w:p>
    <w:p>
      <w:pPr>
        <w:pStyle w:val="TOC1"/>
        <w:tabs>
          <w:tab w:val="right" w:leader="dot" w:pos="8306"/>
        </w:tabs>
      </w:pPr>
      <w:hyperlink w:anchor="_Toc1151" w:history="1">
        <w:r>
          <w:rPr>
            <w:rFonts w:ascii="仿宋" w:eastAsia="仿宋" w:hAnsi="仿宋" w:cs="仿宋" w:hint="eastAsia"/>
            <w:lang w:eastAsia="zh-CN"/>
          </w:rPr>
          <w:t>十、氮肥项目经营效益</w:t>
        </w:r>
        <w:r>
          <w:tab/>
        </w:r>
        <w:r>
          <w:fldChar w:fldCharType="begin"/>
        </w:r>
        <w:r>
          <w:instrText xml:space="preserve"> PAGEREF _Toc1151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718" w:history="1">
        <w:r>
          <w:rPr>
            <w:rFonts w:ascii="仿宋" w:eastAsia="仿宋" w:hAnsi="仿宋" w:cs="仿宋" w:hint="eastAsia"/>
            <w:lang w:eastAsia="zh-CN"/>
          </w:rPr>
          <w:t>(一)、经济评价财务测算</w:t>
        </w:r>
        <w:r>
          <w:tab/>
        </w:r>
        <w:r>
          <w:fldChar w:fldCharType="begin"/>
        </w:r>
        <w:r>
          <w:instrText xml:space="preserve"> PAGEREF _Toc19718 \h </w:instrText>
        </w:r>
        <w:r>
          <w:fldChar w:fldCharType="separate"/>
        </w:r>
        <w:r>
          <w:t>37</w:t>
        </w:r>
        <w:r>
          <w:fldChar w:fldCharType="end"/>
        </w:r>
      </w:hyperlink>
    </w:p>
    <w:p>
      <w:pPr>
        <w:pStyle w:val="TOC2"/>
        <w:tabs>
          <w:tab w:val="right" w:leader="dot" w:pos="8306"/>
        </w:tabs>
      </w:pPr>
      <w:hyperlink w:anchor="_Toc19691" w:history="1">
        <w:r>
          <w:rPr>
            <w:rFonts w:ascii="仿宋" w:eastAsia="仿宋" w:hAnsi="仿宋" w:cs="仿宋" w:hint="eastAsia"/>
            <w:lang w:eastAsia="zh-CN"/>
          </w:rPr>
          <w:t>(二)、氮肥项目盈利能力分析</w:t>
        </w:r>
        <w:r>
          <w:tab/>
        </w:r>
        <w:r>
          <w:fldChar w:fldCharType="begin"/>
        </w:r>
        <w:r>
          <w:instrText xml:space="preserve"> PAGEREF _Toc19691 \h </w:instrText>
        </w:r>
        <w:r>
          <w:fldChar w:fldCharType="separate"/>
        </w:r>
        <w:r>
          <w:t>38</w:t>
        </w:r>
        <w:r>
          <w:fldChar w:fldCharType="end"/>
        </w:r>
      </w:hyperlink>
    </w:p>
    <w:p>
      <w:pPr>
        <w:pStyle w:val="TOC1"/>
        <w:tabs>
          <w:tab w:val="right" w:leader="dot" w:pos="8306"/>
        </w:tabs>
      </w:pPr>
      <w:hyperlink w:anchor="_Toc6404" w:history="1">
        <w:r>
          <w:rPr>
            <w:rFonts w:ascii="仿宋" w:eastAsia="仿宋" w:hAnsi="仿宋" w:cs="仿宋" w:hint="eastAsia"/>
            <w:lang w:eastAsia="zh-CN"/>
          </w:rPr>
          <w:t>十一、氮肥项目计划安排</w:t>
        </w:r>
        <w:r>
          <w:tab/>
        </w:r>
        <w:r>
          <w:fldChar w:fldCharType="begin"/>
        </w:r>
        <w:r>
          <w:instrText xml:space="preserve"> PAGEREF _Toc6404 \h </w:instrText>
        </w:r>
        <w:r>
          <w:fldChar w:fldCharType="separate"/>
        </w:r>
        <w:r>
          <w:t>39</w:t>
        </w:r>
        <w:r>
          <w:fldChar w:fldCharType="end"/>
        </w:r>
      </w:hyperlink>
    </w:p>
    <w:p>
      <w:pPr>
        <w:pStyle w:val="TOC2"/>
        <w:tabs>
          <w:tab w:val="right" w:leader="dot" w:pos="8306"/>
        </w:tabs>
      </w:pPr>
      <w:hyperlink w:anchor="_Toc2259" w:history="1">
        <w:r>
          <w:rPr>
            <w:rFonts w:ascii="仿宋" w:eastAsia="仿宋" w:hAnsi="仿宋" w:cs="仿宋" w:hint="eastAsia"/>
            <w:lang w:eastAsia="zh-CN"/>
          </w:rPr>
          <w:t>(一)、建设周期</w:t>
        </w:r>
        <w:r>
          <w:tab/>
        </w:r>
        <w:r>
          <w:fldChar w:fldCharType="begin"/>
        </w:r>
        <w:r>
          <w:instrText xml:space="preserve"> PAGEREF _Toc2259 \h </w:instrText>
        </w:r>
        <w:r>
          <w:fldChar w:fldCharType="separate"/>
        </w:r>
        <w:r>
          <w:t>39</w:t>
        </w:r>
        <w:r>
          <w:fldChar w:fldCharType="end"/>
        </w:r>
      </w:hyperlink>
    </w:p>
    <w:p>
      <w:pPr>
        <w:pStyle w:val="TOC2"/>
        <w:tabs>
          <w:tab w:val="right" w:leader="dot" w:pos="8306"/>
        </w:tabs>
      </w:pPr>
      <w:hyperlink w:anchor="_Toc22213" w:history="1">
        <w:r>
          <w:rPr>
            <w:rFonts w:ascii="仿宋" w:eastAsia="仿宋" w:hAnsi="仿宋" w:cs="仿宋" w:hint="eastAsia"/>
            <w:lang w:eastAsia="zh-CN"/>
          </w:rPr>
          <w:t>(二)、建设进度</w:t>
        </w:r>
        <w:r>
          <w:tab/>
        </w:r>
        <w:r>
          <w:fldChar w:fldCharType="begin"/>
        </w:r>
        <w:r>
          <w:instrText xml:space="preserve"> PAGEREF _Toc22213 \h </w:instrText>
        </w:r>
        <w:r>
          <w:fldChar w:fldCharType="separate"/>
        </w:r>
        <w:r>
          <w:t>39</w:t>
        </w:r>
        <w:r>
          <w:fldChar w:fldCharType="end"/>
        </w:r>
      </w:hyperlink>
    </w:p>
    <w:p>
      <w:pPr>
        <w:pStyle w:val="TOC2"/>
        <w:tabs>
          <w:tab w:val="right" w:leader="dot" w:pos="8306"/>
        </w:tabs>
      </w:pPr>
      <w:hyperlink w:anchor="_Toc1984" w:history="1">
        <w:r>
          <w:rPr>
            <w:rFonts w:ascii="仿宋" w:eastAsia="仿宋" w:hAnsi="仿宋" w:cs="仿宋" w:hint="eastAsia"/>
            <w:lang w:eastAsia="zh-CN"/>
          </w:rPr>
          <w:t>(三)、进度安排注意事项</w:t>
        </w:r>
        <w:r>
          <w:tab/>
        </w:r>
        <w:r>
          <w:fldChar w:fldCharType="begin"/>
        </w:r>
        <w:r>
          <w:instrText xml:space="preserve"> PAGEREF _Toc1984 \h </w:instrText>
        </w:r>
        <w:r>
          <w:fldChar w:fldCharType="separate"/>
        </w:r>
        <w:r>
          <w:t>40</w:t>
        </w:r>
        <w:r>
          <w:fldChar w:fldCharType="end"/>
        </w:r>
      </w:hyperlink>
    </w:p>
    <w:p>
      <w:pPr>
        <w:pStyle w:val="TOC2"/>
        <w:tabs>
          <w:tab w:val="right" w:leader="dot" w:pos="8306"/>
        </w:tabs>
      </w:pPr>
      <w:hyperlink w:anchor="_Toc2957" w:history="1">
        <w:r>
          <w:rPr>
            <w:rFonts w:ascii="仿宋" w:eastAsia="仿宋" w:hAnsi="仿宋" w:cs="仿宋" w:hint="eastAsia"/>
            <w:lang w:eastAsia="zh-CN"/>
          </w:rPr>
          <w:t>(四)、人力资源配置</w:t>
        </w:r>
        <w:r>
          <w:tab/>
        </w:r>
        <w:r>
          <w:fldChar w:fldCharType="begin"/>
        </w:r>
        <w:r>
          <w:instrText xml:space="preserve"> PAGEREF _Toc2957 \h </w:instrText>
        </w:r>
        <w:r>
          <w:fldChar w:fldCharType="separate"/>
        </w:r>
        <w:r>
          <w:t>42</w:t>
        </w:r>
        <w:r>
          <w:fldChar w:fldCharType="end"/>
        </w:r>
      </w:hyperlink>
    </w:p>
    <w:p>
      <w:pPr>
        <w:pStyle w:val="TOC1"/>
        <w:tabs>
          <w:tab w:val="right" w:leader="dot" w:pos="8306"/>
        </w:tabs>
      </w:pPr>
      <w:hyperlink w:anchor="_Toc18006" w:history="1">
        <w:r>
          <w:rPr>
            <w:rFonts w:ascii="仿宋" w:eastAsia="仿宋" w:hAnsi="仿宋" w:cs="仿宋" w:hint="eastAsia"/>
            <w:lang w:eastAsia="zh-CN"/>
          </w:rPr>
          <w:t>十二、氮肥项目投资规划</w:t>
        </w:r>
        <w:r>
          <w:tab/>
        </w:r>
        <w:r>
          <w:fldChar w:fldCharType="begin"/>
        </w:r>
        <w:r>
          <w:instrText xml:space="preserve"> PAGEREF _Toc18006 \h </w:instrText>
        </w:r>
        <w:r>
          <w:fldChar w:fldCharType="separate"/>
        </w:r>
        <w:r>
          <w:t>43</w:t>
        </w:r>
        <w:r>
          <w:fldChar w:fldCharType="end"/>
        </w:r>
      </w:hyperlink>
    </w:p>
    <w:p>
      <w:pPr>
        <w:pStyle w:val="TOC2"/>
        <w:tabs>
          <w:tab w:val="right" w:leader="dot" w:pos="8306"/>
        </w:tabs>
      </w:pPr>
      <w:hyperlink w:anchor="_Toc25626" w:history="1">
        <w:r>
          <w:rPr>
            <w:rFonts w:ascii="仿宋" w:eastAsia="仿宋" w:hAnsi="仿宋" w:cs="仿宋" w:hint="eastAsia"/>
            <w:lang w:eastAsia="zh-CN"/>
          </w:rPr>
          <w:t>(一)、氮肥项目总投资估算</w:t>
        </w:r>
        <w:r>
          <w:tab/>
        </w:r>
        <w:r>
          <w:fldChar w:fldCharType="begin"/>
        </w:r>
        <w:r>
          <w:instrText xml:space="preserve"> PAGEREF _Toc25626 \h </w:instrText>
        </w:r>
        <w:r>
          <w:fldChar w:fldCharType="separate"/>
        </w:r>
        <w:r>
          <w:t>43</w:t>
        </w:r>
        <w:r>
          <w:fldChar w:fldCharType="end"/>
        </w:r>
      </w:hyperlink>
    </w:p>
    <w:p>
      <w:pPr>
        <w:pStyle w:val="TOC2"/>
        <w:tabs>
          <w:tab w:val="right" w:leader="dot" w:pos="8306"/>
        </w:tabs>
      </w:pPr>
      <w:hyperlink w:anchor="_Toc32355" w:history="1">
        <w:r>
          <w:rPr>
            <w:rFonts w:ascii="仿宋" w:eastAsia="仿宋" w:hAnsi="仿宋" w:cs="仿宋" w:hint="eastAsia"/>
            <w:lang w:eastAsia="zh-CN"/>
          </w:rPr>
          <w:t>(二)、资金筹措</w:t>
        </w:r>
        <w:r>
          <w:tab/>
        </w:r>
        <w:r>
          <w:fldChar w:fldCharType="begin"/>
        </w:r>
        <w:r>
          <w:instrText xml:space="preserve"> PAGEREF _Toc32355 \h </w:instrText>
        </w:r>
        <w:r>
          <w:fldChar w:fldCharType="separate"/>
        </w:r>
        <w:r>
          <w:t>44</w:t>
        </w:r>
        <w:r>
          <w:fldChar w:fldCharType="end"/>
        </w:r>
      </w:hyperlink>
    </w:p>
    <w:p>
      <w:pPr>
        <w:pStyle w:val="TOC1"/>
        <w:tabs>
          <w:tab w:val="right" w:leader="dot" w:pos="8306"/>
        </w:tabs>
      </w:pPr>
      <w:hyperlink w:anchor="_Toc31483" w:history="1">
        <w:r>
          <w:rPr>
            <w:rFonts w:ascii="仿宋" w:eastAsia="仿宋" w:hAnsi="仿宋" w:cs="仿宋" w:hint="eastAsia"/>
            <w:lang w:eastAsia="zh-CN"/>
          </w:rPr>
          <w:t>十三、氮肥项目治理与监督</w:t>
        </w:r>
        <w:r>
          <w:tab/>
        </w:r>
        <w:r>
          <w:fldChar w:fldCharType="begin"/>
        </w:r>
        <w:r>
          <w:instrText xml:space="preserve"> PAGEREF _Toc31483 \h </w:instrText>
        </w:r>
        <w:r>
          <w:fldChar w:fldCharType="separate"/>
        </w:r>
        <w:r>
          <w:t>45</w:t>
        </w:r>
        <w:r>
          <w:fldChar w:fldCharType="end"/>
        </w:r>
      </w:hyperlink>
    </w:p>
    <w:p>
      <w:pPr>
        <w:pStyle w:val="TOC2"/>
        <w:tabs>
          <w:tab w:val="right" w:leader="dot" w:pos="8306"/>
        </w:tabs>
      </w:pPr>
      <w:hyperlink w:anchor="_Toc28743" w:history="1">
        <w:r>
          <w:rPr>
            <w:rFonts w:ascii="仿宋" w:eastAsia="仿宋" w:hAnsi="仿宋" w:cs="仿宋" w:hint="eastAsia"/>
            <w:lang w:eastAsia="zh-CN"/>
          </w:rPr>
          <w:t>(一)、氮肥项目治理结构</w:t>
        </w:r>
        <w:r>
          <w:tab/>
        </w:r>
        <w:r>
          <w:fldChar w:fldCharType="begin"/>
        </w:r>
        <w:r>
          <w:instrText xml:space="preserve"> PAGEREF _Toc28743 \h </w:instrText>
        </w:r>
        <w:r>
          <w:fldChar w:fldCharType="separate"/>
        </w:r>
        <w:r>
          <w:t>45</w:t>
        </w:r>
        <w:r>
          <w:fldChar w:fldCharType="end"/>
        </w:r>
      </w:hyperlink>
    </w:p>
    <w:p>
      <w:pPr>
        <w:pStyle w:val="TOC2"/>
        <w:tabs>
          <w:tab w:val="right" w:leader="dot" w:pos="8306"/>
        </w:tabs>
      </w:pPr>
      <w:hyperlink w:anchor="_Toc9948" w:history="1">
        <w:r>
          <w:rPr>
            <w:rFonts w:ascii="仿宋" w:eastAsia="仿宋" w:hAnsi="仿宋" w:cs="仿宋" w:hint="eastAsia"/>
            <w:lang w:eastAsia="zh-CN"/>
          </w:rPr>
          <w:t>(二)、监督与审计</w:t>
        </w:r>
        <w:r>
          <w:tab/>
        </w:r>
        <w:r>
          <w:fldChar w:fldCharType="begin"/>
        </w:r>
        <w:r>
          <w:instrText xml:space="preserve"> PAGEREF _Toc9948 \h </w:instrText>
        </w:r>
        <w:r>
          <w:fldChar w:fldCharType="separate"/>
        </w:r>
        <w:r>
          <w:t>46</w:t>
        </w:r>
        <w:r>
          <w:fldChar w:fldCharType="end"/>
        </w:r>
      </w:hyperlink>
    </w:p>
    <w:p>
      <w:pPr>
        <w:pStyle w:val="TOC1"/>
        <w:tabs>
          <w:tab w:val="right" w:leader="dot" w:pos="8306"/>
        </w:tabs>
      </w:pPr>
      <w:hyperlink w:anchor="_Toc30879" w:history="1">
        <w:r>
          <w:rPr>
            <w:rFonts w:ascii="仿宋" w:eastAsia="仿宋" w:hAnsi="仿宋" w:cs="仿宋" w:hint="eastAsia"/>
            <w:lang w:eastAsia="zh-CN"/>
          </w:rPr>
          <w:t>十四、质量管理体系</w:t>
        </w:r>
        <w:r>
          <w:tab/>
        </w:r>
        <w:r>
          <w:fldChar w:fldCharType="begin"/>
        </w:r>
        <w:r>
          <w:instrText xml:space="preserve"> PAGEREF _Toc30879 \h </w:instrText>
        </w:r>
        <w:r>
          <w:fldChar w:fldCharType="separate"/>
        </w:r>
        <w:r>
          <w:t>47</w:t>
        </w:r>
        <w:r>
          <w:fldChar w:fldCharType="end"/>
        </w:r>
      </w:hyperlink>
    </w:p>
    <w:p>
      <w:pPr>
        <w:pStyle w:val="TOC2"/>
        <w:tabs>
          <w:tab w:val="right" w:leader="dot" w:pos="8306"/>
        </w:tabs>
      </w:pPr>
      <w:hyperlink w:anchor="_Toc14332" w:history="1">
        <w:r>
          <w:rPr>
            <w:rFonts w:ascii="仿宋" w:eastAsia="仿宋" w:hAnsi="仿宋" w:cs="仿宋" w:hint="eastAsia"/>
            <w:lang w:eastAsia="zh-CN"/>
          </w:rPr>
          <w:t>(一)、质量目标与方针</w:t>
        </w:r>
        <w:r>
          <w:tab/>
        </w:r>
        <w:r>
          <w:fldChar w:fldCharType="begin"/>
        </w:r>
        <w:r>
          <w:instrText xml:space="preserve"> PAGEREF _Toc14332 \h </w:instrText>
        </w:r>
        <w:r>
          <w:fldChar w:fldCharType="separate"/>
        </w:r>
        <w:r>
          <w:t>47</w:t>
        </w:r>
        <w:r>
          <w:fldChar w:fldCharType="end"/>
        </w:r>
      </w:hyperlink>
    </w:p>
    <w:p>
      <w:pPr>
        <w:pStyle w:val="TOC2"/>
        <w:tabs>
          <w:tab w:val="right" w:leader="dot" w:pos="8306"/>
        </w:tabs>
      </w:pPr>
      <w:hyperlink w:anchor="_Toc23653" w:history="1">
        <w:r>
          <w:rPr>
            <w:rFonts w:ascii="仿宋" w:eastAsia="仿宋" w:hAnsi="仿宋" w:cs="仿宋" w:hint="eastAsia"/>
            <w:lang w:eastAsia="zh-CN"/>
          </w:rPr>
          <w:t>(二)、质量管理责任</w:t>
        </w:r>
        <w:r>
          <w:tab/>
        </w:r>
        <w:r>
          <w:fldChar w:fldCharType="begin"/>
        </w:r>
        <w:r>
          <w:instrText xml:space="preserve"> PAGEREF _Toc23653 \h </w:instrText>
        </w:r>
        <w:r>
          <w:fldChar w:fldCharType="separate"/>
        </w:r>
        <w:r>
          <w:t>48</w:t>
        </w:r>
        <w:r>
          <w:fldChar w:fldCharType="end"/>
        </w:r>
      </w:hyperlink>
    </w:p>
    <w:p>
      <w:pPr>
        <w:pStyle w:val="TOC2"/>
        <w:tabs>
          <w:tab w:val="right" w:leader="dot" w:pos="8306"/>
        </w:tabs>
      </w:pPr>
      <w:hyperlink w:anchor="_Toc1626" w:history="1">
        <w:r>
          <w:rPr>
            <w:rFonts w:ascii="仿宋" w:eastAsia="仿宋" w:hAnsi="仿宋" w:cs="仿宋" w:hint="eastAsia"/>
            <w:lang w:eastAsia="zh-CN"/>
          </w:rPr>
          <w:t>(三)、质量管理体系文件</w:t>
        </w:r>
        <w:r>
          <w:tab/>
        </w:r>
        <w:r>
          <w:fldChar w:fldCharType="begin"/>
        </w:r>
        <w:r>
          <w:instrText xml:space="preserve"> PAGEREF _Toc1626 \h </w:instrText>
        </w:r>
        <w:r>
          <w:fldChar w:fldCharType="separate"/>
        </w:r>
        <w:r>
          <w:t>50</w:t>
        </w:r>
        <w:r>
          <w:fldChar w:fldCharType="end"/>
        </w:r>
      </w:hyperlink>
    </w:p>
    <w:p>
      <w:pPr>
        <w:pStyle w:val="TOC2"/>
        <w:tabs>
          <w:tab w:val="right" w:leader="dot" w:pos="8306"/>
        </w:tabs>
      </w:pPr>
      <w:hyperlink w:anchor="_Toc18139" w:history="1">
        <w:r>
          <w:rPr>
            <w:rFonts w:ascii="仿宋" w:eastAsia="仿宋" w:hAnsi="仿宋" w:cs="仿宋" w:hint="eastAsia"/>
            <w:lang w:eastAsia="zh-CN"/>
          </w:rPr>
          <w:t>(四)、质量培训与教育</w:t>
        </w:r>
        <w:r>
          <w:tab/>
        </w:r>
        <w:r>
          <w:fldChar w:fldCharType="begin"/>
        </w:r>
        <w:r>
          <w:instrText xml:space="preserve"> PAGEREF _Toc18139 \h </w:instrText>
        </w:r>
        <w:r>
          <w:fldChar w:fldCharType="separate"/>
        </w:r>
        <w:r>
          <w:t>52</w:t>
        </w:r>
        <w:r>
          <w:fldChar w:fldCharType="end"/>
        </w:r>
      </w:hyperlink>
    </w:p>
    <w:p>
      <w:pPr>
        <w:pStyle w:val="TOC2"/>
        <w:tabs>
          <w:tab w:val="right" w:leader="dot" w:pos="8306"/>
        </w:tabs>
      </w:pPr>
      <w:hyperlink w:anchor="_Toc32361" w:history="1">
        <w:r>
          <w:rPr>
            <w:rFonts w:ascii="仿宋" w:eastAsia="仿宋" w:hAnsi="仿宋" w:cs="仿宋" w:hint="eastAsia"/>
            <w:lang w:eastAsia="zh-CN"/>
          </w:rPr>
          <w:t>(五)、质量审核与评价</w:t>
        </w:r>
        <w:r>
          <w:tab/>
        </w:r>
        <w:r>
          <w:fldChar w:fldCharType="begin"/>
        </w:r>
        <w:r>
          <w:instrText xml:space="preserve"> PAGEREF _Toc32361 \h </w:instrText>
        </w:r>
        <w:r>
          <w:fldChar w:fldCharType="separate"/>
        </w:r>
        <w:r>
          <w:t>53</w:t>
        </w:r>
        <w:r>
          <w:fldChar w:fldCharType="end"/>
        </w:r>
      </w:hyperlink>
    </w:p>
    <w:p>
      <w:pPr>
        <w:pStyle w:val="TOC2"/>
        <w:tabs>
          <w:tab w:val="right" w:leader="dot" w:pos="8306"/>
        </w:tabs>
      </w:pPr>
      <w:hyperlink w:anchor="_Toc4090" w:history="1">
        <w:r>
          <w:rPr>
            <w:rFonts w:ascii="仿宋" w:eastAsia="仿宋" w:hAnsi="仿宋" w:cs="仿宋" w:hint="eastAsia"/>
            <w:lang w:eastAsia="zh-CN"/>
          </w:rPr>
          <w:t>(六)、不符合与纠正措施</w:t>
        </w:r>
        <w:r>
          <w:tab/>
        </w:r>
        <w:r>
          <w:fldChar w:fldCharType="begin"/>
        </w:r>
        <w:r>
          <w:instrText xml:space="preserve"> PAGEREF _Toc4090 \h </w:instrText>
        </w:r>
        <w:r>
          <w:fldChar w:fldCharType="separate"/>
        </w:r>
        <w:r>
          <w:t>54</w:t>
        </w:r>
        <w:r>
          <w:fldChar w:fldCharType="end"/>
        </w:r>
      </w:hyperlink>
    </w:p>
    <w:p>
      <w:pPr>
        <w:pStyle w:val="TOC1"/>
        <w:tabs>
          <w:tab w:val="right" w:leader="dot" w:pos="8306"/>
        </w:tabs>
      </w:pPr>
      <w:hyperlink w:anchor="_Toc2122" w:history="1">
        <w:r>
          <w:rPr>
            <w:rFonts w:ascii="仿宋" w:eastAsia="仿宋" w:hAnsi="仿宋" w:cs="仿宋" w:hint="eastAsia"/>
            <w:lang w:eastAsia="zh-CN"/>
          </w:rPr>
          <w:t>十五、氮肥项目工程方案分析</w:t>
        </w:r>
        <w:r>
          <w:tab/>
        </w:r>
        <w:r>
          <w:fldChar w:fldCharType="begin"/>
        </w:r>
        <w:r>
          <w:instrText xml:space="preserve"> PAGEREF _Toc2122 \h </w:instrText>
        </w:r>
        <w:r>
          <w:fldChar w:fldCharType="separate"/>
        </w:r>
        <w:r>
          <w:t>55</w:t>
        </w:r>
        <w:r>
          <w:fldChar w:fldCharType="end"/>
        </w:r>
      </w:hyperlink>
    </w:p>
    <w:p>
      <w:pPr>
        <w:pStyle w:val="TOC2"/>
        <w:tabs>
          <w:tab w:val="right" w:leader="dot" w:pos="8306"/>
        </w:tabs>
      </w:pPr>
      <w:hyperlink w:anchor="_Toc22337" w:history="1">
        <w:r>
          <w:rPr>
            <w:rFonts w:ascii="仿宋" w:eastAsia="仿宋" w:hAnsi="仿宋" w:cs="仿宋" w:hint="eastAsia"/>
            <w:lang w:eastAsia="zh-CN"/>
          </w:rPr>
          <w:t>(一)、建筑工程设计原则</w:t>
        </w:r>
        <w:r>
          <w:tab/>
        </w:r>
        <w:r>
          <w:fldChar w:fldCharType="begin"/>
        </w:r>
        <w:r>
          <w:instrText xml:space="preserve"> PAGEREF _Toc22337 \h </w:instrText>
        </w:r>
        <w:r>
          <w:fldChar w:fldCharType="separate"/>
        </w:r>
        <w:r>
          <w:t>55</w:t>
        </w:r>
        <w:r>
          <w:fldChar w:fldCharType="end"/>
        </w:r>
      </w:hyperlink>
    </w:p>
    <w:p>
      <w:pPr>
        <w:pStyle w:val="TOC2"/>
        <w:tabs>
          <w:tab w:val="right" w:leader="dot" w:pos="8306"/>
        </w:tabs>
      </w:pPr>
      <w:hyperlink w:anchor="_Toc17878" w:history="1">
        <w:r>
          <w:rPr>
            <w:rFonts w:ascii="仿宋" w:eastAsia="仿宋" w:hAnsi="仿宋" w:cs="仿宋" w:hint="eastAsia"/>
            <w:lang w:eastAsia="zh-CN"/>
          </w:rPr>
          <w:t>(二)、土建工程建设指标</w:t>
        </w:r>
        <w:r>
          <w:tab/>
        </w:r>
        <w:r>
          <w:fldChar w:fldCharType="begin"/>
        </w:r>
        <w:r>
          <w:instrText xml:space="preserve"> PAGEREF _Toc17878 \h </w:instrText>
        </w:r>
        <w:r>
          <w:fldChar w:fldCharType="separate"/>
        </w:r>
        <w:r>
          <w:t>58</w:t>
        </w:r>
        <w:r>
          <w:fldChar w:fldCharType="end"/>
        </w:r>
      </w:hyperlink>
    </w:p>
    <w:p>
      <w:pPr>
        <w:pStyle w:val="TOC1"/>
        <w:tabs>
          <w:tab w:val="right" w:leader="dot" w:pos="8306"/>
        </w:tabs>
      </w:pPr>
      <w:hyperlink w:anchor="_Toc7704" w:history="1">
        <w:r>
          <w:rPr>
            <w:rFonts w:ascii="仿宋" w:eastAsia="仿宋" w:hAnsi="仿宋" w:cs="仿宋" w:hint="eastAsia"/>
            <w:lang w:eastAsia="zh-CN"/>
          </w:rPr>
          <w:t>十六、营销与推广策略</w:t>
        </w:r>
        <w:r>
          <w:tab/>
        </w:r>
        <w:r>
          <w:fldChar w:fldCharType="begin"/>
        </w:r>
        <w:r>
          <w:instrText xml:space="preserve"> PAGEREF _Toc7704 \h </w:instrText>
        </w:r>
        <w:r>
          <w:fldChar w:fldCharType="separate"/>
        </w:r>
        <w:r>
          <w:t>60</w:t>
        </w:r>
        <w:r>
          <w:fldChar w:fldCharType="end"/>
        </w:r>
      </w:hyperlink>
    </w:p>
    <w:p>
      <w:pPr>
        <w:pStyle w:val="TOC2"/>
        <w:tabs>
          <w:tab w:val="right" w:leader="dot" w:pos="8306"/>
        </w:tabs>
      </w:pPr>
      <w:hyperlink w:anchor="_Toc17922" w:history="1">
        <w:r>
          <w:rPr>
            <w:rFonts w:ascii="仿宋" w:eastAsia="仿宋" w:hAnsi="仿宋" w:cs="仿宋" w:hint="eastAsia"/>
            <w:lang w:eastAsia="zh-CN"/>
          </w:rPr>
          <w:t>(一)、产品/服务定位与特点</w:t>
        </w:r>
        <w:r>
          <w:tab/>
        </w:r>
        <w:r>
          <w:fldChar w:fldCharType="begin"/>
        </w:r>
        <w:r>
          <w:instrText xml:space="preserve"> PAGEREF _Toc17922 \h </w:instrText>
        </w:r>
        <w:r>
          <w:fldChar w:fldCharType="separate"/>
        </w:r>
        <w:r>
          <w:t>60</w:t>
        </w:r>
        <w:r>
          <w:fldChar w:fldCharType="end"/>
        </w:r>
      </w:hyperlink>
    </w:p>
    <w:p>
      <w:pPr>
        <w:pStyle w:val="TOC2"/>
        <w:tabs>
          <w:tab w:val="right" w:leader="dot" w:pos="8306"/>
        </w:tabs>
      </w:pPr>
      <w:hyperlink w:anchor="_Toc9760" w:history="1">
        <w:r>
          <w:rPr>
            <w:rFonts w:ascii="仿宋" w:eastAsia="仿宋" w:hAnsi="仿宋" w:cs="仿宋" w:hint="eastAsia"/>
            <w:lang w:eastAsia="zh-CN"/>
          </w:rPr>
          <w:t>(二)、市场定位与竞争分析</w:t>
        </w:r>
        <w:r>
          <w:tab/>
        </w:r>
        <w:r>
          <w:fldChar w:fldCharType="begin"/>
        </w:r>
        <w:r>
          <w:instrText xml:space="preserve"> PAGEREF _Toc9760 \h </w:instrText>
        </w:r>
        <w:r>
          <w:fldChar w:fldCharType="separate"/>
        </w:r>
        <w:r>
          <w:t>61</w:t>
        </w:r>
        <w:r>
          <w:fldChar w:fldCharType="end"/>
        </w:r>
      </w:hyperlink>
    </w:p>
    <w:p>
      <w:pPr>
        <w:pStyle w:val="TOC2"/>
        <w:tabs>
          <w:tab w:val="right" w:leader="dot" w:pos="8306"/>
        </w:tabs>
      </w:pPr>
      <w:hyperlink w:anchor="_Toc103" w:history="1">
        <w:r>
          <w:rPr>
            <w:rFonts w:ascii="仿宋" w:eastAsia="仿宋" w:hAnsi="仿宋" w:cs="仿宋" w:hint="eastAsia"/>
            <w:lang w:eastAsia="zh-CN"/>
          </w:rPr>
          <w:t>(三)、营销渠道与策略</w:t>
        </w:r>
        <w:r>
          <w:tab/>
        </w:r>
        <w:r>
          <w:fldChar w:fldCharType="begin"/>
        </w:r>
        <w:r>
          <w:instrText xml:space="preserve"> PAGEREF _Toc103 \h </w:instrText>
        </w:r>
        <w:r>
          <w:fldChar w:fldCharType="separate"/>
        </w:r>
        <w:r>
          <w:t>63</w:t>
        </w:r>
        <w:r>
          <w:fldChar w:fldCharType="end"/>
        </w:r>
      </w:hyperlink>
    </w:p>
    <w:p>
      <w:pPr>
        <w:pStyle w:val="TOC2"/>
        <w:tabs>
          <w:tab w:val="right" w:leader="dot" w:pos="8306"/>
        </w:tabs>
      </w:pPr>
      <w:hyperlink w:anchor="_Toc15139" w:history="1">
        <w:r>
          <w:rPr>
            <w:rFonts w:ascii="仿宋" w:eastAsia="仿宋" w:hAnsi="仿宋" w:cs="仿宋" w:hint="eastAsia"/>
            <w:lang w:eastAsia="zh-CN"/>
          </w:rPr>
          <w:t>(四)、推广与宣传活动</w:t>
        </w:r>
        <w:r>
          <w:tab/>
        </w:r>
        <w:r>
          <w:fldChar w:fldCharType="begin"/>
        </w:r>
        <w:r>
          <w:instrText xml:space="preserve"> PAGEREF _Toc15139 \h </w:instrText>
        </w:r>
        <w:r>
          <w:fldChar w:fldCharType="separate"/>
        </w:r>
        <w:r>
          <w:t>64</w:t>
        </w:r>
        <w:r>
          <w:fldChar w:fldCharType="end"/>
        </w:r>
      </w:hyperlink>
    </w:p>
    <w:p>
      <w:pPr>
        <w:pStyle w:val="TOC1"/>
        <w:tabs>
          <w:tab w:val="right" w:leader="dot" w:pos="8306"/>
        </w:tabs>
      </w:pPr>
      <w:hyperlink w:anchor="_Toc16875" w:history="1">
        <w:r>
          <w:rPr>
            <w:rFonts w:ascii="仿宋" w:eastAsia="仿宋" w:hAnsi="仿宋" w:cs="仿宋" w:hint="eastAsia"/>
            <w:lang w:eastAsia="zh-CN"/>
          </w:rPr>
          <w:t>十七、氮肥项目变更管理</w:t>
        </w:r>
        <w:r>
          <w:tab/>
        </w:r>
        <w:r>
          <w:fldChar w:fldCharType="begin"/>
        </w:r>
        <w:r>
          <w:instrText xml:space="preserve"> PAGEREF _Toc16875 \h </w:instrText>
        </w:r>
        <w:r>
          <w:fldChar w:fldCharType="separate"/>
        </w:r>
        <w:r>
          <w:t>69</w:t>
        </w:r>
        <w:r>
          <w:fldChar w:fldCharType="end"/>
        </w:r>
      </w:hyperlink>
    </w:p>
    <w:p>
      <w:pPr>
        <w:pStyle w:val="TOC2"/>
        <w:tabs>
          <w:tab w:val="right" w:leader="dot" w:pos="8306"/>
        </w:tabs>
      </w:pPr>
      <w:hyperlink w:anchor="_Toc3470" w:history="1">
        <w:r>
          <w:rPr>
            <w:rFonts w:ascii="仿宋" w:eastAsia="仿宋" w:hAnsi="仿宋" w:cs="仿宋" w:hint="eastAsia"/>
            <w:lang w:eastAsia="zh-CN"/>
          </w:rPr>
          <w:t>(一)、变更申请与评估</w:t>
        </w:r>
        <w:r>
          <w:tab/>
        </w:r>
        <w:r>
          <w:fldChar w:fldCharType="begin"/>
        </w:r>
        <w:r>
          <w:instrText xml:space="preserve"> PAGEREF _Toc3470 \h </w:instrText>
        </w:r>
        <w:r>
          <w:fldChar w:fldCharType="separate"/>
        </w:r>
        <w:r>
          <w:t>69</w:t>
        </w:r>
        <w:r>
          <w:fldChar w:fldCharType="end"/>
        </w:r>
      </w:hyperlink>
    </w:p>
    <w:p>
      <w:pPr>
        <w:pStyle w:val="TOC2"/>
        <w:tabs>
          <w:tab w:val="right" w:leader="dot" w:pos="8306"/>
        </w:tabs>
      </w:pPr>
      <w:hyperlink w:anchor="_Toc15333" w:history="1">
        <w:r>
          <w:rPr>
            <w:rFonts w:ascii="仿宋" w:eastAsia="仿宋" w:hAnsi="仿宋" w:cs="仿宋" w:hint="eastAsia"/>
            <w:lang w:eastAsia="zh-CN"/>
          </w:rPr>
          <w:t>(二)、变更实施与控制</w:t>
        </w:r>
        <w:r>
          <w:tab/>
        </w:r>
        <w:r>
          <w:fldChar w:fldCharType="begin"/>
        </w:r>
        <w:r>
          <w:instrText xml:space="preserve"> PAGEREF _Toc15333 \h </w:instrText>
        </w:r>
        <w:r>
          <w:fldChar w:fldCharType="separate"/>
        </w:r>
        <w:r>
          <w:t>69</w:t>
        </w:r>
        <w:r>
          <w:fldChar w:fldCharType="end"/>
        </w:r>
      </w:hyperlink>
    </w:p>
    <w:p>
      <w:pPr>
        <w:pStyle w:val="TOC1"/>
        <w:tabs>
          <w:tab w:val="right" w:leader="dot" w:pos="8306"/>
        </w:tabs>
      </w:pPr>
      <w:hyperlink w:anchor="_Toc10639" w:history="1">
        <w:r>
          <w:rPr>
            <w:rFonts w:ascii="仿宋" w:eastAsia="仿宋" w:hAnsi="仿宋" w:cs="仿宋" w:hint="eastAsia"/>
            <w:lang w:eastAsia="zh-CN"/>
          </w:rPr>
          <w:t>十八、氮肥项目实施保障措施</w:t>
        </w:r>
        <w:r>
          <w:tab/>
        </w:r>
        <w:r>
          <w:fldChar w:fldCharType="begin"/>
        </w:r>
        <w:r>
          <w:instrText xml:space="preserve"> PAGEREF _Toc10639 \h </w:instrText>
        </w:r>
        <w:r>
          <w:fldChar w:fldCharType="separate"/>
        </w:r>
        <w:r>
          <w:t>70</w:t>
        </w:r>
        <w:r>
          <w:fldChar w:fldCharType="end"/>
        </w:r>
      </w:hyperlink>
    </w:p>
    <w:p>
      <w:pPr>
        <w:pStyle w:val="TOC2"/>
        <w:tabs>
          <w:tab w:val="right" w:leader="dot" w:pos="8306"/>
        </w:tabs>
      </w:pPr>
      <w:hyperlink w:anchor="_Toc12594" w:history="1">
        <w:r>
          <w:rPr>
            <w:rFonts w:ascii="仿宋" w:eastAsia="仿宋" w:hAnsi="仿宋" w:cs="仿宋" w:hint="eastAsia"/>
            <w:lang w:eastAsia="zh-CN"/>
          </w:rPr>
          <w:t>(一)、氮肥项目实施保障机制</w:t>
        </w:r>
        <w:r>
          <w:tab/>
        </w:r>
        <w:r>
          <w:fldChar w:fldCharType="begin"/>
        </w:r>
        <w:r>
          <w:instrText xml:space="preserve"> PAGEREF _Toc12594 \h </w:instrText>
        </w:r>
        <w:r>
          <w:fldChar w:fldCharType="separate"/>
        </w:r>
        <w:r>
          <w:t>70</w:t>
        </w:r>
        <w:r>
          <w:fldChar w:fldCharType="end"/>
        </w:r>
      </w:hyperlink>
    </w:p>
    <w:p>
      <w:pPr>
        <w:pStyle w:val="TOC2"/>
        <w:tabs>
          <w:tab w:val="right" w:leader="dot" w:pos="8306"/>
        </w:tabs>
      </w:pPr>
      <w:hyperlink w:anchor="_Toc14417" w:history="1">
        <w:r>
          <w:rPr>
            <w:rFonts w:ascii="仿宋" w:eastAsia="仿宋" w:hAnsi="仿宋" w:cs="仿宋" w:hint="eastAsia"/>
            <w:lang w:eastAsia="zh-CN"/>
          </w:rPr>
          <w:t>(二)、氮肥项目法律合规要求</w:t>
        </w:r>
        <w:r>
          <w:tab/>
        </w:r>
        <w:r>
          <w:fldChar w:fldCharType="begin"/>
        </w:r>
        <w:r>
          <w:instrText xml:space="preserve"> PAGEREF _Toc14417 \h </w:instrText>
        </w:r>
        <w:r>
          <w:fldChar w:fldCharType="separate"/>
        </w:r>
        <w:r>
          <w:t>73</w:t>
        </w:r>
        <w:r>
          <w:fldChar w:fldCharType="end"/>
        </w:r>
      </w:hyperlink>
    </w:p>
    <w:p>
      <w:pPr>
        <w:pStyle w:val="TOC2"/>
        <w:tabs>
          <w:tab w:val="right" w:leader="dot" w:pos="8306"/>
        </w:tabs>
      </w:pPr>
      <w:hyperlink w:anchor="_Toc22800" w:history="1">
        <w:r>
          <w:rPr>
            <w:rFonts w:ascii="仿宋" w:eastAsia="仿宋" w:hAnsi="仿宋" w:cs="仿宋" w:hint="eastAsia"/>
            <w:lang w:eastAsia="zh-CN"/>
          </w:rPr>
          <w:t>(三)、氮肥项目合同管理与法律事务</w:t>
        </w:r>
        <w:r>
          <w:tab/>
        </w:r>
        <w:r>
          <w:fldChar w:fldCharType="begin"/>
        </w:r>
        <w:r>
          <w:instrText xml:space="preserve"> PAGEREF _Toc22800 \h </w:instrText>
        </w:r>
        <w:r>
          <w:fldChar w:fldCharType="separate"/>
        </w:r>
        <w:r>
          <w:t>77</w:t>
        </w:r>
        <w:r>
          <w:fldChar w:fldCharType="end"/>
        </w:r>
      </w:hyperlink>
    </w:p>
    <w:p>
      <w:pPr>
        <w:pStyle w:val="TOC2"/>
        <w:tabs>
          <w:tab w:val="right" w:leader="dot" w:pos="8306"/>
        </w:tabs>
      </w:pPr>
      <w:hyperlink w:anchor="_Toc25579" w:history="1">
        <w:r>
          <w:rPr>
            <w:rFonts w:ascii="仿宋" w:eastAsia="仿宋" w:hAnsi="仿宋" w:cs="仿宋" w:hint="eastAsia"/>
            <w:lang w:eastAsia="zh-CN"/>
          </w:rPr>
          <w:t>(四)、氮肥项目知识产权保护策略</w:t>
        </w:r>
        <w:r>
          <w:tab/>
        </w:r>
        <w:r>
          <w:fldChar w:fldCharType="begin"/>
        </w:r>
        <w:r>
          <w:instrText xml:space="preserve"> PAGEREF _Toc25579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95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348"/>
      <w:r>
        <w:rPr>
          <w:rFonts w:ascii="仿宋" w:eastAsia="仿宋" w:hAnsi="仿宋" w:cs="仿宋" w:hint="eastAsia"/>
          <w:sz w:val="28"/>
          <w:lang w:eastAsia="zh-CN"/>
        </w:rPr>
        <w:t>一、氮肥项目文档管理</w:t>
      </w:r>
      <w:bookmarkEnd w:id="2"/>
    </w:p>
    <w:p>
      <w:pPr>
        <w:pStyle w:val="Heading2"/>
        <w:rPr>
          <w:rFonts w:ascii="仿宋" w:eastAsia="仿宋" w:hAnsi="仿宋" w:cs="仿宋" w:hint="eastAsia"/>
          <w:lang w:eastAsia="zh-CN"/>
        </w:rPr>
      </w:pPr>
      <w:bookmarkStart w:id="3" w:name="_Toc958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氮肥项目高度重视文档的质量和准确性，以支持氮肥项目的各项活动和决策。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氮肥项目文档的编制始于氮肥项目计划的初期，我们制定了详细的文档编制计划，明确了每个文档的内容、格式和编写责任人。在氮肥项目启动阶段，我们首先编制了氮肥项目章程，明确定义了氮肥项目的目标、范围、风险等关键要素。随后，氮肥项目团队根据计划陆续编制了需求文档、设计文档、测试文档等各类文档，确保氮肥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氮肥项目管理中的重要环节，旨在确保氮肥项目文档符合质量标准和氮肥项目需求。在氮肥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除了内部审查，我们还进行了外部审查，邀请氮肥项目相关利益方和专业领域的专家对文档进行独立审查。这有助于获取更全面、客观的反馈，确保氮肥项目文档不仅符合内部标准，也满足外部需求。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氮肥项目在文档编制与审查方面建立了严格的管理机制，通过规范的流程和多维度的审查，确保氮肥项目文档的质量、准确性和可靠性，为氮肥项目的顺利推进提供了有力支持。</w:t>
      </w:r>
    </w:p>
    <w:p>
      <w:pPr>
        <w:pStyle w:val="Heading2"/>
        <w:ind w:firstLine="560" w:firstLineChars="200"/>
        <w:rPr>
          <w:rFonts w:ascii="仿宋" w:eastAsia="仿宋" w:hAnsi="仿宋" w:cs="仿宋" w:hint="eastAsia"/>
          <w:sz w:val="28"/>
          <w:lang w:eastAsia="zh-CN"/>
        </w:rPr>
      </w:pPr>
      <w:bookmarkStart w:id="4" w:name="_Toc3145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在氮肥项目中，我们致力于优化文档发布与分发过程，以确保信息的高效传递和团队间协作的顺畅进行。以下是我们采取的关键优化策略：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我们通过多渠道发布文档，包括电子邮件、氮肥项目管理平台、内部网站等，以满足不同团队成员的偏好和需求。多渠道发布确保了信息的全面覆盖。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我们采用了精细的权限控制，确保只有授权人员可以访问敏感信息。这种安全措施保护了氮肥项目文档的机密性，防止了未经授权的信息泄露。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783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文档存档与归档是氮肥项目生命周期中一个至关重要的环节，直接关系到氮肥项目信息的长期保存和历史记录的完整性。在氮肥项目中，我们实施了一系列有效的文档存档与归档管理策略：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7357"/>
      <w:r>
        <w:rPr>
          <w:rFonts w:ascii="仿宋" w:eastAsia="仿宋" w:hAnsi="仿宋" w:cs="仿宋" w:hint="eastAsia"/>
          <w:sz w:val="28"/>
          <w:lang w:eastAsia="zh-CN"/>
        </w:rPr>
        <w:t>二、氮肥项目建设单位说明</w:t>
      </w:r>
      <w:bookmarkEnd w:id="6"/>
    </w:p>
    <w:p>
      <w:pPr>
        <w:pStyle w:val="Heading2"/>
        <w:rPr>
          <w:rFonts w:ascii="仿宋" w:eastAsia="仿宋" w:hAnsi="仿宋" w:cs="仿宋" w:hint="eastAsia"/>
          <w:lang w:eastAsia="zh-CN"/>
        </w:rPr>
      </w:pPr>
      <w:bookmarkStart w:id="7" w:name="_Toc13490"/>
      <w:r>
        <w:rPr>
          <w:rFonts w:ascii="仿宋" w:eastAsia="仿宋" w:hAnsi="仿宋" w:cs="仿宋" w:hint="eastAsia"/>
          <w:lang w:eastAsia="zh-CN"/>
        </w:rPr>
        <w:t>(一)、氮肥项目承办单位基本情况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3207"/>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氮肥项目承办单位的XXXX，我们着眼于实现可持续的经济效益。通过技术创新和解决方案的提供，公司预计在氮肥项目执行期间将获得可观的收入增长。这一收入来源主要包括氮肥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同时，我们注重成本控制和效率提升，以确保氮肥项目的可持续盈利。透过精细的管理和资源优化，公司期望实现氮肥项目利润最大化。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氮肥项目实施进行全面的投资评估，包括氮肥项目启动阶段的资金投入和后续运营成本。通过对氮肥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为确保公司在氮肥项目实施过程中具备足够的资金流动性，公司将进行详尽的现金流分析。这包括资金需求的合理预测、氮肥项目周期内的资金峰谷分析以及灵活的财务管理策略，以应对各种潜在的经济变动。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4955"/>
      <w:r>
        <w:rPr>
          <w:rFonts w:ascii="仿宋" w:eastAsia="仿宋" w:hAnsi="仿宋" w:cs="仿宋" w:hint="eastAsia"/>
          <w:sz w:val="28"/>
          <w:lang w:eastAsia="zh-CN"/>
        </w:rPr>
        <w:t>三、氮肥项目概论</w:t>
      </w:r>
      <w:bookmarkEnd w:id="9"/>
    </w:p>
    <w:p>
      <w:pPr>
        <w:pStyle w:val="Heading2"/>
        <w:rPr>
          <w:rFonts w:ascii="仿宋" w:eastAsia="仿宋" w:hAnsi="仿宋" w:cs="仿宋" w:hint="eastAsia"/>
          <w:lang w:eastAsia="zh-CN"/>
        </w:rPr>
      </w:pPr>
      <w:bookmarkStart w:id="10" w:name="_Toc6133"/>
      <w:r>
        <w:rPr>
          <w:rFonts w:ascii="仿宋" w:eastAsia="仿宋" w:hAnsi="仿宋" w:cs="仿宋" w:hint="eastAsia"/>
          <w:lang w:eastAsia="zh-CN"/>
        </w:rPr>
        <w:t>(一)、氮肥项目概况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氮肥项目的起源追溯至对市场的深入洞察。市场的不断演变与变革为氮肥项目提供了难得的机遇。当前市场存在的需求缺口和变革的大环境共同构成了氮肥项目的背景。这个氮肥项目旨在充分利用市场机遇，填补行业中尚未满足的需求，为客户提供全新的解决方案。市场的变革和需求的增长使得这个氮肥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氮肥项目名称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氮肥项目正式命名为氮肥。这个名称不仅仅是一个标识，更代表了氮肥项目的核心理念和愿景。它蕴含着氮肥项目所要解决问题的关键字，具有强烈的表达和辨识度，为氮肥项目树立了鲜明的品牌形象。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氮肥项目目标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氮肥项目的核心目标是提供一种全新、高效的解决方案，满足客户日益增长的需求。氮肥项目追求的不仅仅是满足市场需求，更是在市场中获得卓越的竞争优势。通过不断提升产品或服务的质量和创新水平，氮肥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氮肥项目范围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氮肥项目全面涵盖了产品研发、制造、市场推广和售后服务，确保从产品设计到最终用户体验的全方位关注。这一全面的氮肥项目范围是为了确保氮肥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氮肥项目时间表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氮肥项目计划在未来18个月内完成，包括研发、测试、市场试点和正式推出等不同阶段。这个时间表的合理设计是为了确保氮肥项目各个阶段的顺利推进，以便按时交付高质量的成果。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氮肥项目预算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氮肥项目总预算估算为XX百万美元，主要分配在研发、市场推广、人员培训和运营等方面。这一充足的预算为氮肥项目提供了充足的资源，确保氮肥项目在各个方面都能取得优异的表现。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氮肥项目风险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氮肥项目可能面临的风险包括市场接受度低、技术难题、竞争激烈等。氮肥项目团队已经制定了相应的风险应对计划，通过前瞻性的风险管理，确保氮肥项目在面对不确定性时能够迅速做出应对。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氮肥项目团队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氮肥项目汇聚了一支经验丰富、多领域专业素养的核心团队，确保氮肥项目在各个方面都能拥有高水平的执行力。团队的协同作战是氮肥项目成功的关键因素之一。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1.9 氮肥项目背景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氮肥项目的背景根植于市场对更高效、创新产品的渴望，同时也受到科技发展对行业格局的深刻改变的影响。这为氮肥项目提供了广阔的发展空间和市场需求。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氮肥项目现状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截至目前，氮肥项目已完成市场调研和技术验证，取得了初步的成功。这为氮肥项目在未来的发展奠定了坚实的基础，为更远大的目标打下了坚实的基石。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3427"/>
      <w:r>
        <w:rPr>
          <w:rFonts w:ascii="仿宋" w:eastAsia="仿宋" w:hAnsi="仿宋" w:cs="仿宋" w:hint="eastAsia"/>
          <w:sz w:val="28"/>
          <w:lang w:eastAsia="zh-CN"/>
        </w:rPr>
        <w:t>(二)、氮肥项目目标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keyword》氮肥项目首要业务目标是在市场中占据有利地位，实现产品/服务的成功推广和销售。通过不断提升产品质量、创新性，氮肥项目追求成为行业中的领导者，赢得更多客户的青睐。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在科技迅速发展的时代，氮肥项目着眼于技术创新。通过持续的研发和技术升级，氮肥项目旨在推出更具创新性的产品或服务，以满足市场对新鲜、先进解决方案的需求。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为了建立可持续的客户关系，氮肥项目设定了客户满意度目标。通过提供卓越的产品质量和优质的客户服务，氮肥项目追求赢得客户的信任和忠诚度，确保他们的满意度达到行业领先水平。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氮肥项目注重社会责任和可持续发展。通过实施环保、社会责任氮肥项目，氮肥项目致力于在经济发展的同时保护环境，促进社会公平，实现可持续经营。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氮肥项目的团队是实现目标的核心驱动力。因此，氮肥项目设定了团队发展目标，包括提升团队成员的专业技能、培养领导力，以及搭建协同高效的团队工作氛围。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6234"/>
      <w:r>
        <w:rPr>
          <w:rFonts w:ascii="仿宋" w:eastAsia="仿宋" w:hAnsi="仿宋" w:cs="仿宋" w:hint="eastAsia"/>
          <w:sz w:val="28"/>
          <w:lang w:eastAsia="zh-CN"/>
        </w:rPr>
        <w:t>(三)、氮肥项目提出的理由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氮肥项目提出的理由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氮肥项目的提出源于对市场机遇的深刻洞察。当前市场中存在的需求缺口和行业发展趋势表明，有巨大的商业机会等待被开发。通过准确捕捉市场机遇，氮肥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氮肥项目的理念基于对技术创新的信仰。通过持续的研发和技术投入，氮肥项目有望推出更具创新性的产品或服务。在科技飞速发展的当下，氮肥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氮肥项目的提出是为了增强企业的行业竞争力。通过提升产品或服务的质量和独特性，氮肥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氮肥项目响应了消费者需求的变化。随着社会和科技的不断发展，消费者对产品和服务的需求也在发生变化。通过深入了解并及时回应消费者的新需求，氮肥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氮肥项目的提出是企业战略发展规划的一部分。在面对日益激烈的市场竞争和不断变化的商业环境中，氮肥项目作为企业战略的一环，旨在为企业开辟新的增长领域，巩固企业在行业中的地位。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氮肥项目的提出不仅仅是基于商业考量，还注重社会责任。通过推出环保、社会责任等方面的氮肥项目，氮肥企业可以在社会中树立积极形象，为社会做出积极贡献，实现经济效益和社会效益的双赢。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氮肥项目的提出反映了对利益相关者期望的关注。包括客户、员工、投资者等利益相关者在企业发展中都有着各自的期望，氮肥项目力求在满足这些期望的同时，取得更大的共赢。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3712"/>
      <w:r>
        <w:rPr>
          <w:rFonts w:ascii="仿宋" w:eastAsia="仿宋" w:hAnsi="仿宋" w:cs="仿宋" w:hint="eastAsia"/>
          <w:sz w:val="28"/>
          <w:lang w:eastAsia="zh-CN"/>
        </w:rPr>
        <w:t>(四)、氮肥项目意义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在实施氮肥项目的过程中，我们不仅仅是在追逐商业成功，更是为企业和社会的多个层面创造了深远的意义。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氮肥项目的首要意义在于提升企业的市场竞争力。通过持续的创新和对产品质量的高标准要求，氮肥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氮肥项目的推进将促使行业技术水平的提升。通过引入先进技术和创新性解决方案，氮肥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在社会层面，氮肥项目不仅创造了大量就业机会，提高了就业水平，还注重社会责任和环保。通过参与社会公益事业和推动环保氮肥项目，氮肥项目为社会贡献了一份力量，体现了企业对社会的积极回馈。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综合而言，氮肥项目意义重大，不仅推动了企业的发展，也为行业和社会的进步贡献了积极力量。这是一个全面而深刻的影响，将在未来产生可持续的正面效应。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7737"/>
      <w:r>
        <w:rPr>
          <w:rFonts w:ascii="仿宋" w:eastAsia="仿宋" w:hAnsi="仿宋" w:cs="仿宋" w:hint="eastAsia"/>
          <w:sz w:val="28"/>
          <w:lang w:eastAsia="zh-CN"/>
        </w:rPr>
        <w:t>(五)、氮肥项目背景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在当今迅猛发展的商业环境中，氮肥项目的动因根植于对多方面因素的审慎考量。这个氮肥项目的提出并非孤立的决策，而是对企业所处背景深入思考的产物。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市场的不断演变是氮肥项目背后的首要原因。科技的迅速发展和全球市场的快速变化使得企业必须灵活应对。氮肥项目应运而生，旨在通过创新性的解决方案迎合市场的多变需求，赢得竞争中的先机。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竞争的激烈程度也是氮肥项目背景中不可忽视的一环。企业需要在激烈竞争中脱颖而出，为此，氮肥项目致力于打破常规，提供独特的价值主张，以吸引客户并确保市场份额的增长。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技术的迅速发展为企业带来了机遇与挑战。作为氮肥项目启动的背景之一，对新兴技术的应用将有助于提升企业的技术水平，使其在不断演进的商业环境中保持竞争优势。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此外，社会对企业责任的期望也在逐渐升高。氮肥项目充分融入了社会责任的理念，通过可持续经营和社会公益氮肥项目，企图为社会贡献一份力量，在商业成功的同时关注社会价值。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5104"/>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16756"/>
      <w:r>
        <w:rPr>
          <w:rFonts w:ascii="仿宋" w:eastAsia="仿宋" w:hAnsi="仿宋" w:cs="仿宋" w:hint="eastAsia"/>
          <w:lang w:eastAsia="zh-CN"/>
        </w:rPr>
        <w:t>(一)、氮肥行业分析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氮肥行业一直以来都是市场的关注焦点。行业内的发展趋势、竞争态势以及潜在机会都对氮肥项目的推进产生深远的影响。通过深入研究行业的整体概貌，我们将更好地理解行业的核心特征，为氮肥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氮肥行业，技术一直是推动创新和发展的关键因素。我们将对当前技术趋势进行详尽分析，包括但不限于人工智能、大数据应用、先进制造技术等。这有助于氮肥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氮肥项目成功的基础。我们将对主要竞争对手进行深入研究，包括其市场份额、产品特点、市场定位等。通过全面了解竞争对手的优势和劣势，氮肥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5148"/>
      <w:r>
        <w:rPr>
          <w:rFonts w:ascii="仿宋" w:eastAsia="仿宋" w:hAnsi="仿宋" w:cs="仿宋" w:hint="eastAsia"/>
          <w:sz w:val="28"/>
          <w:lang w:eastAsia="zh-CN"/>
        </w:rPr>
        <w:t>(二)、氮肥市场分析预测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通过对市场规模的深入调研，我们将预测氮肥市场未来的增长趋势。这包括市场的整体规模、各细分领域的发展趋势等。氮肥项目可以根据市场的扩张速度和潜在机会，制定更符合市场需求的发展策略。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了解消费者的需求是市场分析的核心。我们将通过调查研究，深入挖掘目标消费者的需求特点、购买习惯以及对产品和服务的期望。这有助于氮肥项目更好地定位目标市场，提供更符合消费者期待的解决方案。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风险是氮肥项目实施过程中需要充分考虑的因素。我们将对市场风险进行全面评估，包括但不限于政策法规风险、市场竞争风险、技术变革风险等。通过对潜在风险的深入分析，氮肥项目可以制定相应的风险缓解策略，降低不确定性对氮肥项目的影响。</w:t>
      </w:r>
    </w:p>
    <w:p>
      <w:pPr>
        <w:pStyle w:val="Heading1"/>
        <w:ind w:firstLine="560" w:firstLineChars="200"/>
        <w:rPr>
          <w:rFonts w:ascii="仿宋" w:eastAsia="仿宋" w:hAnsi="仿宋" w:cs="仿宋" w:hint="eastAsia"/>
          <w:sz w:val="28"/>
          <w:lang w:eastAsia="zh-CN"/>
        </w:rPr>
      </w:pPr>
      <w:bookmarkStart w:id="18" w:name="_Toc29276"/>
      <w:r>
        <w:rPr>
          <w:rFonts w:ascii="仿宋" w:eastAsia="仿宋" w:hAnsi="仿宋" w:cs="仿宋" w:hint="eastAsia"/>
          <w:sz w:val="28"/>
          <w:lang w:eastAsia="zh-CN"/>
        </w:rPr>
        <w:t>五、氮肥项目建设背景及必要性分析</w:t>
      </w:r>
      <w:bookmarkEnd w:id="18"/>
    </w:p>
    <w:p>
      <w:pPr>
        <w:pStyle w:val="Heading2"/>
        <w:rPr>
          <w:rFonts w:ascii="仿宋" w:eastAsia="仿宋" w:hAnsi="仿宋" w:cs="仿宋" w:hint="eastAsia"/>
          <w:lang w:eastAsia="zh-CN"/>
        </w:rPr>
      </w:pPr>
      <w:bookmarkStart w:id="19" w:name="_Toc6883"/>
      <w:r>
        <w:rPr>
          <w:rFonts w:ascii="仿宋" w:eastAsia="仿宋" w:hAnsi="仿宋" w:cs="仿宋" w:hint="eastAsia"/>
          <w:lang w:eastAsia="zh-CN"/>
        </w:rPr>
        <w:t>(一)、氮肥项目背景分析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氮肥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氮肥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我们的背景分析将深入挖掘当前行业的发展趋势，通过对竞争态势的全面审视，找到氮肥项目在这个潮流中的定位。同时，我们将关注行业内涌现的新兴机遇，以便氮肥项目更好地融入行业发展的潮流中。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氮肥项目提供了强大的发展动力。我们将聚焦于行业内最新的技术发展趋势，包括但不限于人工智能、大数据分析、物联网等领域。通过深度的技术研究，我们将确保氮肥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https://d.book118.com/668071062044006041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氮肥项目规划设计方案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氮肥项目规划设计方案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氮肥项目规划设计方案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氮肥项目规划设计方案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氮肥项目规划设计方案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氮肥项目规划设计方案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氮肥项目规划设计方案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氮肥项目规划设计方案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氮肥项目规划设计方案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氮肥项目规划设计方案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氮肥项目规划设计方案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氮肥项目规划设计方案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氮肥项目规划设计方案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氮肥项目规划设计方案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氮肥项目规划设计方案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氮肥项目规划设计方案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氮肥项目规划设计方案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F3468A"/>
    <w:rsid w:val="05F3468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807106204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2024-02-24T02:06:00Z</dcterms:created>
  <dcterms:modified xsi:type="dcterms:W3CDTF">2024-02-24T02:06:54Z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3F29C1ED41A0455F938119422138E9A9_11</vt:lpwstr>
  </property>
  <property fmtid="{D5CDD505-2E9C-101B-9397-08002B2CF9AE}" pid="3" name="KSOProductBuildVer">
    <vt:lpwstr>2052-12.1.0.16388</vt:lpwstr>
  </property>
</Properties>
</file>