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1" w:lineRule="auto"/>
        <w:rPr>
          <w:rFonts w:ascii="Arial"/>
          <w:sz w:val="21"/>
        </w:rPr>
      </w:pPr>
    </w:p>
    <w:p>
      <w:pPr>
        <w:spacing w:before="72" w:line="221" w:lineRule="auto"/>
        <w:ind w:left="159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分布</w:t>
      </w:r>
      <w:r>
        <w:rPr>
          <w:rFonts w:ascii="SimHei" w:eastAsia="SimHei" w:hAnsi="SimHei" w:cs="SimHei"/>
          <w:spacing w:val="-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8"/>
          <w:sz w:val="22"/>
          <w:szCs w:val="22"/>
        </w:rPr>
        <w:t>(颜色)</w:t>
      </w:r>
      <w:r>
        <w:rPr>
          <w:rFonts w:ascii="SimHei" w:eastAsia="SimHei" w:hAnsi="SimHei" w:cs="SimHei"/>
          <w:spacing w:val="-3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2"/>
          <w:szCs w:val="22"/>
        </w:rPr>
        <w:t>温度标准灯检定规程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52" w:line="223" w:lineRule="auto"/>
        <w:ind w:left="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6"/>
          <w:sz w:val="16"/>
          <w:szCs w:val="16"/>
        </w:rPr>
        <w:t>1</w:t>
      </w:r>
      <w:r>
        <w:rPr>
          <w:rFonts w:ascii="SimHei" w:eastAsia="SimHei" w:hAnsi="SimHei" w:cs="SimHei"/>
          <w:spacing w:val="74"/>
          <w:sz w:val="16"/>
          <w:szCs w:val="16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16"/>
          <w:szCs w:val="16"/>
        </w:rPr>
        <w:t>适用范围</w:t>
      </w:r>
    </w:p>
    <w:p>
      <w:pPr>
        <w:pStyle w:val="BodyText"/>
        <w:spacing w:before="177" w:line="219" w:lineRule="auto"/>
        <w:ind w:left="350"/>
      </w:pPr>
      <w:r>
        <w:rPr>
          <w:spacing w:val="6"/>
        </w:rPr>
        <w:t>本规程适用于分布(颜色)温度标准灯的首次检定、后续检定和使用中的检验。</w:t>
      </w:r>
    </w:p>
    <w:p>
      <w:pPr>
        <w:spacing w:before="167" w:line="222" w:lineRule="auto"/>
        <w:ind w:left="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6"/>
          <w:sz w:val="16"/>
          <w:szCs w:val="16"/>
        </w:rPr>
        <w:t>2</w:t>
      </w:r>
      <w:r>
        <w:rPr>
          <w:rFonts w:ascii="SimHei" w:eastAsia="SimHei" w:hAnsi="SimHei" w:cs="SimHei"/>
          <w:spacing w:val="12"/>
          <w:sz w:val="16"/>
          <w:szCs w:val="16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16"/>
          <w:szCs w:val="16"/>
        </w:rPr>
        <w:t>引用文献</w:t>
      </w:r>
    </w:p>
    <w:p>
      <w:pPr>
        <w:pStyle w:val="BodyText"/>
        <w:spacing w:before="179" w:line="218" w:lineRule="auto"/>
        <w:ind w:left="350"/>
      </w:pPr>
      <w:r>
        <w:rPr>
          <w:spacing w:val="-4"/>
        </w:rPr>
        <w:t>GB 5702—1985《光源显色性评价方法》</w:t>
      </w:r>
    </w:p>
    <w:p>
      <w:pPr>
        <w:pStyle w:val="BodyText"/>
        <w:spacing w:before="52" w:line="219" w:lineRule="auto"/>
        <w:ind w:left="350"/>
      </w:pPr>
      <w:r>
        <w:t>引用时，应注意使用上述文献的现行有效版</w:t>
      </w:r>
      <w:r>
        <w:rPr>
          <w:spacing w:val="-1"/>
        </w:rPr>
        <w:t>本。</w:t>
      </w:r>
    </w:p>
    <w:p>
      <w:pPr>
        <w:spacing w:before="178" w:line="222" w:lineRule="auto"/>
        <w:ind w:left="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5"/>
          <w:sz w:val="16"/>
          <w:szCs w:val="16"/>
        </w:rPr>
        <w:t>3</w:t>
      </w:r>
      <w:r>
        <w:rPr>
          <w:rFonts w:ascii="SimHei" w:eastAsia="SimHei" w:hAnsi="SimHei" w:cs="SimHei"/>
          <w:spacing w:val="76"/>
          <w:sz w:val="16"/>
          <w:szCs w:val="16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16"/>
          <w:szCs w:val="16"/>
        </w:rPr>
        <w:t>术语</w:t>
      </w:r>
    </w:p>
    <w:p>
      <w:pPr>
        <w:pStyle w:val="BodyText"/>
        <w:spacing w:before="169" w:line="219" w:lineRule="auto"/>
      </w:pPr>
      <w:r>
        <w:rPr>
          <w:spacing w:val="10"/>
        </w:rPr>
        <w:t>3.1  光源的[光谱]分布温度</w:t>
      </w:r>
    </w:p>
    <w:p>
      <w:pPr>
        <w:pStyle w:val="BodyText"/>
        <w:spacing w:before="90" w:line="281" w:lineRule="auto"/>
        <w:ind w:right="102" w:firstLine="350"/>
        <w:jc w:val="both"/>
      </w:pPr>
      <w:r>
        <w:rPr>
          <w:spacing w:val="7"/>
        </w:rPr>
        <w:t>在某一波长范围[à</w:t>
      </w:r>
      <w:r>
        <w:rPr>
          <w:rFonts w:ascii="Calibri" w:eastAsia="Calibri" w:hAnsi="Calibri" w:cs="Calibri"/>
          <w:spacing w:val="7"/>
        </w:rPr>
        <w:t>₁</w:t>
      </w:r>
      <w:r>
        <w:rPr>
          <w:spacing w:val="7"/>
        </w:rPr>
        <w:t>,λ</w:t>
      </w:r>
      <w:r>
        <w:rPr>
          <w:rFonts w:ascii="Calibri" w:eastAsia="Calibri" w:hAnsi="Calibri" w:cs="Calibri"/>
          <w:spacing w:val="7"/>
        </w:rPr>
        <w:t>₂</w:t>
      </w:r>
      <w:r>
        <w:rPr>
          <w:spacing w:val="7"/>
        </w:rPr>
        <w:t>]内，如果光源发射的辐射与某一温度下黑体</w:t>
      </w:r>
      <w:r>
        <w:rPr>
          <w:spacing w:val="6"/>
        </w:rPr>
        <w:t>的辐射具有</w:t>
      </w:r>
      <w:r>
        <w:t xml:space="preserve"> </w:t>
      </w:r>
      <w:r>
        <w:rPr>
          <w:spacing w:val="5"/>
        </w:rPr>
        <w:t>最接近的光谱功率分布，那么此时黑体的绝对温度就定义为该光源在该波长范围[λ</w:t>
      </w:r>
      <w:r>
        <w:rPr>
          <w:rFonts w:ascii="Calibri" w:eastAsia="Calibri" w:hAnsi="Calibri" w:cs="Calibri"/>
          <w:spacing w:val="5"/>
        </w:rPr>
        <w:t>₁</w:t>
      </w:r>
      <w:r>
        <w:rPr>
          <w:spacing w:val="5"/>
        </w:rPr>
        <w:t>,</w:t>
      </w:r>
      <w:r>
        <w:rPr>
          <w:spacing w:val="2"/>
        </w:rPr>
        <w:t xml:space="preserve"> </w:t>
      </w:r>
      <w:r>
        <w:rPr>
          <w:spacing w:val="2"/>
        </w:rPr>
        <w:t>λ</w:t>
      </w:r>
      <w:r>
        <w:rPr>
          <w:rFonts w:ascii="Calibri" w:eastAsia="Calibri" w:hAnsi="Calibri" w:cs="Calibri"/>
          <w:spacing w:val="2"/>
        </w:rPr>
        <w:t>₂</w:t>
      </w:r>
      <w:r>
        <w:rPr>
          <w:spacing w:val="2"/>
        </w:rPr>
        <w:t>]内的光谱分布温度，简称分布温度。计算步骤及公式见附录</w:t>
      </w:r>
      <w:r>
        <w:rPr>
          <w:spacing w:val="-27"/>
        </w:rPr>
        <w:t xml:space="preserve"> </w:t>
      </w:r>
      <w:r>
        <w:rPr>
          <w:spacing w:val="2"/>
        </w:rPr>
        <w:t>C。</w:t>
      </w:r>
    </w:p>
    <w:p>
      <w:pPr>
        <w:pStyle w:val="BodyText"/>
        <w:spacing w:before="61" w:line="219" w:lineRule="auto"/>
      </w:pPr>
      <w:r>
        <w:rPr>
          <w:spacing w:val="1"/>
        </w:rPr>
        <w:t>3.2</w:t>
      </w:r>
      <w:r>
        <w:rPr>
          <w:spacing w:val="59"/>
        </w:rPr>
        <w:t xml:space="preserve"> </w:t>
      </w:r>
      <w:r>
        <w:rPr>
          <w:spacing w:val="1"/>
        </w:rPr>
        <w:t>光源的颜色温度</w:t>
      </w:r>
    </w:p>
    <w:p>
      <w:pPr>
        <w:pStyle w:val="BodyText"/>
        <w:spacing w:before="57" w:line="249" w:lineRule="auto"/>
        <w:ind w:right="83" w:firstLine="350"/>
      </w:pPr>
      <w:r>
        <w:rPr>
          <w:spacing w:val="8"/>
        </w:rPr>
        <w:t>如果一个光源发射光的色品与某一温度下黑体的色品相同(匹配),那么此时黑体</w:t>
      </w:r>
      <w:r>
        <w:rPr>
          <w:spacing w:val="17"/>
        </w:rPr>
        <w:t xml:space="preserve"> </w:t>
      </w:r>
      <w:r>
        <w:rPr>
          <w:spacing w:val="1"/>
        </w:rPr>
        <w:t>的绝对温度就叫作该光源的颜色温度，简称</w:t>
      </w:r>
      <w:r>
        <w:t>色温。</w:t>
      </w:r>
    </w:p>
    <w:p>
      <w:pPr>
        <w:spacing w:before="168" w:line="221" w:lineRule="auto"/>
        <w:ind w:left="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4</w:t>
      </w:r>
      <w:r>
        <w:rPr>
          <w:rFonts w:ascii="SimHei" w:eastAsia="SimHei" w:hAnsi="SimHei" w:cs="SimHei"/>
          <w:spacing w:val="63"/>
          <w:w w:val="101"/>
          <w:sz w:val="16"/>
          <w:szCs w:val="16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概述</w:t>
      </w:r>
    </w:p>
    <w:p>
      <w:pPr>
        <w:pStyle w:val="BodyText"/>
        <w:spacing w:before="192" w:line="265" w:lineRule="auto"/>
        <w:ind w:right="9" w:firstLine="350"/>
      </w:pPr>
      <w:r>
        <w:rPr>
          <w:spacing w:val="6"/>
        </w:rPr>
        <w:t>分布(颜色)温度标准灯是用来保存和复现分布温度量值，进而复现可见波长范围</w:t>
      </w:r>
      <w:r>
        <w:rPr>
          <w:spacing w:val="8"/>
        </w:rPr>
        <w:t xml:space="preserve">  </w:t>
      </w:r>
      <w:r>
        <w:rPr>
          <w:spacing w:val="3"/>
        </w:rPr>
        <w:t>内光源相对光谱功率分布标准的计量器具。它</w:t>
      </w:r>
      <w:r>
        <w:rPr>
          <w:spacing w:val="2"/>
        </w:rPr>
        <w:t>是按一定技术条件专门制作的，发光性能</w:t>
      </w:r>
      <w:r>
        <w:t xml:space="preserve">  </w:t>
      </w:r>
      <w:r>
        <w:rPr>
          <w:spacing w:val="4"/>
        </w:rPr>
        <w:t>稳定的，具有无色泡壳的白炽钨丝灯和石英泡壳溴钨灯(以下简称标准灯)。在点燃后，</w:t>
      </w:r>
      <w:r>
        <w:rPr>
          <w:spacing w:val="13"/>
        </w:rPr>
        <w:t xml:space="preserve"> </w:t>
      </w:r>
      <w:r>
        <w:rPr>
          <w:spacing w:val="3"/>
        </w:rPr>
        <w:t>它发射从紫外到红外波长范围内的连续光谱，其可见波长范围(380～780)</w:t>
      </w:r>
      <w:r>
        <w:rPr>
          <w:rFonts w:ascii="Times New Roman" w:eastAsia="Times New Roman" w:hAnsi="Times New Roman" w:cs="Times New Roman"/>
        </w:rPr>
        <w:t>nm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内的相对</w:t>
      </w:r>
      <w:r>
        <w:rPr>
          <w:spacing w:val="7"/>
        </w:rPr>
        <w:t xml:space="preserve">  </w:t>
      </w:r>
      <w:r>
        <w:rPr>
          <w:spacing w:val="1"/>
        </w:rPr>
        <w:t>光谱功率分布，与某一温度下黑体的分布非常近似。</w:t>
      </w:r>
    </w:p>
    <w:p>
      <w:pPr>
        <w:pStyle w:val="BodyText"/>
        <w:spacing w:before="73" w:line="266" w:lineRule="auto"/>
        <w:ind w:right="80" w:firstLine="350"/>
        <w:sectPr>
          <w:headerReference w:type="default" r:id="rId4"/>
          <w:footerReference w:type="default" r:id="rId5"/>
          <w:pgSz w:w="7340" w:h="10480"/>
          <w:pgMar w:top="590" w:right="570" w:bottom="537" w:left="509" w:header="367" w:footer="428" w:gutter="0"/>
          <w:cols w:space="708"/>
        </w:sectPr>
      </w:pPr>
      <w:r>
        <w:rPr>
          <w:spacing w:val="2"/>
        </w:rPr>
        <w:t>由它们的定义可知，光源的分布温度和颜色温度在概念上有很大区别，在</w:t>
      </w:r>
      <w:r>
        <w:rPr>
          <w:spacing w:val="1"/>
        </w:rPr>
        <w:t>数值上也</w:t>
      </w:r>
      <w:r>
        <w:t xml:space="preserve"> </w:t>
      </w:r>
      <w:r>
        <w:rPr>
          <w:spacing w:val="1"/>
        </w:rPr>
        <w:t xml:space="preserve">不一定相同。但对于相对光谱功率分布与黑体相同的光源，它的色温值在数值上就等于 </w:t>
      </w:r>
      <w:r>
        <w:rPr>
          <w:spacing w:val="1"/>
        </w:rPr>
        <w:t xml:space="preserve">可见波长范围内的分布温度值；对光谱功率分布与黑体相近的光源，如白炽钨灯，它的 </w:t>
      </w:r>
      <w:r>
        <w:rPr>
          <w:spacing w:val="3"/>
        </w:rPr>
        <w:t>色温值与可见波长范围内的分布温度值相差很小</w:t>
      </w:r>
      <w:r>
        <w:rPr>
          <w:spacing w:val="2"/>
        </w:rPr>
        <w:t>，在通常的测量误差范围内，可认为是</w:t>
      </w:r>
      <w:r>
        <w:t xml:space="preserve"> </w:t>
      </w:r>
      <w:r>
        <w:rPr>
          <w:spacing w:val="-6"/>
        </w:rPr>
        <w:t>相同的。</w:t>
      </w:r>
    </w:p>
    <w:p>
      <w:pPr>
        <w:pStyle w:val="BodyText"/>
        <w:spacing w:before="54" w:line="254" w:lineRule="auto"/>
        <w:ind w:right="83" w:firstLine="350"/>
      </w:pPr>
      <w:r>
        <w:rPr>
          <w:spacing w:val="2"/>
        </w:rPr>
        <w:t>另一方面，对一般白炽光源而言，不同波长范围内的分布温度值也</w:t>
      </w:r>
      <w:r>
        <w:rPr>
          <w:spacing w:val="1"/>
        </w:rPr>
        <w:t>不相同，在本规</w:t>
      </w:r>
      <w:r>
        <w:t xml:space="preserve"> </w:t>
      </w:r>
      <w:r>
        <w:rPr>
          <w:spacing w:val="1"/>
        </w:rPr>
        <w:t>程中除非另有说明，均是指可见波长范围内的分布温度。</w:t>
      </w:r>
    </w:p>
    <w:p>
      <w:pPr>
        <w:pStyle w:val="BodyText"/>
        <w:spacing w:before="71" w:line="248" w:lineRule="auto"/>
        <w:ind w:right="81" w:firstLine="350"/>
      </w:pPr>
      <w:r>
        <w:rPr>
          <w:spacing w:val="2"/>
        </w:rPr>
        <w:t>由于标准灯在发光时，灯丝各部分的温度不完全相同，本规程所讲的分</w:t>
      </w:r>
      <w:r>
        <w:rPr>
          <w:spacing w:val="1"/>
        </w:rPr>
        <w:t>布温度均是</w:t>
      </w:r>
      <w:r>
        <w:t xml:space="preserve"> </w:t>
      </w:r>
      <w:r>
        <w:rPr>
          <w:spacing w:val="2"/>
        </w:rPr>
        <w:t>指灯丝各部分的辐射在测光方向上均匀混合后所复现的分布温度。</w:t>
      </w:r>
    </w:p>
    <w:p>
      <w:pPr>
        <w:pStyle w:val="BodyText"/>
        <w:spacing w:before="51" w:line="261" w:lineRule="auto"/>
        <w:ind w:right="70" w:firstLine="350"/>
      </w:pPr>
      <w:r>
        <w:rPr>
          <w:spacing w:val="1"/>
        </w:rPr>
        <w:t xml:space="preserve">在正常工作温度范围内，标准灯灯电流 </w:t>
      </w:r>
      <w:r>
        <w:rPr>
          <w:rFonts w:ascii="Times New Roman" w:eastAsia="Times New Roman" w:hAnsi="Times New Roman" w:cs="Times New Roman"/>
          <w:spacing w:val="1"/>
        </w:rPr>
        <w:t>i,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1"/>
        </w:rPr>
        <w:t>与对</w:t>
      </w:r>
      <w:r>
        <w:t>应分布温度值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T</w:t>
      </w:r>
      <w:r>
        <w:t xml:space="preserve">。的变化关系，可用 </w:t>
      </w:r>
      <w:r>
        <w:rPr>
          <w:spacing w:val="-8"/>
        </w:rPr>
        <w:t>下式表示：</w:t>
      </w:r>
    </w:p>
    <w:p>
      <w:pPr>
        <w:spacing w:line="261" w:lineRule="auto"/>
        <w:sectPr>
          <w:headerReference w:type="default" r:id="rId6"/>
          <w:footerReference w:type="default" r:id="rId7"/>
          <w:type w:val="nextPage"/>
          <w:pgSz w:w="7340" w:h="10480"/>
          <w:pgMar w:top="590" w:right="570" w:bottom="537" w:left="509" w:header="367" w:footer="428" w:gutter="0"/>
          <w:pgNumType w:start="2"/>
          <w:cols w:space="708"/>
          <w:titlePg w:val="0"/>
        </w:sectPr>
      </w:pPr>
    </w:p>
    <w:p>
      <w:pPr>
        <w:pStyle w:val="BodyText"/>
        <w:spacing w:before="127" w:line="192" w:lineRule="auto"/>
        <w:ind w:right="12"/>
        <w:jc w:val="right"/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ir-i₀=B(T₄-Ta)+C(T₄-Ta)²                                      </w:t>
      </w:r>
      <w:r>
        <w:rPr>
          <w:spacing w:val="-1"/>
          <w:position w:val="-1"/>
        </w:rPr>
        <w:t>(1)</w:t>
      </w:r>
    </w:p>
    <w:p>
      <w:pPr>
        <w:pStyle w:val="BodyText"/>
        <w:spacing w:before="58" w:line="220" w:lineRule="auto"/>
      </w:pPr>
      <w:r>
        <w:rPr>
          <w:rFonts w:ascii="KaiTi" w:eastAsia="KaiTi" w:hAnsi="KaiTi" w:cs="KaiTi"/>
          <w:spacing w:val="-6"/>
        </w:rPr>
        <w:t>式中：</w:t>
      </w:r>
      <w:r>
        <w:rPr>
          <w:rFonts w:ascii="KaiTi" w:eastAsia="KaiTi" w:hAnsi="KaiTi" w:cs="KaiTi"/>
          <w:spacing w:val="-6"/>
        </w:rPr>
        <w:t xml:space="preserve">   </w:t>
      </w:r>
      <w:r>
        <w:rPr>
          <w:spacing w:val="-6"/>
        </w:rPr>
        <w:t xml:space="preserve">Tm—   </w:t>
      </w:r>
      <w:r>
        <w:rPr>
          <w:rFonts w:ascii="KaiTi" w:eastAsia="KaiTi" w:hAnsi="KaiTi" w:cs="KaiTi"/>
          <w:spacing w:val="-6"/>
        </w:rPr>
        <w:t>参考点的分布温度值，</w:t>
      </w:r>
      <w:r>
        <w:rPr>
          <w:rFonts w:ascii="KaiTi" w:eastAsia="KaiTi" w:hAnsi="KaiTi" w:cs="KaiTi"/>
          <w:spacing w:val="-6"/>
        </w:rPr>
        <w:t xml:space="preserve"> </w:t>
      </w:r>
      <w:r>
        <w:rPr>
          <w:spacing w:val="-6"/>
        </w:rPr>
        <w:t>K;</w:t>
      </w:r>
    </w:p>
    <w:p>
      <w:pPr>
        <w:pStyle w:val="BodyText"/>
        <w:spacing w:before="75" w:line="240" w:lineRule="exact"/>
        <w:ind w:left="790"/>
      </w:pPr>
      <w:r>
        <w:rPr>
          <w:spacing w:val="-4"/>
          <w:position w:val="6"/>
        </w:rPr>
        <w:t>i</w:t>
      </w:r>
      <w:r>
        <w:rPr>
          <w:rFonts w:ascii="Calibri" w:eastAsia="Calibri" w:hAnsi="Calibri" w:cs="Calibri"/>
          <w:spacing w:val="-4"/>
          <w:position w:val="6"/>
        </w:rPr>
        <w:t>₀</w:t>
      </w:r>
      <w:r>
        <w:rPr>
          <w:spacing w:val="-4"/>
          <w:position w:val="6"/>
        </w:rPr>
        <w:t>——对应于该参考点的灯电流值， A;</w:t>
      </w:r>
    </w:p>
    <w:p>
      <w:pPr>
        <w:pStyle w:val="BodyText"/>
        <w:spacing w:line="219" w:lineRule="auto"/>
        <w:ind w:left="790"/>
      </w:pPr>
      <w:r>
        <w:rPr>
          <w:spacing w:val="-2"/>
        </w:rPr>
        <w:t>B——</w:t>
      </w:r>
      <w:r>
        <w:rPr>
          <w:spacing w:val="-48"/>
        </w:rPr>
        <w:t xml:space="preserve"> </w:t>
      </w:r>
      <w:r>
        <w:rPr>
          <w:spacing w:val="-2"/>
        </w:rPr>
        <w:t>标准灯的线性项系数，</w:t>
      </w:r>
      <w:r>
        <w:rPr>
          <w:spacing w:val="-40"/>
        </w:rPr>
        <w:t xml:space="preserve"> </w:t>
      </w:r>
      <w:r>
        <w:rPr>
          <w:spacing w:val="-2"/>
        </w:rPr>
        <w:t>A/K;</w:t>
      </w:r>
    </w:p>
    <w:p>
      <w:pPr>
        <w:pStyle w:val="BodyText"/>
        <w:spacing w:before="50" w:line="219" w:lineRule="auto"/>
        <w:ind w:left="790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3"/>
          <w:u w:val="single" w:color="auto"/>
        </w:rPr>
        <w:t xml:space="preserve">         </w:t>
      </w:r>
      <w:r>
        <w:rPr>
          <w:spacing w:val="-3"/>
        </w:rPr>
        <w:t>标准灯的二次项系数，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A/K²</w:t>
      </w:r>
      <w:r>
        <w:rPr>
          <w:spacing w:val="-3"/>
        </w:rPr>
        <w:t>。</w:t>
      </w:r>
    </w:p>
    <w:p>
      <w:pPr>
        <w:pStyle w:val="BodyText"/>
        <w:spacing w:before="49" w:line="245" w:lineRule="auto"/>
        <w:ind w:right="32" w:firstLine="370"/>
      </w:pPr>
      <w:r>
        <w:rPr>
          <w:spacing w:val="5"/>
        </w:rPr>
        <w:t>对溴钨灯，系数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C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5"/>
        </w:rPr>
        <w:t>的值很小，因而二次项的值也很小，即可简化为近似的线性关</w:t>
      </w:r>
      <w:r>
        <w:t xml:space="preserve"> </w:t>
      </w:r>
      <w:r>
        <w:rPr>
          <w:spacing w:val="-3"/>
        </w:rPr>
        <w:t>系。</w:t>
      </w:r>
    </w:p>
    <w:p>
      <w:pPr>
        <w:pStyle w:val="BodyText"/>
        <w:spacing w:before="165" w:line="221" w:lineRule="auto"/>
        <w:ind w:left="2"/>
      </w:pPr>
      <w:r>
        <w:rPr>
          <w:b/>
          <w:bCs/>
        </w:rPr>
        <w:t>5</w:t>
      </w:r>
      <w:r>
        <w:rPr>
          <w:spacing w:val="70"/>
        </w:rPr>
        <w:t xml:space="preserve"> </w:t>
      </w:r>
      <w:r>
        <w:rPr>
          <w:b/>
          <w:bCs/>
        </w:rPr>
        <w:t>计量性能要求</w:t>
      </w:r>
    </w:p>
    <w:p>
      <w:pPr>
        <w:pStyle w:val="BodyText"/>
        <w:spacing w:before="180" w:line="219" w:lineRule="auto"/>
      </w:pPr>
      <w:r>
        <w:t>5.1</w:t>
      </w:r>
      <w:r>
        <w:rPr>
          <w:spacing w:val="65"/>
          <w:w w:val="101"/>
        </w:rPr>
        <w:t xml:space="preserve"> </w:t>
      </w:r>
      <w:r>
        <w:t>标准灯的光电参数</w:t>
      </w:r>
    </w:p>
    <w:p>
      <w:pPr>
        <w:pStyle w:val="BodyText"/>
        <w:spacing w:before="39" w:line="219" w:lineRule="auto"/>
        <w:ind w:left="370"/>
      </w:pPr>
      <w:r>
        <w:rPr>
          <w:spacing w:val="2"/>
        </w:rPr>
        <w:t>分布温度标准灯的光电参数应符合表1</w:t>
      </w:r>
      <w:r>
        <w:rPr>
          <w:spacing w:val="-21"/>
        </w:rPr>
        <w:t xml:space="preserve"> </w:t>
      </w:r>
      <w:r>
        <w:rPr>
          <w:spacing w:val="2"/>
        </w:rPr>
        <w:t>的规定。</w:t>
      </w:r>
    </w:p>
    <w:p>
      <w:pPr>
        <w:spacing w:before="58" w:line="184" w:lineRule="auto"/>
        <w:ind w:left="2991"/>
        <w:rPr>
          <w:rFonts w:ascii="LiSu" w:eastAsia="LiSu" w:hAnsi="LiSu" w:cs="LiSu"/>
          <w:sz w:val="16"/>
          <w:szCs w:val="16"/>
        </w:rPr>
      </w:pPr>
      <w:r>
        <w:rPr>
          <w:rFonts w:ascii="LiSu" w:eastAsia="LiSu" w:hAnsi="LiSu" w:cs="LiSu"/>
          <w:b/>
          <w:bCs/>
          <w:spacing w:val="-18"/>
          <w:w w:val="92"/>
          <w:sz w:val="16"/>
          <w:szCs w:val="16"/>
        </w:rPr>
        <w:t>表</w:t>
      </w:r>
      <w:r>
        <w:rPr>
          <w:rFonts w:ascii="LiSu" w:eastAsia="LiSu" w:hAnsi="LiSu" w:cs="LiSu"/>
          <w:spacing w:val="71"/>
          <w:sz w:val="16"/>
          <w:szCs w:val="16"/>
        </w:rPr>
        <w:t xml:space="preserve"> </w:t>
      </w:r>
      <w:r>
        <w:rPr>
          <w:rFonts w:ascii="LiSu" w:eastAsia="LiSu" w:hAnsi="LiSu" w:cs="LiSu"/>
          <w:b/>
          <w:bCs/>
          <w:spacing w:val="-18"/>
          <w:w w:val="92"/>
          <w:sz w:val="16"/>
          <w:szCs w:val="16"/>
        </w:rPr>
        <w:t>1</w:t>
      </w:r>
    </w:p>
    <w:p>
      <w:pPr>
        <w:spacing w:line="42" w:lineRule="exact"/>
      </w:pPr>
    </w:p>
    <w:tbl>
      <w:tblPr>
        <w:tblStyle w:val="TableNormal0"/>
        <w:tblW w:w="6099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33"/>
        <w:gridCol w:w="998"/>
        <w:gridCol w:w="998"/>
        <w:gridCol w:w="989"/>
        <w:gridCol w:w="988"/>
        <w:gridCol w:w="993"/>
      </w:tblGrid>
      <w:tr>
        <w:tblPrEx>
          <w:tblW w:w="6099" w:type="dxa"/>
          <w:tblInd w:w="1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52"/>
        </w:trPr>
        <w:tc>
          <w:tcPr>
            <w:tcW w:w="1133" w:type="dxa"/>
            <w:vAlign w:val="top"/>
          </w:tcPr>
          <w:p>
            <w:pPr>
              <w:pStyle w:val="TableText"/>
              <w:spacing w:before="211" w:line="221" w:lineRule="auto"/>
              <w:ind w:left="414"/>
            </w:pPr>
            <w:r>
              <w:rPr>
                <w:spacing w:val="-3"/>
              </w:rPr>
              <w:t>型号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19" w:line="267" w:lineRule="auto"/>
              <w:ind w:left="420" w:right="81" w:hanging="349"/>
            </w:pPr>
            <w:r>
              <w:rPr>
                <w:spacing w:val="-1"/>
              </w:rPr>
              <w:t>额定分布温度</w:t>
            </w:r>
            <w:r>
              <w:t xml:space="preserve"> </w:t>
            </w:r>
            <w:r>
              <w:rPr>
                <w:spacing w:val="-2"/>
              </w:rPr>
              <w:t>/K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20" w:line="234" w:lineRule="exact"/>
              <w:ind w:left="213"/>
            </w:pPr>
            <w:r>
              <w:rPr>
                <w:spacing w:val="-2"/>
                <w:position w:val="7"/>
              </w:rPr>
              <w:t>额定电压</w:t>
            </w:r>
          </w:p>
          <w:p>
            <w:pPr>
              <w:pStyle w:val="TableText"/>
              <w:spacing w:line="224" w:lineRule="auto"/>
              <w:ind w:left="423"/>
            </w:pPr>
            <w:r>
              <w:rPr>
                <w:spacing w:val="-2"/>
              </w:rPr>
              <w:t>/V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110" w:line="234" w:lineRule="exact"/>
              <w:ind w:left="205"/>
            </w:pPr>
            <w:r>
              <w:rPr>
                <w:spacing w:val="-2"/>
                <w:position w:val="7"/>
              </w:rPr>
              <w:t>额定电流</w:t>
            </w:r>
          </w:p>
          <w:p>
            <w:pPr>
              <w:pStyle w:val="TableText"/>
              <w:spacing w:line="224" w:lineRule="auto"/>
              <w:ind w:left="415"/>
            </w:pPr>
            <w:r>
              <w:rPr>
                <w:spacing w:val="-2"/>
              </w:rPr>
              <w:t>/A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120" w:line="234" w:lineRule="exact"/>
              <w:ind w:left="207"/>
            </w:pPr>
            <w:r>
              <w:rPr>
                <w:spacing w:val="-2"/>
                <w:position w:val="7"/>
              </w:rPr>
              <w:t>发光强度</w:t>
            </w:r>
          </w:p>
          <w:p>
            <w:pPr>
              <w:pStyle w:val="TableText"/>
              <w:spacing w:line="239" w:lineRule="auto"/>
              <w:ind w:left="386"/>
            </w:pPr>
            <w:r>
              <w:rPr>
                <w:spacing w:val="-2"/>
              </w:rPr>
              <w:t>fcd</w:t>
            </w:r>
          </w:p>
        </w:tc>
        <w:tc>
          <w:tcPr>
            <w:tcW w:w="993" w:type="dxa"/>
            <w:vAlign w:val="top"/>
          </w:tcPr>
          <w:p>
            <w:pPr>
              <w:pStyle w:val="TableText"/>
              <w:spacing w:before="211" w:line="221" w:lineRule="auto"/>
              <w:ind w:left="278"/>
            </w:pPr>
            <w:r>
              <w:rPr>
                <w:spacing w:val="-4"/>
              </w:rPr>
              <w:t>备</w:t>
            </w:r>
            <w:r>
              <w:rPr>
                <w:spacing w:val="2"/>
              </w:rPr>
              <w:t xml:space="preserve">  </w:t>
            </w:r>
            <w:r>
              <w:rPr>
                <w:spacing w:val="-4"/>
              </w:rPr>
              <w:t>注</w:t>
            </w:r>
          </w:p>
        </w:tc>
      </w:tr>
      <w:tr>
        <w:tblPrEx>
          <w:tblW w:w="6099" w:type="dxa"/>
          <w:tblInd w:w="100" w:type="dxa"/>
          <w:tblLayout w:type="fixed"/>
        </w:tblPrEx>
        <w:trPr>
          <w:trHeight w:val="268"/>
        </w:trPr>
        <w:tc>
          <w:tcPr>
            <w:tcW w:w="1133" w:type="dxa"/>
            <w:vAlign w:val="top"/>
          </w:tcPr>
          <w:p>
            <w:pPr>
              <w:pStyle w:val="TableText"/>
              <w:spacing w:before="94" w:line="183" w:lineRule="auto"/>
              <w:ind w:left="384"/>
            </w:pPr>
            <w:r>
              <w:rPr>
                <w:spacing w:val="-1"/>
              </w:rPr>
              <w:t>BDQ-3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4" w:line="183" w:lineRule="auto"/>
              <w:ind w:left="352"/>
            </w:pPr>
            <w:r>
              <w:rPr>
                <w:spacing w:val="-2"/>
              </w:rPr>
              <w:t>2856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4" w:line="183" w:lineRule="auto"/>
              <w:ind w:left="423"/>
            </w:pPr>
            <w:r>
              <w:rPr>
                <w:spacing w:val="-3"/>
              </w:rPr>
              <w:t>36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104" w:line="184" w:lineRule="auto"/>
              <w:ind w:left="385"/>
            </w:pPr>
            <w:r>
              <w:rPr>
                <w:spacing w:val="-4"/>
              </w:rPr>
              <w:t>1.6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104" w:line="183" w:lineRule="auto"/>
              <w:ind w:left="417"/>
            </w:pPr>
            <w:r>
              <w:rPr>
                <w:spacing w:val="-2"/>
              </w:rPr>
              <w:t>90</w:t>
            </w:r>
          </w:p>
        </w:tc>
        <w:tc>
          <w:tcPr>
            <w:tcW w:w="993" w:type="dxa"/>
            <w:vAlign w:val="top"/>
          </w:tcPr>
          <w:p>
            <w:pPr>
              <w:pStyle w:val="TableText"/>
              <w:spacing w:before="68" w:line="219" w:lineRule="auto"/>
              <w:ind w:left="139"/>
            </w:pPr>
            <w:r>
              <w:rPr>
                <w:spacing w:val="-2"/>
              </w:rPr>
              <w:t>充气钨丝灯</w:t>
            </w:r>
          </w:p>
        </w:tc>
      </w:tr>
      <w:tr>
        <w:tblPrEx>
          <w:tblW w:w="6099" w:type="dxa"/>
          <w:tblInd w:w="100" w:type="dxa"/>
          <w:tblLayout w:type="fixed"/>
        </w:tblPrEx>
        <w:trPr>
          <w:trHeight w:val="268"/>
        </w:trPr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384"/>
            </w:pPr>
            <w:r>
              <w:rPr>
                <w:spacing w:val="-1"/>
              </w:rPr>
              <w:t>BDQ-7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6" w:line="183" w:lineRule="auto"/>
              <w:ind w:left="352"/>
            </w:pPr>
            <w:r>
              <w:rPr>
                <w:spacing w:val="-2"/>
              </w:rPr>
              <w:t>2856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6" w:line="183" w:lineRule="auto"/>
              <w:ind w:left="423"/>
            </w:pPr>
            <w:r>
              <w:rPr>
                <w:spacing w:val="-2"/>
              </w:rPr>
              <w:t>92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106" w:line="183" w:lineRule="auto"/>
              <w:ind w:left="385"/>
            </w:pPr>
            <w:r>
              <w:rPr>
                <w:spacing w:val="-2"/>
              </w:rPr>
              <w:t>2.9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106" w:line="183" w:lineRule="auto"/>
              <w:ind w:left="386"/>
            </w:pPr>
            <w:r>
              <w:rPr>
                <w:spacing w:val="-2"/>
              </w:rPr>
              <w:t>450</w:t>
            </w:r>
          </w:p>
        </w:tc>
        <w:tc>
          <w:tcPr>
            <w:tcW w:w="993" w:type="dxa"/>
            <w:vAlign w:val="top"/>
          </w:tcPr>
          <w:p>
            <w:pPr>
              <w:pStyle w:val="TableText"/>
              <w:spacing w:before="70" w:line="219" w:lineRule="auto"/>
              <w:ind w:left="139"/>
            </w:pPr>
            <w:r>
              <w:rPr>
                <w:spacing w:val="-2"/>
              </w:rPr>
              <w:t>充气钨丝灯</w:t>
            </w:r>
          </w:p>
        </w:tc>
      </w:tr>
      <w:tr>
        <w:tblPrEx>
          <w:tblW w:w="6099" w:type="dxa"/>
          <w:tblInd w:w="100" w:type="dxa"/>
          <w:tblLayout w:type="fixed"/>
        </w:tblPrEx>
        <w:trPr>
          <w:trHeight w:val="268"/>
        </w:trPr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384"/>
            </w:pPr>
            <w:r>
              <w:rPr>
                <w:spacing w:val="-1"/>
              </w:rPr>
              <w:t>BDQ-8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8" w:line="183" w:lineRule="auto"/>
              <w:ind w:left="352"/>
            </w:pPr>
            <w:r>
              <w:rPr>
                <w:spacing w:val="-2"/>
              </w:rPr>
              <w:t>2856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8" w:line="184" w:lineRule="auto"/>
              <w:ind w:left="383"/>
            </w:pPr>
            <w:r>
              <w:rPr>
                <w:spacing w:val="-4"/>
              </w:rPr>
              <w:t>100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108" w:line="183" w:lineRule="auto"/>
              <w:ind w:left="385"/>
            </w:pPr>
            <w:r>
              <w:rPr>
                <w:spacing w:val="-2"/>
              </w:rPr>
              <w:t>6.3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108" w:line="184" w:lineRule="auto"/>
              <w:ind w:left="346"/>
            </w:pPr>
            <w:r>
              <w:rPr>
                <w:spacing w:val="-3"/>
              </w:rPr>
              <w:t>1100</w:t>
            </w:r>
          </w:p>
        </w:tc>
        <w:tc>
          <w:tcPr>
            <w:tcW w:w="993" w:type="dxa"/>
            <w:vAlign w:val="top"/>
          </w:tcPr>
          <w:p>
            <w:pPr>
              <w:pStyle w:val="TableText"/>
              <w:spacing w:before="72" w:line="219" w:lineRule="auto"/>
              <w:ind w:left="139"/>
            </w:pPr>
            <w:r>
              <w:rPr>
                <w:spacing w:val="-2"/>
              </w:rPr>
              <w:t>充气钨丝灯</w:t>
            </w:r>
          </w:p>
        </w:tc>
      </w:tr>
      <w:tr>
        <w:tblPrEx>
          <w:tblW w:w="6099" w:type="dxa"/>
          <w:tblInd w:w="100" w:type="dxa"/>
          <w:tblLayout w:type="fixed"/>
        </w:tblPrEx>
        <w:trPr>
          <w:trHeight w:val="263"/>
        </w:trPr>
        <w:tc>
          <w:tcPr>
            <w:tcW w:w="1133" w:type="dxa"/>
            <w:vAlign w:val="top"/>
          </w:tcPr>
          <w:p>
            <w:pPr>
              <w:pStyle w:val="TableText"/>
              <w:spacing w:before="101" w:line="182" w:lineRule="auto"/>
              <w:ind w:left="454"/>
            </w:pPr>
            <w:r>
              <w:rPr>
                <w:spacing w:val="-1"/>
              </w:rPr>
              <w:t>BFZ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0" w:line="183" w:lineRule="auto"/>
              <w:ind w:left="352"/>
            </w:pPr>
            <w:r>
              <w:rPr>
                <w:spacing w:val="-2"/>
              </w:rPr>
              <w:t>3200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0" w:line="184" w:lineRule="auto"/>
              <w:ind w:left="383"/>
            </w:pPr>
            <w:r>
              <w:rPr>
                <w:spacing w:val="-4"/>
              </w:rPr>
              <w:t>100</w:t>
            </w:r>
          </w:p>
        </w:tc>
        <w:tc>
          <w:tcPr>
            <w:tcW w:w="989" w:type="dxa"/>
            <w:vAlign w:val="top"/>
          </w:tcPr>
          <w:p>
            <w:pPr>
              <w:pStyle w:val="TableText"/>
              <w:spacing w:before="100" w:line="183" w:lineRule="auto"/>
              <w:ind w:left="385"/>
            </w:pPr>
            <w:r>
              <w:rPr>
                <w:spacing w:val="-2"/>
              </w:rPr>
              <w:t>5.0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100" w:line="184" w:lineRule="auto"/>
              <w:ind w:left="346"/>
            </w:pPr>
            <w:r>
              <w:rPr>
                <w:spacing w:val="-3"/>
              </w:rPr>
              <w:t>1500</w:t>
            </w:r>
          </w:p>
        </w:tc>
        <w:tc>
          <w:tcPr>
            <w:tcW w:w="993" w:type="dxa"/>
            <w:vAlign w:val="top"/>
          </w:tcPr>
          <w:p>
            <w:pPr>
              <w:pStyle w:val="TableText"/>
              <w:spacing w:before="64" w:line="219" w:lineRule="auto"/>
              <w:ind w:left="139"/>
            </w:pPr>
            <w:r>
              <w:rPr>
                <w:spacing w:val="-1"/>
              </w:rPr>
              <w:t>石英漠钨灯</w:t>
            </w:r>
          </w:p>
        </w:tc>
      </w:tr>
    </w:tbl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52" w:line="219" w:lineRule="auto"/>
      </w:pPr>
      <w:r>
        <w:t>5.2</w:t>
      </w:r>
      <w:r>
        <w:rPr>
          <w:spacing w:val="65"/>
        </w:rPr>
        <w:t xml:space="preserve"> </w:t>
      </w:r>
      <w:r>
        <w:t>标准灯的年稳定性</w:t>
      </w:r>
    </w:p>
    <w:p>
      <w:pPr>
        <w:pStyle w:val="BodyText"/>
        <w:spacing w:before="25" w:line="259" w:lineRule="auto"/>
        <w:ind w:right="33" w:firstLine="370"/>
      </w:pPr>
      <w:r>
        <w:rPr>
          <w:rFonts w:ascii="Times New Roman" w:eastAsia="Times New Roman" w:hAnsi="Times New Roman" w:cs="Times New Roman"/>
        </w:rPr>
        <w:t>BDQ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5"/>
        </w:rPr>
        <w:t>型标准灯，在2856</w:t>
      </w:r>
      <w:r>
        <w:rPr>
          <w:rFonts w:ascii="Times New Roman" w:eastAsia="Times New Roman" w:hAnsi="Times New Roman" w:cs="Times New Roman"/>
          <w:spacing w:val="5"/>
        </w:rPr>
        <w:t>K</w:t>
      </w:r>
      <w:r>
        <w:rPr>
          <w:spacing w:val="5"/>
        </w:rPr>
        <w:t>点，分布温度的年变化量：</w:t>
      </w:r>
      <w:r>
        <w:rPr>
          <w:spacing w:val="57"/>
          <w:w w:val="101"/>
        </w:rPr>
        <w:t xml:space="preserve"> </w:t>
      </w:r>
      <w:r>
        <w:rPr>
          <w:spacing w:val="5"/>
        </w:rPr>
        <w:t>一级不超过6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K;</w:t>
      </w:r>
      <w:r>
        <w:rPr>
          <w:rFonts w:ascii="Times New Roman" w:eastAsia="Times New Roman" w:hAnsi="Times New Roman" w:cs="Times New Roman"/>
          <w:spacing w:val="16"/>
          <w:w w:val="102"/>
        </w:rPr>
        <w:t xml:space="preserve">  </w:t>
      </w:r>
      <w:r>
        <w:rPr>
          <w:spacing w:val="5"/>
        </w:rPr>
        <w:t>二级不超</w:t>
      </w:r>
      <w:r>
        <w:t xml:space="preserve"> </w:t>
      </w:r>
      <w:r>
        <w:rPr>
          <w:spacing w:val="-2"/>
        </w:rPr>
        <w:t>过10</w:t>
      </w:r>
      <w:r>
        <w:rPr>
          <w:spacing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K</w:t>
      </w:r>
      <w:r>
        <w:rPr>
          <w:spacing w:val="-2"/>
        </w:rPr>
        <w:t>。</w:t>
      </w:r>
    </w:p>
    <w:p>
      <w:pPr>
        <w:pStyle w:val="BodyText"/>
        <w:spacing w:before="26" w:line="256" w:lineRule="auto"/>
        <w:ind w:right="33" w:firstLine="370"/>
      </w:pPr>
      <w:r>
        <w:rPr>
          <w:rFonts w:ascii="Times New Roman" w:eastAsia="Times New Roman" w:hAnsi="Times New Roman" w:cs="Times New Roman"/>
        </w:rPr>
        <w:t>BFZ</w:t>
      </w:r>
      <w:r>
        <w:rPr>
          <w:spacing w:val="3"/>
        </w:rPr>
        <w:t>型标准灯，在3200</w:t>
      </w:r>
      <w:r>
        <w:rPr>
          <w:rFonts w:ascii="Times New Roman" w:eastAsia="Times New Roman" w:hAnsi="Times New Roman" w:cs="Times New Roman"/>
          <w:spacing w:val="3"/>
        </w:rPr>
        <w:t xml:space="preserve">K </w:t>
      </w:r>
      <w:r>
        <w:rPr>
          <w:spacing w:val="3"/>
        </w:rPr>
        <w:t>点，分布温度的年变化量：</w:t>
      </w:r>
      <w:r>
        <w:rPr>
          <w:spacing w:val="60"/>
        </w:rPr>
        <w:t xml:space="preserve"> </w:t>
      </w:r>
      <w:r>
        <w:rPr>
          <w:spacing w:val="3"/>
        </w:rPr>
        <w:t xml:space="preserve">一级不超过10 </w:t>
      </w:r>
      <w:r>
        <w:rPr>
          <w:rFonts w:ascii="Times New Roman" w:eastAsia="Times New Roman" w:hAnsi="Times New Roman" w:cs="Times New Roman"/>
          <w:spacing w:val="3"/>
        </w:rPr>
        <w:t>K;</w:t>
      </w:r>
      <w:r>
        <w:rPr>
          <w:rFonts w:ascii="Times New Roman" w:eastAsia="Times New Roman" w:hAnsi="Times New Roman" w:cs="Times New Roman"/>
          <w:spacing w:val="11"/>
          <w:w w:val="101"/>
        </w:rPr>
        <w:t xml:space="preserve">  </w:t>
      </w:r>
      <w:r>
        <w:rPr>
          <w:spacing w:val="3"/>
        </w:rPr>
        <w:t>二级不超</w:t>
      </w:r>
      <w:r>
        <w:t xml:space="preserve"> </w:t>
      </w:r>
      <w:r>
        <w:rPr>
          <w:spacing w:val="-2"/>
        </w:rPr>
        <w:t>过15</w:t>
      </w:r>
      <w:r>
        <w:rPr>
          <w:spacing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K</w:t>
      </w:r>
      <w:r>
        <w:rPr>
          <w:spacing w:val="-2"/>
        </w:rPr>
        <w:t>。</w:t>
      </w:r>
    </w:p>
    <w:p>
      <w:pPr>
        <w:pStyle w:val="BodyText"/>
        <w:spacing w:before="57" w:line="220" w:lineRule="auto"/>
      </w:pPr>
      <w:r>
        <w:t>5.3</w:t>
      </w:r>
      <w:r>
        <w:rPr>
          <w:spacing w:val="68"/>
        </w:rPr>
        <w:t xml:space="preserve"> </w:t>
      </w:r>
      <w:r>
        <w:t>标准灯的不确定度</w:t>
      </w:r>
    </w:p>
    <w:p>
      <w:pPr>
        <w:pStyle w:val="BodyText"/>
        <w:spacing w:before="21" w:line="212" w:lineRule="auto"/>
        <w:ind w:left="370"/>
        <w:sectPr>
          <w:headerReference w:type="default" r:id="rId8"/>
          <w:footerReference w:type="default" r:id="rId9"/>
          <w:pgSz w:w="7340" w:h="10480"/>
          <w:pgMar w:top="719" w:right="570" w:bottom="410" w:left="519" w:header="507" w:footer="310" w:gutter="0"/>
          <w:pgNumType w:start="3"/>
          <w:cols w:space="708"/>
        </w:sectPr>
      </w:pPr>
      <w:r>
        <w:rPr>
          <w:spacing w:val="2"/>
        </w:rPr>
        <w:t xml:space="preserve">各级标准灯总的扩展不确定度 </w:t>
      </w:r>
      <w:r>
        <w:rPr>
          <w:rFonts w:ascii="Times New Roman" w:eastAsia="Times New Roman" w:hAnsi="Times New Roman" w:cs="Times New Roman"/>
          <w:spacing w:val="2"/>
        </w:rPr>
        <w:t>(p=0.99)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2"/>
        </w:rPr>
        <w:t>、  检定中使</w:t>
      </w:r>
      <w:r>
        <w:rPr>
          <w:spacing w:val="1"/>
        </w:rPr>
        <w:t>用上一级标准灯的级别应符合</w:t>
      </w:r>
    </w:p>
    <w:p>
      <w:pPr>
        <w:pStyle w:val="BodyText"/>
        <w:spacing w:before="74" w:line="220" w:lineRule="auto"/>
      </w:pPr>
      <w:r>
        <w:rPr>
          <w:spacing w:val="7"/>
        </w:rPr>
        <w:t>表2中的规定。</w:t>
      </w:r>
    </w:p>
    <w:p>
      <w:pPr>
        <w:pStyle w:val="BodyText"/>
        <w:spacing w:before="40" w:line="220" w:lineRule="auto"/>
        <w:ind w:left="2961"/>
        <w:rPr>
          <w:rFonts w:ascii="Times New Roman" w:eastAsia="Times New Roman" w:hAnsi="Times New Roman" w:cs="Times New Roman"/>
        </w:rPr>
      </w:pPr>
      <w:r>
        <w:rPr>
          <w:rFonts w:ascii="LiSu" w:eastAsia="LiSu" w:hAnsi="LiSu" w:cs="LiSu"/>
          <w:b/>
          <w:bCs/>
          <w:spacing w:val="-19"/>
        </w:rPr>
        <w:t>表</w:t>
      </w:r>
      <w:r>
        <w:rPr>
          <w:rFonts w:ascii="LiSu" w:eastAsia="LiSu" w:hAnsi="LiSu" w:cs="LiSu"/>
          <w:spacing w:val="-19"/>
        </w:rPr>
        <w:t xml:space="preserve">  </w:t>
      </w:r>
      <w:r>
        <w:rPr>
          <w:rFonts w:ascii="LiSu" w:eastAsia="LiSu" w:hAnsi="LiSu" w:cs="LiSu"/>
          <w:b/>
          <w:bCs/>
          <w:spacing w:val="-19"/>
        </w:rPr>
        <w:t>2</w:t>
      </w:r>
      <w:r>
        <w:rPr>
          <w:rFonts w:ascii="LiSu" w:eastAsia="LiSu" w:hAnsi="LiSu" w:cs="LiSu"/>
          <w:spacing w:val="2"/>
        </w:rPr>
        <w:t xml:space="preserve">                          </w:t>
      </w:r>
      <w:r>
        <w:rPr>
          <w:spacing w:val="-19"/>
        </w:rPr>
        <w:t>单位：</w:t>
      </w:r>
      <w:r>
        <w:rPr>
          <w:rFonts w:ascii="Times New Roman" w:eastAsia="Times New Roman" w:hAnsi="Times New Roman" w:cs="Times New Roman"/>
          <w:spacing w:val="-19"/>
        </w:rPr>
        <w:t>K</w:t>
      </w:r>
    </w:p>
    <w:p>
      <w:pPr>
        <w:spacing w:line="27" w:lineRule="exact"/>
      </w:pPr>
    </w:p>
    <w:tbl>
      <w:tblPr>
        <w:tblStyle w:val="TableNormal1"/>
        <w:tblW w:w="6109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94"/>
        <w:gridCol w:w="998"/>
        <w:gridCol w:w="998"/>
        <w:gridCol w:w="998"/>
        <w:gridCol w:w="988"/>
        <w:gridCol w:w="1133"/>
      </w:tblGrid>
      <w:tr>
        <w:tblPrEx>
          <w:tblW w:w="6109" w:type="dxa"/>
          <w:tblInd w:w="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51"/>
        </w:trPr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0" w:line="219" w:lineRule="auto"/>
              <w:ind w:left="275"/>
            </w:pPr>
            <w:r>
              <w:rPr>
                <w:spacing w:val="-2"/>
              </w:rPr>
              <w:t>被检灯</w:t>
            </w:r>
          </w:p>
          <w:p>
            <w:pPr>
              <w:pStyle w:val="TableText"/>
              <w:spacing w:before="44" w:line="220" w:lineRule="auto"/>
              <w:ind w:left="344"/>
            </w:pPr>
            <w:r>
              <w:rPr>
                <w:spacing w:val="-2"/>
              </w:rPr>
              <w:t>级别</w:t>
            </w:r>
          </w:p>
        </w:tc>
        <w:tc>
          <w:tcPr>
            <w:tcW w:w="3982" w:type="dxa"/>
            <w:gridSpan w:val="4"/>
            <w:vAlign w:val="top"/>
          </w:tcPr>
          <w:p>
            <w:pPr>
              <w:pStyle w:val="TableText"/>
              <w:spacing w:before="111" w:line="220" w:lineRule="auto"/>
              <w:ind w:left="1211"/>
            </w:pPr>
            <w:r>
              <w:rPr>
                <w:spacing w:val="-1"/>
              </w:rPr>
              <w:t>各级灯总的扩展不确定度</w:t>
            </w:r>
          </w:p>
          <w:p>
            <w:pPr>
              <w:pStyle w:val="TableText"/>
              <w:spacing w:before="48" w:line="214" w:lineRule="auto"/>
              <w:ind w:left="1420"/>
            </w:pPr>
            <w:r>
              <w:rPr>
                <w:spacing w:val="2"/>
              </w:rPr>
              <w:t>(单只灯，p=0.99)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1" w:line="255" w:lineRule="auto"/>
              <w:ind w:left="139" w:right="149"/>
            </w:pPr>
            <w:r>
              <w:rPr>
                <w:spacing w:val="-1"/>
              </w:rPr>
              <w:t>检定用上一级</w:t>
            </w:r>
            <w:r>
              <w:t xml:space="preserve"> </w:t>
            </w:r>
            <w:r>
              <w:rPr>
                <w:spacing w:val="-2"/>
              </w:rPr>
              <w:t>标准灯的级别</w:t>
            </w:r>
          </w:p>
        </w:tc>
      </w:tr>
      <w:tr>
        <w:tblPrEx>
          <w:tblW w:w="6109" w:type="dxa"/>
          <w:tblInd w:w="60" w:type="dxa"/>
          <w:tblLayout w:type="fixed"/>
        </w:tblPrEx>
        <w:trPr>
          <w:trHeight w:val="258"/>
        </w:trPr>
        <w:tc>
          <w:tcPr>
            <w:tcW w:w="9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95" w:line="183" w:lineRule="auto"/>
              <w:ind w:left="350"/>
            </w:pPr>
            <w:r>
              <w:rPr>
                <w:spacing w:val="-2"/>
              </w:rPr>
              <w:t>2042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95" w:line="183" w:lineRule="auto"/>
              <w:ind w:left="352"/>
            </w:pPr>
            <w:r>
              <w:rPr>
                <w:spacing w:val="-2"/>
              </w:rPr>
              <w:t>2353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95" w:line="183" w:lineRule="auto"/>
              <w:ind w:left="354"/>
            </w:pPr>
            <w:r>
              <w:rPr>
                <w:spacing w:val="-2"/>
              </w:rPr>
              <w:t>2856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95" w:line="183" w:lineRule="auto"/>
              <w:ind w:left="346"/>
            </w:pPr>
            <w:r>
              <w:rPr>
                <w:spacing w:val="-2"/>
              </w:rPr>
              <w:t>3200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109" w:type="dxa"/>
          <w:tblInd w:w="60" w:type="dxa"/>
          <w:tblLayout w:type="fixed"/>
        </w:tblPrEx>
        <w:trPr>
          <w:trHeight w:val="278"/>
        </w:trPr>
        <w:tc>
          <w:tcPr>
            <w:tcW w:w="994" w:type="dxa"/>
            <w:vAlign w:val="top"/>
          </w:tcPr>
          <w:p>
            <w:pPr>
              <w:pStyle w:val="TableText"/>
              <w:spacing w:before="73" w:line="221" w:lineRule="auto"/>
              <w:ind w:left="344"/>
            </w:pPr>
            <w:r>
              <w:rPr>
                <w:spacing w:val="-4"/>
              </w:rPr>
              <w:t>一级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7" w:line="183" w:lineRule="auto"/>
              <w:ind w:left="451"/>
            </w:pPr>
            <w:r>
              <w:t>8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7" w:line="184" w:lineRule="auto"/>
              <w:ind w:left="422"/>
            </w:pPr>
            <w:r>
              <w:rPr>
                <w:spacing w:val="-4"/>
              </w:rPr>
              <w:t>10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7" w:line="184" w:lineRule="auto"/>
              <w:ind w:left="425"/>
            </w:pPr>
            <w:r>
              <w:rPr>
                <w:spacing w:val="-4"/>
              </w:rPr>
              <w:t>15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107" w:line="183" w:lineRule="auto"/>
              <w:ind w:left="417"/>
            </w:pPr>
            <w:r>
              <w:rPr>
                <w:spacing w:val="-2"/>
              </w:rPr>
              <w:t>20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72" w:line="220" w:lineRule="auto"/>
              <w:ind w:left="278"/>
            </w:pPr>
            <w:r>
              <w:rPr>
                <w:spacing w:val="-2"/>
              </w:rPr>
              <w:t>工作基准</w:t>
            </w:r>
          </w:p>
        </w:tc>
      </w:tr>
      <w:tr>
        <w:tblPrEx>
          <w:tblW w:w="6109" w:type="dxa"/>
          <w:tblInd w:w="60" w:type="dxa"/>
          <w:tblLayout w:type="fixed"/>
        </w:tblPrEx>
        <w:trPr>
          <w:trHeight w:val="263"/>
        </w:trPr>
        <w:tc>
          <w:tcPr>
            <w:tcW w:w="994" w:type="dxa"/>
            <w:vAlign w:val="top"/>
          </w:tcPr>
          <w:p>
            <w:pPr>
              <w:pStyle w:val="TableText"/>
              <w:spacing w:before="65" w:line="221" w:lineRule="auto"/>
              <w:ind w:left="344"/>
            </w:pPr>
            <w:r>
              <w:rPr>
                <w:spacing w:val="-2"/>
              </w:rPr>
              <w:t>二级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99" w:line="184" w:lineRule="auto"/>
              <w:ind w:left="420"/>
            </w:pPr>
            <w:r>
              <w:rPr>
                <w:spacing w:val="-4"/>
              </w:rPr>
              <w:t>10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99" w:line="184" w:lineRule="auto"/>
              <w:ind w:left="422"/>
            </w:pPr>
            <w:r>
              <w:rPr>
                <w:spacing w:val="-4"/>
              </w:rPr>
              <w:t>12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99" w:line="184" w:lineRule="auto"/>
              <w:ind w:left="425"/>
            </w:pPr>
            <w:r>
              <w:rPr>
                <w:spacing w:val="-4"/>
              </w:rPr>
              <w:t>18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99" w:line="183" w:lineRule="auto"/>
              <w:ind w:left="417"/>
            </w:pPr>
            <w:r>
              <w:rPr>
                <w:spacing w:val="-2"/>
              </w:rPr>
              <w:t>25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5" w:line="221" w:lineRule="auto"/>
              <w:ind w:left="418"/>
            </w:pPr>
            <w:r>
              <w:rPr>
                <w:spacing w:val="-4"/>
              </w:rPr>
              <w:t>一级</w:t>
            </w:r>
          </w:p>
        </w:tc>
      </w:tr>
    </w:tbl>
    <w:p>
      <w:pPr>
        <w:pStyle w:val="BodyText"/>
        <w:spacing w:before="169" w:line="219" w:lineRule="auto"/>
        <w:ind w:left="2"/>
      </w:pPr>
      <w:r>
        <w:rPr>
          <w:b/>
          <w:bCs/>
          <w:spacing w:val="-4"/>
        </w:rPr>
        <w:t>6</w:t>
      </w:r>
      <w:r>
        <w:rPr>
          <w:spacing w:val="80"/>
        </w:rPr>
        <w:t xml:space="preserve"> </w:t>
      </w:r>
      <w:r>
        <w:rPr>
          <w:b/>
          <w:bCs/>
          <w:spacing w:val="-4"/>
        </w:rPr>
        <w:t>通用技术要求</w:t>
      </w:r>
    </w:p>
    <w:p>
      <w:pPr>
        <w:pStyle w:val="BodyText"/>
        <w:spacing w:before="183" w:line="220" w:lineRule="auto"/>
      </w:pPr>
      <w:r>
        <w:rPr>
          <w:spacing w:val="-2"/>
        </w:rPr>
        <w:t>6.1  外观要求</w:t>
      </w:r>
    </w:p>
    <w:p>
      <w:pPr>
        <w:spacing w:line="220" w:lineRule="auto"/>
        <w:sectPr>
          <w:headerReference w:type="default" r:id="rId10"/>
          <w:footerReference w:type="default" r:id="rId11"/>
          <w:type w:val="nextPage"/>
          <w:pgSz w:w="7340" w:h="10480"/>
          <w:pgMar w:top="719" w:right="570" w:bottom="410" w:left="519" w:header="507" w:footer="310" w:gutter="0"/>
          <w:pgNumType w:start="4"/>
          <w:cols w:space="708"/>
          <w:titlePg w:val="0"/>
        </w:sectPr>
      </w:pPr>
    </w:p>
    <w:p>
      <w:pPr>
        <w:pStyle w:val="BodyText"/>
        <w:spacing w:before="125" w:line="256" w:lineRule="auto"/>
        <w:ind w:right="59" w:firstLine="400"/>
        <w:jc w:val="both"/>
        <w:rPr>
          <w:rFonts w:ascii="KaiTi" w:eastAsia="KaiTi" w:hAnsi="KaiTi" w:cs="KaiTi"/>
        </w:rPr>
      </w:pPr>
      <w:r>
        <w:rPr>
          <w:spacing w:val="7"/>
        </w:rPr>
        <w:t>标准灯按规定条件老化后，玻壳应无色，其</w:t>
      </w:r>
      <w:r>
        <w:rPr>
          <w:spacing w:val="6"/>
        </w:rPr>
        <w:t>工作面无明显反碱、发雾、波纹、气</w:t>
      </w:r>
      <w:r>
        <w:t xml:space="preserve"> </w:t>
      </w:r>
      <w:r>
        <w:rPr>
          <w:spacing w:val="2"/>
        </w:rPr>
        <w:t xml:space="preserve">泡、砂粒、擦伤等缺陷；灯丝与挂勾及电极的连接要牢固，且不应有明显弯曲，灯头与  </w:t>
      </w:r>
      <w:r>
        <w:rPr>
          <w:rFonts w:ascii="KaiTi" w:eastAsia="KaiTi" w:hAnsi="KaiTi" w:cs="KaiTi"/>
          <w:spacing w:val="1"/>
        </w:rPr>
        <w:t>玻壳的固定要牢固，导丝电极应牢固地焊接在灯头上。</w:t>
      </w:r>
    </w:p>
    <w:p>
      <w:pPr>
        <w:pStyle w:val="BodyText"/>
        <w:spacing w:before="56" w:line="220" w:lineRule="auto"/>
      </w:pPr>
      <w:r>
        <w:rPr>
          <w:spacing w:val="-3"/>
        </w:rPr>
        <w:t>6.2</w:t>
      </w:r>
      <w:r>
        <w:rPr>
          <w:spacing w:val="60"/>
        </w:rPr>
        <w:t xml:space="preserve"> </w:t>
      </w:r>
      <w:r>
        <w:rPr>
          <w:spacing w:val="-3"/>
        </w:rPr>
        <w:t>标记</w:t>
      </w:r>
    </w:p>
    <w:p>
      <w:pPr>
        <w:pStyle w:val="BodyText"/>
        <w:spacing w:before="58" w:line="219" w:lineRule="auto"/>
        <w:ind w:left="400"/>
      </w:pPr>
      <w:r>
        <w:rPr>
          <w:spacing w:val="1"/>
        </w:rPr>
        <w:t>标准灯应用刻蚀方法标明其型号及出厂编号。</w:t>
      </w:r>
    </w:p>
    <w:p>
      <w:pPr>
        <w:pStyle w:val="BodyText"/>
        <w:spacing w:before="40" w:line="220" w:lineRule="auto"/>
      </w:pPr>
      <w:r>
        <w:rPr>
          <w:spacing w:val="-3"/>
        </w:rPr>
        <w:t>6.3</w:t>
      </w:r>
      <w:r>
        <w:rPr>
          <w:spacing w:val="70"/>
          <w:w w:val="101"/>
        </w:rPr>
        <w:t xml:space="preserve"> </w:t>
      </w:r>
      <w:r>
        <w:rPr>
          <w:spacing w:val="-3"/>
        </w:rPr>
        <w:t>包装</w:t>
      </w:r>
    </w:p>
    <w:p>
      <w:pPr>
        <w:pStyle w:val="BodyText"/>
        <w:spacing w:before="69" w:line="242" w:lineRule="auto"/>
        <w:ind w:right="59" w:firstLine="400"/>
      </w:pPr>
      <w:r>
        <w:rPr>
          <w:spacing w:val="2"/>
        </w:rPr>
        <w:t>标准灯应用专门的灯盒包装存放，并在灯盒上标明标准灯的名称、型号、出</w:t>
      </w:r>
      <w:r>
        <w:rPr>
          <w:spacing w:val="1"/>
        </w:rPr>
        <w:t>厂编号</w:t>
      </w:r>
      <w:r>
        <w:t xml:space="preserve"> </w:t>
      </w:r>
      <w:r>
        <w:rPr>
          <w:spacing w:val="14"/>
        </w:rPr>
        <w:t>及生产厂家(公司)等。</w:t>
      </w:r>
    </w:p>
    <w:p>
      <w:pPr>
        <w:spacing w:before="158" w:line="223" w:lineRule="auto"/>
        <w:ind w:left="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7</w:t>
      </w:r>
      <w:r>
        <w:rPr>
          <w:rFonts w:ascii="SimHei" w:eastAsia="SimHei" w:hAnsi="SimHei" w:cs="SimHei"/>
          <w:spacing w:val="69"/>
          <w:sz w:val="16"/>
          <w:szCs w:val="16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计量器具控制</w:t>
      </w:r>
    </w:p>
    <w:p>
      <w:pPr>
        <w:pStyle w:val="BodyText"/>
        <w:spacing w:before="169" w:line="219" w:lineRule="auto"/>
      </w:pPr>
      <w:r>
        <w:rPr>
          <w:spacing w:val="-6"/>
        </w:rPr>
        <w:t>7.1</w:t>
      </w:r>
      <w:r>
        <w:rPr>
          <w:spacing w:val="3"/>
        </w:rPr>
        <w:t xml:space="preserve">  </w:t>
      </w:r>
      <w:r>
        <w:rPr>
          <w:spacing w:val="-6"/>
        </w:rPr>
        <w:t>检定条件</w:t>
      </w:r>
    </w:p>
    <w:p>
      <w:pPr>
        <w:pStyle w:val="BodyText"/>
        <w:spacing w:before="49" w:line="219" w:lineRule="auto"/>
      </w:pPr>
      <w:r>
        <w:rPr>
          <w:spacing w:val="-5"/>
        </w:rPr>
        <w:t>7.1.1  基本检定设备</w:t>
      </w:r>
    </w:p>
    <w:p>
      <w:pPr>
        <w:pStyle w:val="BodyText"/>
        <w:spacing w:before="50" w:line="219" w:lineRule="auto"/>
      </w:pPr>
      <w:hyperlink r:id="rId12" w:history="1">
        <w:r>
          <w:rPr>
            <w:spacing w:val="-4"/>
          </w:rPr>
          <w:t>7.1.1.1</w:t>
        </w:r>
      </w:hyperlink>
      <w:r>
        <w:rPr>
          <w:spacing w:val="81"/>
          <w:w w:val="101"/>
        </w:rPr>
        <w:t xml:space="preserve"> </w:t>
      </w:r>
      <w:r>
        <w:rPr>
          <w:spacing w:val="-4"/>
        </w:rPr>
        <w:t>分布温度标准灯组</w:t>
      </w:r>
    </w:p>
    <w:p>
      <w:pPr>
        <w:pStyle w:val="BodyText"/>
        <w:spacing w:before="61" w:line="243" w:lineRule="auto"/>
        <w:ind w:right="399" w:firstLine="400"/>
      </w:pPr>
      <w:r>
        <w:rPr>
          <w:spacing w:val="4"/>
        </w:rPr>
        <w:t>检定用上一级标准灯，不少于3只，并配备同型号的标准灯一</w:t>
      </w:r>
      <w:r>
        <w:rPr>
          <w:spacing w:val="3"/>
        </w:rPr>
        <w:t>只用作比较灯。</w:t>
      </w:r>
      <w:r>
        <w:t xml:space="preserve"> </w:t>
      </w:r>
      <w:hyperlink r:id="rId13" w:history="1">
        <w:r>
          <w:rPr>
            <w:spacing w:val="-3"/>
          </w:rPr>
          <w:t>7.1.1.2</w:t>
        </w:r>
      </w:hyperlink>
      <w:r>
        <w:rPr>
          <w:spacing w:val="74"/>
          <w:w w:val="101"/>
        </w:rPr>
        <w:t xml:space="preserve"> </w:t>
      </w:r>
      <w:r>
        <w:rPr>
          <w:spacing w:val="-3"/>
        </w:rPr>
        <w:t>标准灯的电源</w:t>
      </w:r>
    </w:p>
    <w:p>
      <w:pPr>
        <w:pStyle w:val="BodyText"/>
        <w:spacing w:before="68" w:line="237" w:lineRule="auto"/>
        <w:ind w:right="69" w:firstLine="400"/>
      </w:pPr>
      <w:r>
        <w:rPr>
          <w:spacing w:val="6"/>
        </w:rPr>
        <w:t>见表3。采用直流稳定电源(稳流，稳压)或电子交流</w:t>
      </w:r>
      <w:r>
        <w:rPr>
          <w:spacing w:val="5"/>
        </w:rPr>
        <w:t xml:space="preserve">稳压电源，经预热后，0.5 </w:t>
      </w:r>
      <w:r>
        <w:rPr>
          <w:rFonts w:ascii="Times New Roman" w:eastAsia="Times New Roman" w:hAnsi="Times New Roman" w:cs="Times New Roman"/>
          <w:spacing w:val="5"/>
        </w:rPr>
        <w:t>h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10"/>
        </w:rPr>
        <w:t>输出电压的变化：直流电源应小于0.03%;</w:t>
      </w:r>
      <w:r>
        <w:rPr>
          <w:spacing w:val="9"/>
        </w:rPr>
        <w:t>交流电源应小于0.3%。</w:t>
      </w:r>
    </w:p>
    <w:p>
      <w:pPr>
        <w:pStyle w:val="BodyText"/>
        <w:spacing w:before="39" w:line="221" w:lineRule="auto"/>
        <w:ind w:left="2991"/>
      </w:pPr>
      <w:r>
        <w:rPr>
          <w:b/>
          <w:bCs/>
          <w:spacing w:val="-16"/>
        </w:rPr>
        <w:t>表</w:t>
      </w:r>
      <w:r>
        <w:rPr>
          <w:spacing w:val="-16"/>
        </w:rPr>
        <w:t xml:space="preserve">  </w:t>
      </w:r>
      <w:r>
        <w:rPr>
          <w:b/>
          <w:bCs/>
          <w:spacing w:val="-16"/>
        </w:rPr>
        <w:t>3</w:t>
      </w:r>
    </w:p>
    <w:p>
      <w:pPr>
        <w:spacing w:line="38" w:lineRule="exact"/>
      </w:pPr>
    </w:p>
    <w:tbl>
      <w:tblPr>
        <w:tblStyle w:val="TableNormal2"/>
        <w:tblW w:w="6089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62"/>
        <w:gridCol w:w="1557"/>
        <w:gridCol w:w="1557"/>
        <w:gridCol w:w="1413"/>
      </w:tblGrid>
      <w:tr>
        <w:tblPrEx>
          <w:tblW w:w="6089" w:type="dxa"/>
          <w:tblInd w:w="1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73"/>
        </w:trPr>
        <w:tc>
          <w:tcPr>
            <w:tcW w:w="1562" w:type="dxa"/>
            <w:vAlign w:val="top"/>
          </w:tcPr>
          <w:p>
            <w:pPr>
              <w:pStyle w:val="TableText"/>
              <w:spacing w:before="71" w:line="220" w:lineRule="auto"/>
              <w:ind w:left="424"/>
            </w:pPr>
            <w:r>
              <w:rPr>
                <w:spacing w:val="-1"/>
              </w:rPr>
              <w:t>标准灯级别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72" w:line="222" w:lineRule="auto"/>
              <w:ind w:left="632"/>
            </w:pPr>
            <w:r>
              <w:rPr>
                <w:spacing w:val="3"/>
              </w:rPr>
              <w:t>电源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70" w:line="219" w:lineRule="auto"/>
              <w:ind w:left="215"/>
            </w:pPr>
            <w:r>
              <w:rPr>
                <w:spacing w:val="1"/>
              </w:rPr>
              <w:t>电测仪表及准确度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71" w:line="221" w:lineRule="auto"/>
              <w:ind w:left="558"/>
            </w:pPr>
            <w:r>
              <w:rPr>
                <w:spacing w:val="-2"/>
              </w:rPr>
              <w:t>备注</w:t>
            </w:r>
          </w:p>
        </w:tc>
      </w:tr>
      <w:tr>
        <w:tblPrEx>
          <w:tblW w:w="6089" w:type="dxa"/>
          <w:tblInd w:w="100" w:type="dxa"/>
          <w:tblLayout w:type="fixed"/>
        </w:tblPrEx>
        <w:trPr>
          <w:trHeight w:val="546"/>
        </w:trPr>
        <w:tc>
          <w:tcPr>
            <w:tcW w:w="1562" w:type="dxa"/>
            <w:vAlign w:val="top"/>
          </w:tcPr>
          <w:p>
            <w:pPr>
              <w:pStyle w:val="TableText"/>
              <w:spacing w:before="209" w:line="221" w:lineRule="auto"/>
              <w:ind w:left="634"/>
            </w:pPr>
            <w:r>
              <w:rPr>
                <w:spacing w:val="-4"/>
              </w:rPr>
              <w:t>一级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207" w:line="219" w:lineRule="auto"/>
              <w:ind w:left="142"/>
            </w:pPr>
            <w:r>
              <w:rPr>
                <w:spacing w:val="-1"/>
              </w:rPr>
              <w:t>直流稳流(稳压)电源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17" w:line="219" w:lineRule="auto"/>
              <w:ind w:left="285"/>
            </w:pPr>
            <w:r>
              <w:rPr>
                <w:spacing w:val="-1"/>
              </w:rPr>
              <w:t>直流数字电压表</w:t>
            </w:r>
          </w:p>
          <w:p>
            <w:pPr>
              <w:pStyle w:val="TableText"/>
              <w:spacing w:before="34" w:line="221" w:lineRule="auto"/>
              <w:ind w:left="355"/>
            </w:pPr>
            <w:r>
              <w:rPr>
                <w:spacing w:val="-1"/>
              </w:rPr>
              <w:t>不低于0.02级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208" w:line="220" w:lineRule="auto"/>
              <w:ind w:left="489"/>
            </w:pPr>
            <w:r>
              <w:rPr>
                <w:spacing w:val="-2"/>
              </w:rPr>
              <w:t>控电流</w:t>
            </w:r>
          </w:p>
        </w:tc>
      </w:tr>
      <w:tr>
        <w:tblPrEx>
          <w:tblW w:w="6089" w:type="dxa"/>
          <w:tblInd w:w="100" w:type="dxa"/>
          <w:tblLayout w:type="fixed"/>
        </w:tblPrEx>
        <w:trPr>
          <w:trHeight w:val="830"/>
        </w:trPr>
        <w:tc>
          <w:tcPr>
            <w:tcW w:w="1562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5" w:line="221" w:lineRule="auto"/>
              <w:ind w:left="634"/>
            </w:pPr>
            <w:r>
              <w:rPr>
                <w:spacing w:val="-2"/>
              </w:rPr>
              <w:t>二级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241" w:line="255" w:lineRule="auto"/>
              <w:ind w:left="142" w:right="150"/>
            </w:pPr>
            <w:r>
              <w:rPr>
                <w:spacing w:val="-1"/>
              </w:rPr>
              <w:t>直流稳流(稳压)电源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或电子交流稳压电源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51" w:line="219" w:lineRule="auto"/>
              <w:ind w:left="215"/>
            </w:pPr>
            <w:r>
              <w:rPr>
                <w:spacing w:val="-1"/>
              </w:rPr>
              <w:t>直流数字电压表或</w:t>
            </w:r>
          </w:p>
          <w:p>
            <w:pPr>
              <w:pStyle w:val="TableText"/>
              <w:spacing w:before="54" w:line="221" w:lineRule="auto"/>
              <w:ind w:left="215"/>
            </w:pPr>
            <w:r>
              <w:rPr>
                <w:spacing w:val="-1"/>
              </w:rPr>
              <w:t>交直流电流(压)表</w:t>
            </w:r>
          </w:p>
          <w:p>
            <w:pPr>
              <w:pStyle w:val="TableText"/>
              <w:spacing w:before="42" w:line="221" w:lineRule="auto"/>
              <w:ind w:left="385"/>
            </w:pPr>
            <w:r>
              <w:rPr>
                <w:spacing w:val="-2"/>
              </w:rPr>
              <w:t>不低于0.2级</w:t>
            </w:r>
          </w:p>
        </w:tc>
        <w:tc>
          <w:tcPr>
            <w:tcW w:w="141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220" w:lineRule="auto"/>
              <w:ind w:left="489"/>
            </w:pPr>
            <w:r>
              <w:rPr>
                <w:spacing w:val="-2"/>
              </w:rPr>
              <w:t>控电流</w:t>
            </w:r>
          </w:p>
        </w:tc>
      </w:tr>
    </w:tbl>
    <w:p>
      <w:pPr>
        <w:pStyle w:val="BodyText"/>
        <w:spacing w:before="292" w:line="219" w:lineRule="auto"/>
      </w:pPr>
      <w:hyperlink r:id="rId14" w:history="1">
        <w:r>
          <w:rPr>
            <w:spacing w:val="-2"/>
          </w:rPr>
          <w:t>7.1.1.3</w:t>
        </w:r>
      </w:hyperlink>
      <w:r>
        <w:rPr>
          <w:spacing w:val="-2"/>
        </w:rPr>
        <w:t xml:space="preserve">  标准灯的电测仪表</w:t>
      </w:r>
    </w:p>
    <w:p>
      <w:pPr>
        <w:pStyle w:val="BodyText"/>
        <w:spacing w:before="59" w:line="243" w:lineRule="auto"/>
        <w:ind w:right="111" w:firstLine="350"/>
        <w:sectPr>
          <w:headerReference w:type="default" r:id="rId15"/>
          <w:footerReference w:type="default" r:id="rId16"/>
          <w:pgSz w:w="7400" w:h="10520"/>
          <w:pgMar w:top="640" w:right="570" w:bottom="517" w:left="539" w:header="407" w:footer="408" w:gutter="0"/>
          <w:pgNumType w:start="5"/>
          <w:cols w:space="708"/>
        </w:sectPr>
      </w:pPr>
      <w:r>
        <w:rPr>
          <w:spacing w:val="6"/>
        </w:rPr>
        <w:t>采用直流数字电压表或交直流两用电流(压)表。电测仪表及有关配套设备均应按</w:t>
      </w:r>
      <w:r>
        <w:rPr>
          <w:spacing w:val="11"/>
        </w:rPr>
        <w:t xml:space="preserve"> </w:t>
      </w:r>
      <w:r>
        <w:t>规定定期送检合格。</w:t>
      </w:r>
    </w:p>
    <w:p>
      <w:pPr>
        <w:pStyle w:val="BodyText"/>
        <w:spacing w:before="60" w:line="219" w:lineRule="auto"/>
      </w:pPr>
      <w:r>
        <w:rPr>
          <w:spacing w:val="-2"/>
        </w:rPr>
        <w:t>7.1.2</w:t>
      </w:r>
      <w:r>
        <w:rPr>
          <w:spacing w:val="55"/>
        </w:rPr>
        <w:t xml:space="preserve"> </w:t>
      </w:r>
      <w:r>
        <w:rPr>
          <w:spacing w:val="-2"/>
        </w:rPr>
        <w:t>专用检定设备</w:t>
      </w:r>
    </w:p>
    <w:p>
      <w:pPr>
        <w:pStyle w:val="BodyText"/>
        <w:spacing w:before="49" w:line="258" w:lineRule="auto"/>
        <w:ind w:right="40" w:firstLine="350"/>
      </w:pPr>
      <w:r>
        <w:rPr>
          <w:spacing w:val="2"/>
        </w:rPr>
        <w:t xml:space="preserve">专用检定设备主要有两种：光谱辐射照度测量装置和光电分布温度比较仪。可采用 </w:t>
      </w:r>
      <w:r>
        <w:rPr>
          <w:spacing w:val="18"/>
        </w:rPr>
        <w:t xml:space="preserve">其中一种或类似其中一种的设备进行检定，但其性能应符合本规程的有关规定。 </w:t>
      </w:r>
      <w:hyperlink r:id="rId17" w:history="1">
        <w:r>
          <w:rPr>
            <w:spacing w:val="6"/>
          </w:rPr>
          <w:t>7.1.2.1</w:t>
        </w:r>
      </w:hyperlink>
      <w:r>
        <w:rPr>
          <w:spacing w:val="6"/>
        </w:rPr>
        <w:t xml:space="preserve">  光谱辐射照度测量装置(如图1)</w:t>
      </w:r>
    </w:p>
    <w:p>
      <w:pPr>
        <w:pStyle w:val="BodyText"/>
        <w:spacing w:before="41" w:line="220" w:lineRule="auto"/>
        <w:ind w:left="350"/>
      </w:pPr>
      <w:r>
        <w:rPr>
          <w:spacing w:val="16"/>
        </w:rPr>
        <w:t>1)构成</w:t>
      </w:r>
    </w:p>
    <w:p>
      <w:pPr>
        <w:pStyle w:val="BodyText"/>
        <w:spacing w:before="57" w:line="243" w:lineRule="auto"/>
        <w:ind w:right="113" w:firstLine="350"/>
      </w:pPr>
      <w:r>
        <w:rPr>
          <w:spacing w:val="2"/>
        </w:rPr>
        <w:t>主要由输入光路部件、单色仪、探测器、直流高压电源、示数仪表</w:t>
      </w:r>
      <w:r>
        <w:rPr>
          <w:spacing w:val="1"/>
        </w:rPr>
        <w:t>、导轨及其附件</w:t>
      </w:r>
      <w:r>
        <w:t xml:space="preserve"> </w:t>
      </w:r>
      <w:r>
        <w:rPr>
          <w:spacing w:val="-6"/>
        </w:rPr>
        <w:t>等组成。</w:t>
      </w:r>
    </w:p>
    <w:p>
      <w:pPr>
        <w:pStyle w:val="BodyText"/>
        <w:spacing w:before="49" w:line="266" w:lineRule="auto"/>
        <w:ind w:right="113" w:firstLine="320"/>
      </w:pPr>
      <w:r>
        <w:rPr>
          <w:spacing w:val="7"/>
        </w:rPr>
        <w:t>输入光路部件包括导轨、孔径光阅、漫反射白板(或漫射积分球)及支撑转台消色</w:t>
      </w:r>
      <w:r>
        <w:rPr>
          <w:spacing w:val="3"/>
        </w:rPr>
        <w:t xml:space="preserve"> </w:t>
      </w:r>
      <w:r>
        <w:rPr>
          <w:spacing w:val="6"/>
        </w:rPr>
        <w:t>差正透镜。单色仪工作波长范圈不窄于(380~780)</w:t>
      </w:r>
      <w:r>
        <w:t>nm</w:t>
      </w:r>
      <w:r>
        <w:rPr>
          <w:spacing w:val="6"/>
        </w:rPr>
        <w:t>;</w:t>
      </w:r>
      <w:r>
        <w:rPr>
          <w:spacing w:val="65"/>
        </w:rPr>
        <w:t xml:space="preserve"> </w:t>
      </w:r>
      <w:r>
        <w:rPr>
          <w:spacing w:val="6"/>
        </w:rPr>
        <w:t>波长重复性优于</w:t>
      </w:r>
      <w:r>
        <w:rPr>
          <w:spacing w:val="5"/>
        </w:rPr>
        <w:t xml:space="preserve">±0.2 </w:t>
      </w:r>
      <w:r>
        <w:t>nm</w:t>
      </w:r>
      <w:r>
        <w:rPr>
          <w:spacing w:val="5"/>
        </w:rPr>
        <w:t>;</w:t>
      </w:r>
      <w:r>
        <w:rPr>
          <w:spacing w:val="25"/>
        </w:rPr>
        <w:t xml:space="preserve"> </w:t>
      </w:r>
      <w:r>
        <w:rPr>
          <w:spacing w:val="5"/>
        </w:rPr>
        <w:t>波</w:t>
      </w:r>
    </w:p>
    <w:p>
      <w:pPr>
        <w:spacing w:line="266" w:lineRule="auto"/>
        <w:sectPr>
          <w:headerReference w:type="default" r:id="rId18"/>
          <w:footerReference w:type="default" r:id="rId19"/>
          <w:type w:val="nextPage"/>
          <w:pgSz w:w="7400" w:h="10520"/>
          <w:pgMar w:top="640" w:right="570" w:bottom="517" w:left="539" w:header="407" w:footer="408" w:gutter="0"/>
          <w:pgNumType w:start="6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640" w:lineRule="exact"/>
        <w:ind w:firstLine="1029"/>
      </w:pPr>
      <w:r>
        <w:rPr>
          <w:position w:val="-52"/>
        </w:rPr>
        <w:drawing>
          <wp:inline distT="0" distB="0" distL="0" distR="0">
            <wp:extent cx="2793996" cy="167640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93996" cy="167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</w:p>
    <w:p>
      <w:pPr>
        <w:pStyle w:val="BodyText"/>
        <w:spacing w:before="55" w:line="219" w:lineRule="auto"/>
        <w:ind w:left="2079"/>
        <w:rPr>
          <w:sz w:val="17"/>
          <w:szCs w:val="17"/>
        </w:rPr>
      </w:pPr>
      <w:r>
        <w:rPr>
          <w:spacing w:val="-20"/>
          <w:sz w:val="15"/>
          <w:szCs w:val="15"/>
        </w:rPr>
        <w:t xml:space="preserve">图1  </w:t>
      </w:r>
      <w:r>
        <w:rPr>
          <w:spacing w:val="-20"/>
          <w:sz w:val="17"/>
          <w:szCs w:val="17"/>
        </w:rPr>
        <w:t>光谱辐射照度测量装置示例</w:t>
      </w:r>
    </w:p>
    <w:p>
      <w:pPr>
        <w:pStyle w:val="BodyText"/>
        <w:spacing w:before="5" w:line="222" w:lineRule="auto"/>
        <w:ind w:left="549"/>
        <w:rPr>
          <w:sz w:val="15"/>
          <w:szCs w:val="15"/>
        </w:rPr>
      </w:pPr>
      <w:r>
        <w:rPr>
          <w:rFonts w:ascii="FangSong" w:eastAsia="FangSong" w:hAnsi="FangSong" w:cs="FangSong"/>
          <w:spacing w:val="-22"/>
          <w:w w:val="91"/>
          <w:sz w:val="17"/>
          <w:szCs w:val="17"/>
        </w:rPr>
        <w:t>1一孔径光阑；2—快门；</w:t>
      </w:r>
      <w:r>
        <w:rPr>
          <w:spacing w:val="-22"/>
          <w:w w:val="91"/>
          <w:sz w:val="15"/>
          <w:szCs w:val="15"/>
        </w:rPr>
        <w:t>D—</w:t>
      </w:r>
      <w:r>
        <w:rPr>
          <w:rFonts w:ascii="FangSong" w:eastAsia="FangSong" w:hAnsi="FangSong" w:cs="FangSong"/>
          <w:spacing w:val="-22"/>
          <w:w w:val="91"/>
          <w:sz w:val="17"/>
          <w:szCs w:val="17"/>
        </w:rPr>
        <w:t>漫反射白板；</w:t>
      </w:r>
      <w:r>
        <w:rPr>
          <w:spacing w:val="-22"/>
          <w:w w:val="91"/>
          <w:sz w:val="15"/>
          <w:szCs w:val="15"/>
        </w:rPr>
        <w:t>F—</w:t>
      </w:r>
      <w:r>
        <w:rPr>
          <w:rFonts w:ascii="FangSong" w:eastAsia="FangSong" w:hAnsi="FangSong" w:cs="FangSong"/>
          <w:spacing w:val="-22"/>
          <w:w w:val="91"/>
          <w:sz w:val="15"/>
          <w:szCs w:val="15"/>
        </w:rPr>
        <w:t>滤光片；</w:t>
      </w:r>
      <w:r>
        <w:rPr>
          <w:spacing w:val="-22"/>
          <w:w w:val="91"/>
          <w:sz w:val="15"/>
          <w:szCs w:val="15"/>
        </w:rPr>
        <w:t>PM—</w:t>
      </w:r>
      <w:r>
        <w:rPr>
          <w:rFonts w:ascii="FangSong" w:eastAsia="FangSong" w:hAnsi="FangSong" w:cs="FangSong"/>
          <w:spacing w:val="-22"/>
          <w:w w:val="91"/>
          <w:sz w:val="17"/>
          <w:szCs w:val="17"/>
        </w:rPr>
        <w:t>光电倍增管；</w:t>
      </w:r>
      <w:r>
        <w:rPr>
          <w:spacing w:val="-22"/>
          <w:w w:val="91"/>
          <w:sz w:val="15"/>
          <w:szCs w:val="15"/>
        </w:rPr>
        <w:t>RL</w:t>
      </w:r>
      <w:r>
        <w:rPr>
          <w:rFonts w:ascii="FangSong" w:eastAsia="FangSong" w:hAnsi="FangSong" w:cs="FangSong"/>
          <w:spacing w:val="-22"/>
          <w:w w:val="91"/>
          <w:sz w:val="17"/>
          <w:szCs w:val="17"/>
        </w:rPr>
        <w:t>一负载电阻(1</w:t>
      </w:r>
      <w:r>
        <w:rPr>
          <w:rFonts w:ascii="FangSong" w:eastAsia="FangSong" w:hAnsi="FangSong" w:cs="FangSong"/>
          <w:spacing w:val="-23"/>
          <w:w w:val="91"/>
          <w:sz w:val="17"/>
          <w:szCs w:val="17"/>
        </w:rPr>
        <w:t xml:space="preserve"> </w:t>
      </w:r>
      <w:r>
        <w:rPr>
          <w:spacing w:val="-23"/>
          <w:w w:val="91"/>
          <w:sz w:val="15"/>
          <w:szCs w:val="15"/>
        </w:rPr>
        <w:t>MΩ)</w:t>
      </w:r>
    </w:p>
    <w:p>
      <w:pPr>
        <w:pStyle w:val="BodyText"/>
        <w:spacing w:before="88" w:line="249" w:lineRule="auto"/>
        <w:ind w:firstLine="39"/>
        <w:jc w:val="both"/>
        <w:rPr>
          <w:sz w:val="18"/>
          <w:szCs w:val="18"/>
        </w:rPr>
      </w:pPr>
      <w:r>
        <w:rPr>
          <w:spacing w:val="-11"/>
          <w:sz w:val="18"/>
          <w:szCs w:val="18"/>
        </w:rPr>
        <w:t>长准确度优于±0.5</w:t>
      </w:r>
      <w:r>
        <w:rPr>
          <w:spacing w:val="-4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18"/>
          <w:szCs w:val="18"/>
        </w:rPr>
        <w:t>nm;</w:t>
      </w:r>
      <w:r>
        <w:rPr>
          <w:rFonts w:ascii="Times New Roman" w:eastAsia="Times New Roman" w:hAnsi="Times New Roman" w:cs="Times New Roman"/>
          <w:spacing w:val="27"/>
          <w:sz w:val="18"/>
          <w:szCs w:val="18"/>
        </w:rPr>
        <w:t xml:space="preserve"> </w:t>
      </w:r>
      <w:r>
        <w:rPr>
          <w:spacing w:val="-11"/>
          <w:sz w:val="18"/>
          <w:szCs w:val="18"/>
        </w:rPr>
        <w:t>单色仪的内部杂光分别用低气压</w:t>
      </w:r>
      <w:r>
        <w:rPr>
          <w:rFonts w:ascii="Times New Roman" w:eastAsia="Times New Roman" w:hAnsi="Times New Roman" w:cs="Times New Roman"/>
          <w:spacing w:val="-11"/>
          <w:sz w:val="18"/>
          <w:szCs w:val="18"/>
        </w:rPr>
        <w:t>Hg</w:t>
      </w:r>
      <w:r>
        <w:rPr>
          <w:spacing w:val="-11"/>
          <w:sz w:val="18"/>
          <w:szCs w:val="18"/>
        </w:rPr>
        <w:t>、</w:t>
      </w:r>
      <w:r>
        <w:rPr>
          <w:rFonts w:ascii="Times New Roman" w:eastAsia="Times New Roman" w:hAnsi="Times New Roman" w:cs="Times New Roman"/>
          <w:spacing w:val="-11"/>
          <w:sz w:val="18"/>
          <w:szCs w:val="18"/>
        </w:rPr>
        <w:t xml:space="preserve">Cd </w:t>
      </w:r>
      <w:r>
        <w:rPr>
          <w:spacing w:val="-11"/>
          <w:sz w:val="18"/>
          <w:szCs w:val="18"/>
        </w:rPr>
        <w:t>灯的谱线λ</w:t>
      </w:r>
      <w:r>
        <w:rPr>
          <w:rFonts w:ascii="Calibri" w:eastAsia="Calibri" w:hAnsi="Calibri" w:cs="Calibri"/>
          <w:spacing w:val="-11"/>
          <w:sz w:val="18"/>
          <w:szCs w:val="18"/>
        </w:rPr>
        <w:t>₀</w:t>
      </w:r>
      <w:r>
        <w:rPr>
          <w:spacing w:val="-11"/>
          <w:sz w:val="18"/>
          <w:szCs w:val="18"/>
        </w:rPr>
        <w:t>=435.8,</w:t>
      </w:r>
      <w:r>
        <w:rPr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>546.1,643.8nm</w:t>
      </w:r>
      <w:r>
        <w:rPr>
          <w:spacing w:val="-49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>加相应干涉滤光片考查，在λ≤(λo-2△) 和</w:t>
      </w:r>
      <w:r>
        <w:rPr>
          <w:spacing w:val="-7"/>
          <w:sz w:val="18"/>
          <w:szCs w:val="18"/>
        </w:rPr>
        <w:t>λ≥(λ</w:t>
      </w:r>
      <w:r>
        <w:rPr>
          <w:rFonts w:ascii="Calibri" w:eastAsia="Calibri" w:hAnsi="Calibri" w:cs="Calibri"/>
          <w:spacing w:val="-7"/>
          <w:sz w:val="18"/>
          <w:szCs w:val="18"/>
        </w:rPr>
        <w:t>₀</w:t>
      </w:r>
      <w:r>
        <w:rPr>
          <w:spacing w:val="-7"/>
          <w:sz w:val="18"/>
          <w:szCs w:val="18"/>
        </w:rPr>
        <w:t>+2△)的范围</w:t>
      </w:r>
      <w:r>
        <w:rPr>
          <w:sz w:val="18"/>
          <w:szCs w:val="18"/>
        </w:rPr>
        <w:t xml:space="preserve"> </w:t>
      </w:r>
      <w:r>
        <w:rPr>
          <w:spacing w:val="-9"/>
          <w:sz w:val="18"/>
          <w:szCs w:val="18"/>
        </w:rPr>
        <w:t>内，杂光信号应小于谱线峰值信号的0.2%,△为仪器的光谱狭缝宽度(半通带宽度)。</w:t>
      </w:r>
    </w:p>
    <w:p>
      <w:pPr>
        <w:pStyle w:val="BodyText"/>
        <w:spacing w:before="51" w:line="233" w:lineRule="auto"/>
        <w:ind w:left="39" w:right="40" w:firstLine="310"/>
        <w:rPr>
          <w:sz w:val="18"/>
          <w:szCs w:val="18"/>
        </w:rPr>
      </w:pPr>
      <w:r>
        <w:rPr>
          <w:spacing w:val="-18"/>
          <w:sz w:val="18"/>
          <w:szCs w:val="18"/>
        </w:rPr>
        <w:t>对光栅单色仪还应注意消除多级光谱引起的杂光；测量中应保持单色仪入射狭缝和</w:t>
      </w:r>
      <w:r>
        <w:rPr>
          <w:spacing w:val="10"/>
          <w:sz w:val="18"/>
          <w:szCs w:val="18"/>
        </w:rPr>
        <w:t xml:space="preserve"> </w:t>
      </w:r>
      <w:r>
        <w:rPr>
          <w:spacing w:val="-13"/>
          <w:sz w:val="18"/>
          <w:szCs w:val="18"/>
        </w:rPr>
        <w:t>出射狭缝等宽，并使仪器的光谱狭缝宽度近似等于5</w:t>
      </w:r>
      <w:r>
        <w:rPr>
          <w:rFonts w:ascii="Times New Roman" w:eastAsia="Times New Roman" w:hAnsi="Times New Roman" w:cs="Times New Roman"/>
          <w:spacing w:val="-13"/>
          <w:sz w:val="18"/>
          <w:szCs w:val="18"/>
        </w:rPr>
        <w:t>nm</w:t>
      </w:r>
      <w:r>
        <w:rPr>
          <w:spacing w:val="-13"/>
          <w:sz w:val="18"/>
          <w:szCs w:val="18"/>
        </w:rPr>
        <w:t>左右。</w:t>
      </w:r>
    </w:p>
    <w:p>
      <w:pPr>
        <w:pStyle w:val="BodyText"/>
        <w:spacing w:before="6" w:line="237" w:lineRule="auto"/>
        <w:ind w:left="39" w:right="55" w:firstLine="290"/>
        <w:rPr>
          <w:sz w:val="18"/>
          <w:szCs w:val="18"/>
        </w:rPr>
      </w:pPr>
      <w:r>
        <w:rPr>
          <w:spacing w:val="-14"/>
          <w:sz w:val="18"/>
          <w:szCs w:val="18"/>
        </w:rPr>
        <w:t>探测器选用稳定的光电倍增管。配套用直流高压稳定电源，</w:t>
      </w:r>
      <w:r>
        <w:rPr>
          <w:spacing w:val="-15"/>
          <w:sz w:val="18"/>
          <w:szCs w:val="18"/>
        </w:rPr>
        <w:t>要求每0.5 h输出电压</w:t>
      </w:r>
      <w:r>
        <w:rPr>
          <w:sz w:val="18"/>
          <w:szCs w:val="18"/>
        </w:rPr>
        <w:t xml:space="preserve"> </w:t>
      </w:r>
      <w:r>
        <w:rPr>
          <w:spacing w:val="-12"/>
          <w:sz w:val="18"/>
          <w:szCs w:val="18"/>
        </w:rPr>
        <w:t>的变化不大于0.01%。示数仪表可采用直流数字</w:t>
      </w:r>
      <w:r>
        <w:rPr>
          <w:spacing w:val="-13"/>
          <w:sz w:val="18"/>
          <w:szCs w:val="18"/>
        </w:rPr>
        <w:t>电压表。</w:t>
      </w:r>
    </w:p>
    <w:p>
      <w:pPr>
        <w:pStyle w:val="BodyText"/>
        <w:spacing w:before="28" w:line="219" w:lineRule="auto"/>
        <w:ind w:left="349"/>
        <w:rPr>
          <w:sz w:val="18"/>
          <w:szCs w:val="18"/>
        </w:rPr>
      </w:pPr>
      <w:r>
        <w:rPr>
          <w:spacing w:val="-10"/>
          <w:sz w:val="18"/>
          <w:szCs w:val="18"/>
        </w:rPr>
        <w:t>整套装置稳定性总体要求：达到每0.5</w:t>
      </w:r>
      <w:r>
        <w:rPr>
          <w:spacing w:val="-41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h输出</w:t>
      </w:r>
      <w:r>
        <w:rPr>
          <w:spacing w:val="-11"/>
          <w:sz w:val="18"/>
          <w:szCs w:val="18"/>
        </w:rPr>
        <w:t>信号的漂移不超过0.4%。</w:t>
      </w:r>
    </w:p>
    <w:p>
      <w:pPr>
        <w:pStyle w:val="BodyText"/>
        <w:spacing w:before="37" w:line="221" w:lineRule="auto"/>
        <w:ind w:left="349"/>
        <w:rPr>
          <w:sz w:val="18"/>
          <w:szCs w:val="18"/>
        </w:rPr>
      </w:pPr>
      <w:r>
        <w:rPr>
          <w:spacing w:val="-5"/>
          <w:sz w:val="18"/>
          <w:szCs w:val="18"/>
        </w:rPr>
        <w:t>2)测量原理</w:t>
      </w:r>
    </w:p>
    <w:p>
      <w:pPr>
        <w:pStyle w:val="BodyText"/>
        <w:spacing w:before="14" w:line="232" w:lineRule="auto"/>
        <w:ind w:left="19" w:right="30" w:firstLine="320"/>
        <w:rPr>
          <w:sz w:val="18"/>
          <w:szCs w:val="18"/>
        </w:rPr>
      </w:pPr>
      <w:r>
        <w:rPr>
          <w:spacing w:val="-17"/>
          <w:sz w:val="18"/>
          <w:szCs w:val="18"/>
        </w:rPr>
        <w:t>用上一级标准灯作可见区相对光谱辐射照度分布的标准，用该装置测</w:t>
      </w:r>
      <w:r>
        <w:rPr>
          <w:spacing w:val="-18"/>
          <w:sz w:val="18"/>
          <w:szCs w:val="18"/>
        </w:rPr>
        <w:t>定出被检灯相</w:t>
      </w:r>
      <w:r>
        <w:rPr>
          <w:sz w:val="18"/>
          <w:szCs w:val="18"/>
        </w:rPr>
        <w:t xml:space="preserve"> </w:t>
      </w:r>
      <w:r>
        <w:rPr>
          <w:spacing w:val="-17"/>
          <w:sz w:val="18"/>
          <w:szCs w:val="18"/>
        </w:rPr>
        <w:t>对光谱辐射照度分布，进而计算出被检灯的分布温度值。</w:t>
      </w:r>
    </w:p>
    <w:p>
      <w:pPr>
        <w:pStyle w:val="BodyText"/>
        <w:spacing w:before="38" w:line="219" w:lineRule="auto"/>
        <w:ind w:left="349"/>
        <w:rPr>
          <w:sz w:val="18"/>
          <w:szCs w:val="18"/>
        </w:rPr>
      </w:pPr>
      <w:r>
        <w:rPr>
          <w:spacing w:val="-18"/>
          <w:sz w:val="18"/>
          <w:szCs w:val="18"/>
        </w:rPr>
        <w:t>用标准灯标定比较灯时，其计算方法如下：</w:t>
      </w:r>
    </w:p>
    <w:p>
      <w:pPr>
        <w:pStyle w:val="BodyText"/>
        <w:spacing w:before="23"/>
        <w:ind w:left="19" w:right="45" w:firstLine="299"/>
        <w:rPr>
          <w:sz w:val="18"/>
          <w:szCs w:val="18"/>
        </w:rPr>
      </w:pPr>
      <w:r>
        <w:rPr>
          <w:spacing w:val="-10"/>
          <w:sz w:val="18"/>
          <w:szCs w:val="18"/>
        </w:rPr>
        <w:t>若标准灯的分布温度值为</w:t>
      </w:r>
      <w:r>
        <w:rPr>
          <w:spacing w:val="-25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Ta, 比较灯的分布温度值为</w:t>
      </w:r>
      <w:r>
        <w:rPr>
          <w:spacing w:val="-29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T,  测得的比较灯与标准</w:t>
      </w:r>
      <w:r>
        <w:rPr>
          <w:sz w:val="18"/>
          <w:szCs w:val="18"/>
        </w:rPr>
        <w:t xml:space="preserve"> </w:t>
      </w:r>
      <w:r>
        <w:rPr>
          <w:spacing w:val="-13"/>
          <w:sz w:val="18"/>
          <w:szCs w:val="18"/>
        </w:rPr>
        <w:t>灯的相对光谱辐射照度比为</w:t>
      </w:r>
      <w:r>
        <w:rPr>
          <w:spacing w:val="-3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18"/>
          <w:szCs w:val="18"/>
        </w:rPr>
        <w:t xml:space="preserve">a₁,   </w:t>
      </w:r>
      <w:r>
        <w:rPr>
          <w:spacing w:val="-13"/>
          <w:sz w:val="18"/>
          <w:szCs w:val="18"/>
        </w:rPr>
        <w:t>则：</w:t>
      </w:r>
    </w:p>
    <w:p>
      <w:pPr>
        <w:spacing w:line="88" w:lineRule="exact"/>
      </w:pPr>
    </w:p>
    <w:p>
      <w:pPr>
        <w:spacing w:line="88" w:lineRule="exact"/>
        <w:sectPr>
          <w:headerReference w:type="default" r:id="rId21"/>
          <w:footerReference w:type="default" r:id="rId22"/>
          <w:pgSz w:w="7260" w:h="10420"/>
          <w:pgMar w:top="700" w:right="506" w:bottom="367" w:left="520" w:header="535" w:footer="258" w:gutter="0"/>
          <w:pgNumType w:start="7"/>
          <w:cols w:num="1" w:space="708" w:equalWidth="0">
            <w:col w:w="6234" w:space="0"/>
          </w:cols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59" w:line="220" w:lineRule="auto"/>
        <w:ind w:left="9"/>
        <w:rPr>
          <w:sz w:val="18"/>
          <w:szCs w:val="18"/>
        </w:rPr>
      </w:pPr>
      <w:r>
        <w:rPr>
          <w:spacing w:val="-31"/>
          <w:sz w:val="18"/>
          <w:szCs w:val="18"/>
        </w:rPr>
        <w:t>式中：</w:t>
      </w:r>
      <w:r>
        <w:rPr>
          <w:spacing w:val="18"/>
          <w:sz w:val="18"/>
          <w:szCs w:val="18"/>
        </w:rPr>
        <w:t xml:space="preserve">  </w:t>
      </w:r>
      <w:r>
        <w:rPr>
          <w:spacing w:val="-31"/>
          <w:sz w:val="18"/>
          <w:szCs w:val="18"/>
        </w:rPr>
        <w:t>λ——波长；</w:t>
      </w:r>
    </w:p>
    <w:p>
      <w:pPr>
        <w:pStyle w:val="BodyText"/>
        <w:spacing w:before="35" w:line="184" w:lineRule="auto"/>
        <w:ind w:left="659"/>
        <w:rPr>
          <w:sz w:val="18"/>
          <w:szCs w:val="18"/>
        </w:rPr>
      </w:pPr>
      <w:r>
        <w:rPr>
          <w:spacing w:val="-12"/>
          <w:sz w:val="18"/>
          <w:szCs w:val="18"/>
        </w:rPr>
        <w:t>L——常数；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8" w:lineRule="exact"/>
      </w:pPr>
      <w:r>
        <w:rPr>
          <w:position w:val="-6"/>
        </w:rPr>
        <w:drawing>
          <wp:inline distT="0" distB="0" distL="0" distR="0">
            <wp:extent cx="1676417" cy="22137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76417" cy="22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0" w:line="360" w:lineRule="exact"/>
        <w:ind w:firstLine="729"/>
      </w:pPr>
      <w:r>
        <w:rPr>
          <w:position w:val="-7"/>
        </w:rPr>
        <w:drawing>
          <wp:inline distT="0" distB="0" distL="0" distR="0">
            <wp:extent cx="749325" cy="22860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49325" cy="228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7" w:line="440" w:lineRule="exact"/>
        <w:ind w:left="456"/>
        <w:rPr>
          <w:sz w:val="15"/>
          <w:szCs w:val="15"/>
        </w:rPr>
      </w:pPr>
      <w:r>
        <w:rPr>
          <w:spacing w:val="-8"/>
          <w:position w:val="22"/>
          <w:sz w:val="15"/>
          <w:szCs w:val="15"/>
        </w:rPr>
        <w:t>(2)</w:t>
      </w:r>
    </w:p>
    <w:p>
      <w:pPr>
        <w:pStyle w:val="BodyText"/>
        <w:spacing w:line="222" w:lineRule="auto"/>
        <w:ind w:left="456"/>
        <w:rPr>
          <w:sz w:val="15"/>
          <w:szCs w:val="15"/>
        </w:rPr>
      </w:pPr>
      <w:r>
        <w:rPr>
          <w:spacing w:val="-8"/>
          <w:sz w:val="15"/>
          <w:szCs w:val="15"/>
        </w:rPr>
        <w:t>(3)</w:t>
      </w:r>
    </w:p>
    <w:p>
      <w:pPr>
        <w:spacing w:line="222" w:lineRule="auto"/>
        <w:rPr>
          <w:sz w:val="15"/>
          <w:szCs w:val="15"/>
        </w:rPr>
        <w:sectPr>
          <w:headerReference w:type="default" r:id="rId25"/>
          <w:footerReference w:type="default" r:id="rId26"/>
          <w:type w:val="continuous"/>
          <w:pgSz w:w="7260" w:h="10420"/>
          <w:pgMar w:top="700" w:right="506" w:bottom="367" w:left="520" w:header="535" w:footer="258" w:gutter="0"/>
          <w:pgNumType w:start="8"/>
          <w:cols w:num="3" w:space="708" w:equalWidth="0">
            <w:col w:w="1690" w:space="100"/>
            <w:col w:w="3624" w:space="100"/>
            <w:col w:w="720" w:space="0"/>
          </w:cols>
        </w:sectPr>
      </w:pPr>
    </w:p>
    <w:p>
      <w:pPr>
        <w:pStyle w:val="BodyText"/>
        <w:spacing w:before="103" w:line="180" w:lineRule="auto"/>
        <w:ind w:left="609"/>
        <w:rPr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c₂=1.4388×10-²m·K</w:t>
      </w:r>
      <w:r>
        <w:rPr>
          <w:spacing w:val="-1"/>
          <w:sz w:val="17"/>
          <w:szCs w:val="17"/>
        </w:rPr>
        <w:t>。</w:t>
      </w:r>
    </w:p>
    <w:p>
      <w:pPr>
        <w:pStyle w:val="BodyText"/>
        <w:spacing w:before="51" w:line="222" w:lineRule="auto"/>
        <w:ind w:left="19" w:right="62" w:firstLine="29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pacing w:val="-15"/>
          <w:sz w:val="18"/>
          <w:szCs w:val="18"/>
        </w:rPr>
        <w:t>以</w:t>
      </w:r>
      <w:r>
        <w:rPr>
          <w:spacing w:val="-3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18"/>
          <w:szCs w:val="18"/>
        </w:rPr>
        <w:t>lna₄</w:t>
      </w:r>
      <w:r>
        <w:rPr>
          <w:spacing w:val="-15"/>
          <w:sz w:val="18"/>
          <w:szCs w:val="18"/>
        </w:rPr>
        <w:t>为纵坐标，1/λ为横坐标作图，其图形</w:t>
      </w:r>
      <w:r>
        <w:rPr>
          <w:spacing w:val="-16"/>
          <w:sz w:val="18"/>
          <w:szCs w:val="18"/>
        </w:rPr>
        <w:t>应为一直线，用计算法求出最佳直线</w:t>
      </w:r>
      <w:r>
        <w:rPr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的斜率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K=</w:t>
      </w:r>
      <w:r>
        <w:rPr>
          <w:spacing w:val="-10"/>
          <w:sz w:val="18"/>
          <w:szCs w:val="18"/>
        </w:rPr>
        <w:t>△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(Ina)/</w:t>
      </w:r>
      <w:r>
        <w:rPr>
          <w:spacing w:val="-10"/>
          <w:sz w:val="18"/>
          <w:szCs w:val="18"/>
        </w:rPr>
        <w:t>△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(1/λ)</w:t>
      </w:r>
      <w:r>
        <w:rPr>
          <w:rFonts w:ascii="Times New Roman" w:eastAsia="Times New Roman" w:hAnsi="Times New Roman" w:cs="Times New Roman"/>
          <w:spacing w:val="38"/>
          <w:w w:val="101"/>
          <w:sz w:val="18"/>
          <w:szCs w:val="18"/>
        </w:rPr>
        <w:t xml:space="preserve"> </w:t>
      </w:r>
      <w:r>
        <w:rPr>
          <w:spacing w:val="-10"/>
          <w:sz w:val="18"/>
          <w:szCs w:val="18"/>
        </w:rPr>
        <w:t>(见附录</w:t>
      </w:r>
      <w:r>
        <w:rPr>
          <w:spacing w:val="-3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A)</w:t>
      </w:r>
      <w:r>
        <w:rPr>
          <w:spacing w:val="-10"/>
          <w:sz w:val="18"/>
          <w:szCs w:val="18"/>
        </w:rPr>
        <w:t>。然后按下式计算出分布温度</w:t>
      </w:r>
      <w:r>
        <w:rPr>
          <w:spacing w:val="-5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Ta:</w:t>
      </w:r>
    </w:p>
    <w:p>
      <w:pPr>
        <w:spacing w:line="222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27"/>
          <w:footerReference w:type="default" r:id="rId28"/>
          <w:type w:val="continuous"/>
          <w:pgSz w:w="7260" w:h="10420"/>
          <w:pgMar w:top="700" w:right="506" w:bottom="367" w:left="520" w:header="535" w:footer="258" w:gutter="0"/>
          <w:pgNumType w:start="9"/>
          <w:cols w:num="1" w:space="708" w:equalWidth="0">
            <w:col w:w="6234" w:space="0"/>
          </w:cols>
        </w:sectPr>
      </w:pPr>
    </w:p>
    <w:p>
      <w:pPr>
        <w:pStyle w:val="BodyText"/>
        <w:spacing w:before="200" w:line="222" w:lineRule="auto"/>
        <w:ind w:right="19"/>
        <w:jc w:val="right"/>
        <w:rPr>
          <w:sz w:val="17"/>
          <w:szCs w:val="17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2095493</wp:posOffset>
            </wp:positionH>
            <wp:positionV relativeFrom="page">
              <wp:posOffset>584224</wp:posOffset>
            </wp:positionV>
            <wp:extent cx="590536" cy="222203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0536" cy="222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2597146</wp:posOffset>
            </wp:positionH>
            <wp:positionV relativeFrom="page">
              <wp:posOffset>1111218</wp:posOffset>
            </wp:positionV>
            <wp:extent cx="1504957" cy="14668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04957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17"/>
          <w:szCs w:val="17"/>
        </w:rPr>
        <w:t>(4)</w:t>
      </w:r>
    </w:p>
    <w:p>
      <w:pPr>
        <w:pStyle w:val="BodyText"/>
        <w:spacing w:before="141" w:line="219" w:lineRule="auto"/>
        <w:ind w:left="40"/>
        <w:rPr>
          <w:sz w:val="17"/>
          <w:szCs w:val="17"/>
        </w:rPr>
      </w:pPr>
      <w:hyperlink r:id="rId31" w:history="1">
        <w:r>
          <w:rPr>
            <w:spacing w:val="-1"/>
            <w:sz w:val="17"/>
            <w:szCs w:val="17"/>
          </w:rPr>
          <w:t>7.1.2.2</w:t>
        </w:r>
      </w:hyperlink>
      <w:r>
        <w:rPr>
          <w:spacing w:val="6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光电分布温度比较仪(图2)</w:t>
      </w:r>
    </w:p>
    <w:p>
      <w:pPr>
        <w:spacing w:before="162" w:line="2398" w:lineRule="exact"/>
        <w:ind w:firstLine="339"/>
      </w:pPr>
      <w:r>
        <w:rPr>
          <w:position w:val="-47"/>
        </w:rPr>
        <w:drawing>
          <wp:inline distT="0" distB="0" distL="0" distR="0">
            <wp:extent cx="1955806" cy="1522636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55806" cy="152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16" w:lineRule="auto"/>
        <w:ind w:left="1070"/>
        <w:rPr>
          <w:sz w:val="14"/>
          <w:szCs w:val="14"/>
        </w:rPr>
      </w:pPr>
      <w:r>
        <w:rPr>
          <w:spacing w:val="-10"/>
          <w:w w:val="97"/>
          <w:sz w:val="14"/>
          <w:szCs w:val="14"/>
        </w:rPr>
        <w:t>被检灯</w:t>
      </w:r>
    </w:p>
    <w:p>
      <w:pPr>
        <w:pStyle w:val="BodyText"/>
        <w:spacing w:before="224" w:line="221" w:lineRule="auto"/>
        <w:ind w:left="1209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9"/>
          <w:position w:val="-1"/>
          <w:sz w:val="13"/>
          <w:szCs w:val="13"/>
        </w:rPr>
        <w:t xml:space="preserve">(a)  </w:t>
      </w:r>
      <w:r>
        <w:rPr>
          <w:spacing w:val="-9"/>
          <w:position w:val="-1"/>
          <w:sz w:val="15"/>
          <w:szCs w:val="15"/>
        </w:rPr>
        <w:t xml:space="preserve">光路示意图                        </w:t>
      </w:r>
      <w:r>
        <w:rPr>
          <w:spacing w:val="-9"/>
          <w:sz w:val="14"/>
          <w:szCs w:val="14"/>
        </w:rPr>
        <w:t>(b)</w:t>
      </w:r>
      <w:r>
        <w:rPr>
          <w:spacing w:val="-9"/>
          <w:sz w:val="15"/>
          <w:szCs w:val="15"/>
        </w:rPr>
        <w:t>红蓝比测量指示路线示意图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56" w:line="219" w:lineRule="auto"/>
        <w:ind w:left="2160"/>
        <w:rPr>
          <w:sz w:val="17"/>
          <w:szCs w:val="17"/>
        </w:rPr>
      </w:pPr>
      <w:r>
        <w:rPr>
          <w:spacing w:val="-15"/>
          <w:w w:val="95"/>
          <w:sz w:val="17"/>
          <w:szCs w:val="17"/>
        </w:rPr>
        <w:t>图2</w:t>
      </w:r>
      <w:r>
        <w:rPr>
          <w:spacing w:val="49"/>
          <w:sz w:val="17"/>
          <w:szCs w:val="17"/>
        </w:rPr>
        <w:t xml:space="preserve"> </w:t>
      </w:r>
      <w:r>
        <w:rPr>
          <w:spacing w:val="-15"/>
          <w:w w:val="95"/>
          <w:sz w:val="17"/>
          <w:szCs w:val="17"/>
        </w:rPr>
        <w:t>光电分布温度比较仪示例</w:t>
      </w:r>
    </w:p>
    <w:p>
      <w:pPr>
        <w:pStyle w:val="BodyText"/>
        <w:spacing w:before="9" w:line="219" w:lineRule="auto"/>
        <w:ind w:left="719"/>
        <w:rPr>
          <w:sz w:val="15"/>
          <w:szCs w:val="15"/>
        </w:rPr>
      </w:pPr>
      <w:r>
        <w:rPr>
          <w:spacing w:val="-16"/>
          <w:w w:val="95"/>
          <w:sz w:val="15"/>
          <w:szCs w:val="15"/>
        </w:rPr>
        <w:t>1—积分球快门；2—可变光阑；3—漫透射毛玻璃(共三片);4—蓝滤光片；5—红滤光片；</w:t>
      </w:r>
    </w:p>
    <w:p>
      <w:pPr>
        <w:pStyle w:val="BodyText"/>
        <w:spacing w:before="40" w:line="216" w:lineRule="auto"/>
        <w:ind w:left="620"/>
        <w:rPr>
          <w:sz w:val="15"/>
          <w:szCs w:val="15"/>
        </w:rPr>
      </w:pPr>
      <w:r>
        <w:rPr>
          <w:spacing w:val="-15"/>
          <w:w w:val="96"/>
          <w:sz w:val="15"/>
          <w:szCs w:val="15"/>
        </w:rPr>
        <w:t>6一中性减光片；7—孔径光阑；8—快门(二个)</w:t>
      </w:r>
      <w:r>
        <w:rPr>
          <w:spacing w:val="-16"/>
          <w:w w:val="96"/>
          <w:sz w:val="15"/>
          <w:szCs w:val="15"/>
        </w:rPr>
        <w:t>;</w:t>
      </w:r>
      <w:r>
        <w:rPr>
          <w:spacing w:val="-31"/>
          <w:sz w:val="15"/>
          <w:szCs w:val="15"/>
        </w:rPr>
        <w:t xml:space="preserve"> </w:t>
      </w:r>
      <w:r>
        <w:rPr>
          <w:spacing w:val="-16"/>
          <w:w w:val="96"/>
          <w:sz w:val="13"/>
          <w:szCs w:val="13"/>
        </w:rPr>
        <w:t>M—</w:t>
      </w:r>
      <w:r>
        <w:rPr>
          <w:spacing w:val="-39"/>
          <w:sz w:val="13"/>
          <w:szCs w:val="13"/>
        </w:rPr>
        <w:t xml:space="preserve"> </w:t>
      </w:r>
      <w:r>
        <w:rPr>
          <w:spacing w:val="-16"/>
          <w:w w:val="96"/>
          <w:sz w:val="15"/>
          <w:szCs w:val="15"/>
        </w:rPr>
        <w:t>平面反射镜；R,P</w:t>
      </w:r>
      <w:r>
        <w:rPr>
          <w:rFonts w:ascii="Calibri" w:eastAsia="Calibri" w:hAnsi="Calibri" w:cs="Calibri"/>
          <w:spacing w:val="-16"/>
          <w:w w:val="96"/>
          <w:sz w:val="15"/>
          <w:szCs w:val="15"/>
        </w:rPr>
        <w:t>₂</w:t>
      </w:r>
      <w:r>
        <w:rPr>
          <w:spacing w:val="-16"/>
          <w:w w:val="96"/>
          <w:sz w:val="15"/>
          <w:szCs w:val="15"/>
        </w:rPr>
        <w:t>—</w:t>
      </w:r>
      <w:r>
        <w:rPr>
          <w:spacing w:val="-16"/>
          <w:sz w:val="15"/>
          <w:szCs w:val="15"/>
        </w:rPr>
        <w:t xml:space="preserve"> </w:t>
      </w:r>
      <w:r>
        <w:rPr>
          <w:spacing w:val="-16"/>
          <w:w w:val="96"/>
          <w:sz w:val="15"/>
          <w:szCs w:val="15"/>
        </w:rPr>
        <w:t>光电倍增管一对；</w:t>
      </w:r>
    </w:p>
    <w:p>
      <w:pPr>
        <w:pStyle w:val="BodyText"/>
        <w:spacing w:before="19" w:line="212" w:lineRule="auto"/>
        <w:ind w:left="780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11"/>
          <w:sz w:val="13"/>
          <w:szCs w:val="13"/>
        </w:rPr>
        <w:t>R,</w:t>
      </w:r>
      <w:r>
        <w:rPr>
          <w:spacing w:val="-11"/>
          <w:sz w:val="15"/>
          <w:szCs w:val="15"/>
        </w:rPr>
        <w:t>一固定电阻(40</w:t>
      </w:r>
      <w:r>
        <w:rPr>
          <w:rFonts w:ascii="Times New Roman" w:eastAsia="Times New Roman" w:hAnsi="Times New Roman" w:cs="Times New Roman"/>
          <w:spacing w:val="-11"/>
          <w:sz w:val="15"/>
          <w:szCs w:val="15"/>
        </w:rPr>
        <w:t xml:space="preserve">kQ);R, </w:t>
      </w:r>
      <w:r>
        <w:rPr>
          <w:spacing w:val="-11"/>
          <w:sz w:val="15"/>
          <w:szCs w:val="15"/>
        </w:rPr>
        <w:t>一可变电阻箱(0~100</w:t>
      </w:r>
      <w:r>
        <w:rPr>
          <w:rFonts w:ascii="Times New Roman" w:eastAsia="Times New Roman" w:hAnsi="Times New Roman" w:cs="Times New Roman"/>
          <w:spacing w:val="-11"/>
          <w:sz w:val="15"/>
          <w:szCs w:val="15"/>
        </w:rPr>
        <w:t>kD);G—</w:t>
      </w:r>
      <w:r>
        <w:rPr>
          <w:spacing w:val="-11"/>
          <w:sz w:val="15"/>
          <w:szCs w:val="15"/>
        </w:rPr>
        <w:t>检</w:t>
      </w:r>
      <w:r>
        <w:rPr>
          <w:spacing w:val="-12"/>
          <w:sz w:val="15"/>
          <w:szCs w:val="15"/>
        </w:rPr>
        <w:t>流计；</w:t>
      </w:r>
      <w:r>
        <w:rPr>
          <w:rFonts w:ascii="Times New Roman" w:eastAsia="Times New Roman" w:hAnsi="Times New Roman" w:cs="Times New Roman"/>
          <w:spacing w:val="-12"/>
          <w:sz w:val="13"/>
          <w:szCs w:val="13"/>
        </w:rPr>
        <w:t>K—</w:t>
      </w:r>
      <w:r>
        <w:rPr>
          <w:spacing w:val="-12"/>
          <w:sz w:val="15"/>
          <w:szCs w:val="15"/>
        </w:rPr>
        <w:t>单刀三位开关；</w:t>
      </w:r>
    </w:p>
    <w:p>
      <w:pPr>
        <w:pStyle w:val="BodyText"/>
        <w:spacing w:before="38" w:line="212" w:lineRule="auto"/>
        <w:ind w:left="101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9"/>
          <w:sz w:val="14"/>
          <w:szCs w:val="14"/>
        </w:rPr>
        <w:t>μA—</w:t>
      </w:r>
      <w:r>
        <w:rPr>
          <w:rFonts w:ascii="Times New Roman" w:eastAsia="Times New Roman" w:hAnsi="Times New Roman" w:cs="Times New Roman"/>
          <w:spacing w:val="-8"/>
          <w:sz w:val="14"/>
          <w:szCs w:val="14"/>
        </w:rPr>
        <w:t xml:space="preserve"> </w:t>
      </w:r>
      <w:r>
        <w:rPr>
          <w:spacing w:val="-9"/>
          <w:sz w:val="15"/>
          <w:szCs w:val="15"/>
        </w:rPr>
        <w:t>微安表(0~10μ</w:t>
      </w:r>
      <w:r>
        <w:rPr>
          <w:rFonts w:ascii="Times New Roman" w:eastAsia="Times New Roman" w:hAnsi="Times New Roman" w:cs="Times New Roman"/>
          <w:spacing w:val="-9"/>
          <w:sz w:val="14"/>
          <w:szCs w:val="14"/>
        </w:rPr>
        <w:t>A);V,</w:t>
      </w:r>
      <w:r>
        <w:rPr>
          <w:rFonts w:ascii="Times New Roman" w:eastAsia="Times New Roman" w:hAnsi="Times New Roman" w:cs="Times New Roman"/>
          <w:spacing w:val="13"/>
          <w:w w:val="102"/>
          <w:sz w:val="14"/>
          <w:szCs w:val="14"/>
        </w:rPr>
        <w:t xml:space="preserve"> </w:t>
      </w:r>
      <w:r>
        <w:rPr>
          <w:spacing w:val="-9"/>
          <w:sz w:val="14"/>
          <w:szCs w:val="14"/>
        </w:rPr>
        <w:t>一校准</w:t>
      </w:r>
      <w:r>
        <w:rPr>
          <w:rFonts w:ascii="Times New Roman" w:eastAsia="Times New Roman" w:hAnsi="Times New Roman" w:cs="Times New Roman"/>
          <w:spacing w:val="-9"/>
          <w:sz w:val="14"/>
          <w:szCs w:val="14"/>
        </w:rPr>
        <w:t>i,</w:t>
      </w:r>
      <w:r>
        <w:rPr>
          <w:rFonts w:ascii="Times New Roman" w:eastAsia="Times New Roman" w:hAnsi="Times New Roman" w:cs="Times New Roman"/>
          <w:spacing w:val="15"/>
          <w:sz w:val="14"/>
          <w:szCs w:val="14"/>
        </w:rPr>
        <w:t xml:space="preserve"> </w:t>
      </w:r>
      <w:r>
        <w:rPr>
          <w:spacing w:val="-9"/>
          <w:sz w:val="14"/>
          <w:szCs w:val="14"/>
        </w:rPr>
        <w:t>使等于</w:t>
      </w:r>
      <w:r>
        <w:rPr>
          <w:rFonts w:ascii="Times New Roman" w:eastAsia="Times New Roman" w:hAnsi="Times New Roman" w:cs="Times New Roman"/>
          <w:spacing w:val="-9"/>
          <w:sz w:val="14"/>
          <w:szCs w:val="14"/>
        </w:rPr>
        <w:t>i</w:t>
      </w:r>
      <w:r>
        <w:rPr>
          <w:rFonts w:ascii="Times New Roman" w:eastAsia="Times New Roman" w:hAnsi="Times New Roman" w:cs="Times New Roman"/>
          <w:spacing w:val="7"/>
          <w:sz w:val="14"/>
          <w:szCs w:val="14"/>
        </w:rPr>
        <w:t xml:space="preserve">  </w:t>
      </w:r>
      <w:r>
        <w:rPr>
          <w:spacing w:val="-9"/>
          <w:sz w:val="15"/>
          <w:szCs w:val="15"/>
        </w:rPr>
        <w:t>用的标准电压(+80</w:t>
      </w:r>
      <w:r>
        <w:rPr>
          <w:rFonts w:ascii="Times New Roman" w:eastAsia="Times New Roman" w:hAnsi="Times New Roman" w:cs="Times New Roman"/>
          <w:spacing w:val="-9"/>
          <w:sz w:val="15"/>
          <w:szCs w:val="15"/>
        </w:rPr>
        <w:t>mV/5μA)</w:t>
      </w:r>
    </w:p>
    <w:p>
      <w:pPr>
        <w:pStyle w:val="BodyText"/>
        <w:spacing w:before="186" w:line="220" w:lineRule="auto"/>
        <w:ind w:left="370"/>
        <w:rPr>
          <w:sz w:val="17"/>
          <w:szCs w:val="17"/>
        </w:rPr>
      </w:pPr>
      <w:r>
        <w:rPr>
          <w:spacing w:val="4"/>
          <w:sz w:val="17"/>
          <w:szCs w:val="17"/>
        </w:rPr>
        <w:t>1)构成</w:t>
      </w:r>
    </w:p>
    <w:p>
      <w:pPr>
        <w:pStyle w:val="BodyText"/>
        <w:spacing w:before="37" w:line="239" w:lineRule="auto"/>
        <w:ind w:left="30" w:right="46" w:firstLine="329"/>
        <w:rPr>
          <w:sz w:val="17"/>
          <w:szCs w:val="17"/>
        </w:rPr>
      </w:pPr>
      <w:r>
        <w:rPr>
          <w:spacing w:val="-4"/>
          <w:sz w:val="17"/>
          <w:szCs w:val="17"/>
        </w:rPr>
        <w:t>主要由导轨，孔径光阑，平面反射镜及转台，积分球，红、蓝滤光片，光电探测</w:t>
      </w:r>
      <w:r>
        <w:rPr>
          <w:spacing w:val="12"/>
          <w:sz w:val="17"/>
          <w:szCs w:val="17"/>
        </w:rPr>
        <w:t xml:space="preserve"> </w:t>
      </w:r>
      <w:r>
        <w:rPr>
          <w:spacing w:val="-9"/>
          <w:sz w:val="17"/>
          <w:szCs w:val="17"/>
        </w:rPr>
        <w:t>器，红蓝比显示部分及相关附件等组成。</w:t>
      </w:r>
    </w:p>
    <w:p>
      <w:pPr>
        <w:pStyle w:val="BodyText"/>
        <w:spacing w:before="40" w:line="243" w:lineRule="auto"/>
        <w:ind w:left="19" w:right="32" w:firstLine="330"/>
        <w:rPr>
          <w:sz w:val="17"/>
          <w:szCs w:val="17"/>
        </w:rPr>
      </w:pPr>
      <w:r>
        <w:rPr>
          <w:spacing w:val="-8"/>
          <w:sz w:val="17"/>
          <w:szCs w:val="17"/>
        </w:rPr>
        <w:t>积分球：内涂白色中性漫反射涂料，其上有</w:t>
      </w:r>
      <w:r>
        <w:rPr>
          <w:spacing w:val="-9"/>
          <w:sz w:val="17"/>
          <w:szCs w:val="17"/>
        </w:rPr>
        <w:t>一个入射窗口和两个出射窗口，在入射</w:t>
      </w:r>
      <w:r>
        <w:rPr>
          <w:sz w:val="17"/>
          <w:szCs w:val="17"/>
        </w:rPr>
        <w:t xml:space="preserve"> </w:t>
      </w:r>
      <w:r>
        <w:rPr>
          <w:spacing w:val="-7"/>
          <w:sz w:val="17"/>
          <w:szCs w:val="17"/>
        </w:rPr>
        <w:t>窗口上装有快门和可变光阑；在出射窗口上分</w:t>
      </w:r>
      <w:r>
        <w:rPr>
          <w:spacing w:val="-8"/>
          <w:sz w:val="17"/>
          <w:szCs w:val="17"/>
        </w:rPr>
        <w:t>别装有红、蓝滤光片，毛玻璃，中性减光</w:t>
      </w:r>
      <w:r>
        <w:rPr>
          <w:sz w:val="17"/>
          <w:szCs w:val="17"/>
        </w:rPr>
        <w:t xml:space="preserve"> </w:t>
      </w:r>
      <w:r>
        <w:rPr>
          <w:spacing w:val="-12"/>
          <w:sz w:val="17"/>
          <w:szCs w:val="17"/>
        </w:rPr>
        <w:t>片，光电探测器等；</w:t>
      </w:r>
    </w:p>
    <w:p>
      <w:pPr>
        <w:pStyle w:val="BodyText"/>
        <w:spacing w:before="38" w:line="247" w:lineRule="auto"/>
        <w:ind w:left="19" w:right="51" w:firstLine="330"/>
        <w:rPr>
          <w:sz w:val="17"/>
          <w:szCs w:val="17"/>
        </w:rPr>
      </w:pPr>
      <w:r>
        <w:rPr>
          <w:spacing w:val="-8"/>
          <w:sz w:val="17"/>
          <w:szCs w:val="17"/>
        </w:rPr>
        <w:t>红、蓝滤光片：其透光的波长范围应互无重叠，与接收器组合的光</w:t>
      </w:r>
      <w:r>
        <w:rPr>
          <w:spacing w:val="-9"/>
          <w:sz w:val="17"/>
          <w:szCs w:val="17"/>
        </w:rPr>
        <w:t>谱响应曲线的峰</w:t>
      </w:r>
      <w:r>
        <w:rPr>
          <w:sz w:val="17"/>
          <w:szCs w:val="17"/>
        </w:rPr>
        <w:t xml:space="preserve"> </w:t>
      </w:r>
      <w:r>
        <w:rPr>
          <w:spacing w:val="-3"/>
          <w:sz w:val="17"/>
          <w:szCs w:val="17"/>
        </w:rPr>
        <w:t>值波长应分别在(660±10)</w:t>
      </w:r>
      <w:r>
        <w:rPr>
          <w:rFonts w:ascii="Times New Roman" w:eastAsia="Times New Roman" w:hAnsi="Times New Roman" w:cs="Times New Roman"/>
          <w:spacing w:val="-3"/>
          <w:sz w:val="17"/>
          <w:szCs w:val="17"/>
        </w:rPr>
        <w:t>nm</w:t>
      </w:r>
      <w:r>
        <w:rPr>
          <w:spacing w:val="-3"/>
          <w:sz w:val="17"/>
          <w:szCs w:val="17"/>
        </w:rPr>
        <w:t>和(460±10)</w:t>
      </w:r>
      <w:r>
        <w:rPr>
          <w:rFonts w:ascii="Times New Roman" w:eastAsia="Times New Roman" w:hAnsi="Times New Roman" w:cs="Times New Roman"/>
          <w:spacing w:val="-3"/>
          <w:sz w:val="17"/>
          <w:szCs w:val="17"/>
        </w:rPr>
        <w:t>nm</w:t>
      </w:r>
      <w:r>
        <w:rPr>
          <w:spacing w:val="-3"/>
          <w:sz w:val="17"/>
          <w:szCs w:val="17"/>
        </w:rPr>
        <w:t>范围内。总的光谱响应度对于波长≤380</w:t>
      </w:r>
      <w:r>
        <w:rPr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7"/>
          <w:szCs w:val="17"/>
        </w:rPr>
        <w:t>nm</w:t>
      </w:r>
      <w:r>
        <w:rPr>
          <w:rFonts w:ascii="Times New Roman" w:eastAsia="Times New Roman" w:hAnsi="Times New Roman" w:cs="Times New Roman"/>
          <w:spacing w:val="-14"/>
          <w:sz w:val="17"/>
          <w:szCs w:val="17"/>
        </w:rPr>
        <w:t xml:space="preserve"> </w:t>
      </w:r>
      <w:r>
        <w:rPr>
          <w:spacing w:val="-3"/>
          <w:sz w:val="17"/>
          <w:szCs w:val="17"/>
        </w:rPr>
        <w:t>和波长≥750</w:t>
      </w:r>
      <w:r>
        <w:rPr>
          <w:spacing w:val="-4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7"/>
          <w:szCs w:val="17"/>
        </w:rPr>
        <w:t>nm</w:t>
      </w:r>
      <w:r>
        <w:rPr>
          <w:spacing w:val="-3"/>
          <w:sz w:val="17"/>
          <w:szCs w:val="17"/>
        </w:rPr>
        <w:t>的范围应下降到峰值的0.2%以下。</w:t>
      </w:r>
    </w:p>
    <w:p>
      <w:pPr>
        <w:pStyle w:val="BodyText"/>
        <w:spacing w:before="38" w:line="219" w:lineRule="auto"/>
        <w:ind w:left="339"/>
        <w:rPr>
          <w:sz w:val="17"/>
          <w:szCs w:val="17"/>
        </w:rPr>
        <w:sectPr>
          <w:headerReference w:type="default" r:id="rId33"/>
          <w:footerReference w:type="default" r:id="rId34"/>
          <w:pgSz w:w="7340" w:h="10480"/>
          <w:pgMar w:top="789" w:right="490" w:bottom="376" w:left="620" w:header="554" w:footer="268" w:gutter="0"/>
          <w:pgNumType w:start="10"/>
          <w:cols w:space="708"/>
        </w:sectPr>
      </w:pPr>
      <w:r>
        <w:rPr>
          <w:spacing w:val="-4"/>
          <w:sz w:val="17"/>
          <w:szCs w:val="17"/>
        </w:rPr>
        <w:t>光电探测器：挑选输出稳定的光电倍增管 (Sh-Rb-C</w:t>
      </w:r>
      <w:r>
        <w:rPr>
          <w:spacing w:val="-5"/>
          <w:sz w:val="17"/>
          <w:szCs w:val="17"/>
        </w:rPr>
        <w:t>s</w:t>
      </w:r>
      <w:r>
        <w:rPr>
          <w:spacing w:val="16"/>
          <w:sz w:val="17"/>
          <w:szCs w:val="17"/>
        </w:rPr>
        <w:t xml:space="preserve">  </w:t>
      </w:r>
      <w:r>
        <w:rPr>
          <w:spacing w:val="-5"/>
          <w:sz w:val="17"/>
          <w:szCs w:val="17"/>
        </w:rPr>
        <w:t>阴极)一对。</w:t>
      </w:r>
    </w:p>
    <w:p>
      <w:pPr>
        <w:pStyle w:val="BodyText"/>
        <w:spacing w:before="38" w:line="219" w:lineRule="auto"/>
        <w:ind w:left="339"/>
        <w:rPr>
          <w:sz w:val="17"/>
          <w:szCs w:val="17"/>
        </w:rPr>
      </w:pPr>
      <w:r>
        <w:rPr>
          <w:spacing w:val="-5"/>
          <w:sz w:val="17"/>
          <w:szCs w:val="17"/>
        </w:rPr>
        <w:t>红蓝比显示可用多种方式实现，图2中的桥式</w:t>
      </w:r>
      <w:r>
        <w:rPr>
          <w:spacing w:val="-6"/>
          <w:sz w:val="17"/>
          <w:szCs w:val="17"/>
        </w:rPr>
        <w:t>平衡电路检流计指示是其中之一例。</w:t>
      </w:r>
    </w:p>
    <w:p>
      <w:pPr>
        <w:pStyle w:val="BodyText"/>
        <w:spacing w:before="39" w:line="219" w:lineRule="auto"/>
        <w:ind w:left="349"/>
        <w:rPr>
          <w:sz w:val="17"/>
          <w:szCs w:val="17"/>
        </w:rPr>
      </w:pPr>
      <w:r>
        <w:rPr>
          <w:spacing w:val="-12"/>
          <w:sz w:val="17"/>
          <w:szCs w:val="17"/>
        </w:rPr>
        <w:t>比较仪总的技术要求应达到：</w:t>
      </w:r>
    </w:p>
    <w:p>
      <w:pPr>
        <w:pStyle w:val="BodyText"/>
        <w:spacing w:before="47" w:line="219" w:lineRule="auto"/>
        <w:ind w:left="330"/>
        <w:rPr>
          <w:sz w:val="17"/>
          <w:szCs w:val="17"/>
        </w:rPr>
      </w:pPr>
      <w:r>
        <w:rPr>
          <w:spacing w:val="-5"/>
          <w:sz w:val="17"/>
          <w:szCs w:val="17"/>
        </w:rPr>
        <w:t>灵敏度：当分布温度改变1</w:t>
      </w:r>
      <w:r>
        <w:rPr>
          <w:spacing w:val="-3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7"/>
          <w:szCs w:val="17"/>
        </w:rPr>
        <w:t>K</w:t>
      </w:r>
      <w:r>
        <w:rPr>
          <w:spacing w:val="-5"/>
          <w:sz w:val="17"/>
          <w:szCs w:val="17"/>
        </w:rPr>
        <w:t>时，显示红蓝比的检流计偏转应≥5个最小分度值。</w:t>
      </w:r>
    </w:p>
    <w:p>
      <w:pPr>
        <w:pStyle w:val="BodyText"/>
        <w:spacing w:before="18" w:line="248" w:lineRule="auto"/>
        <w:ind w:right="72" w:firstLine="339"/>
        <w:rPr>
          <w:sz w:val="17"/>
          <w:szCs w:val="17"/>
        </w:rPr>
      </w:pPr>
      <w:r>
        <w:rPr>
          <w:spacing w:val="-4"/>
          <w:sz w:val="17"/>
          <w:szCs w:val="17"/>
        </w:rPr>
        <w:t xml:space="preserve">直线性：当积分球入射窗口处的光照度由100 </w:t>
      </w:r>
      <w:r>
        <w:rPr>
          <w:rFonts w:ascii="Times New Roman" w:eastAsia="Times New Roman" w:hAnsi="Times New Roman" w:cs="Times New Roman"/>
          <w:spacing w:val="-4"/>
          <w:sz w:val="17"/>
          <w:szCs w:val="17"/>
        </w:rPr>
        <w:t>lx</w:t>
      </w:r>
      <w:r>
        <w:rPr>
          <w:rFonts w:ascii="Times New Roman" w:eastAsia="Times New Roman" w:hAnsi="Times New Roman" w:cs="Times New Roman"/>
          <w:spacing w:val="-9"/>
          <w:sz w:val="17"/>
          <w:szCs w:val="17"/>
        </w:rPr>
        <w:t xml:space="preserve"> </w:t>
      </w:r>
      <w:r>
        <w:rPr>
          <w:spacing w:val="-4"/>
          <w:sz w:val="17"/>
          <w:szCs w:val="17"/>
        </w:rPr>
        <w:t xml:space="preserve">升至1000 </w:t>
      </w:r>
      <w:r>
        <w:rPr>
          <w:rFonts w:ascii="Times New Roman" w:eastAsia="Times New Roman" w:hAnsi="Times New Roman" w:cs="Times New Roman"/>
          <w:spacing w:val="-4"/>
          <w:sz w:val="17"/>
          <w:szCs w:val="17"/>
        </w:rPr>
        <w:t>lx</w:t>
      </w:r>
      <w:r>
        <w:rPr>
          <w:spacing w:val="-5"/>
          <w:sz w:val="17"/>
          <w:szCs w:val="17"/>
        </w:rPr>
        <w:t>时，红蓝比的变化应</w:t>
      </w:r>
      <w:r>
        <w:rPr>
          <w:sz w:val="17"/>
          <w:szCs w:val="17"/>
        </w:rPr>
        <w:t xml:space="preserve"> </w:t>
      </w:r>
      <w:r>
        <w:rPr>
          <w:spacing w:val="-4"/>
          <w:sz w:val="17"/>
          <w:szCs w:val="17"/>
        </w:rPr>
        <w:t>≤0.2%;</w:t>
      </w:r>
    </w:p>
    <w:p>
      <w:pPr>
        <w:pStyle w:val="BodyText"/>
        <w:spacing w:before="24" w:line="219" w:lineRule="auto"/>
        <w:ind w:left="320"/>
        <w:rPr>
          <w:sz w:val="17"/>
          <w:szCs w:val="17"/>
        </w:rPr>
      </w:pPr>
      <w:r>
        <w:rPr>
          <w:spacing w:val="-8"/>
          <w:sz w:val="17"/>
          <w:szCs w:val="17"/>
        </w:rPr>
        <w:t>方向性：当入射积分球窗口的角度在垂直方向附近变化±15°时，红蓝比的变化应</w:t>
      </w:r>
    </w:p>
    <w:p>
      <w:pPr>
        <w:spacing w:line="219" w:lineRule="auto"/>
        <w:rPr>
          <w:sz w:val="17"/>
          <w:szCs w:val="17"/>
        </w:rPr>
        <w:sectPr>
          <w:headerReference w:type="default" r:id="rId35"/>
          <w:footerReference w:type="default" r:id="rId36"/>
          <w:type w:val="nextPage"/>
          <w:pgSz w:w="7340" w:h="10480"/>
          <w:pgMar w:top="789" w:right="490" w:bottom="376" w:left="620" w:header="554" w:footer="268" w:gutter="0"/>
          <w:pgNumType w:start="11"/>
          <w:cols w:space="708"/>
          <w:titlePg w:val="0"/>
        </w:sectPr>
      </w:pPr>
    </w:p>
    <w:p>
      <w:pPr>
        <w:pStyle w:val="BodyText"/>
        <w:spacing w:before="114" w:line="236" w:lineRule="auto"/>
        <w:ind w:left="50"/>
        <w:rPr>
          <w:sz w:val="18"/>
          <w:szCs w:val="18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1466857</wp:posOffset>
            </wp:positionH>
            <wp:positionV relativeFrom="page">
              <wp:posOffset>2139952</wp:posOffset>
            </wp:positionV>
            <wp:extent cx="1771641" cy="419116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71641" cy="419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18"/>
          <w:szCs w:val="18"/>
        </w:rPr>
        <w:t>≤0.2%。</w:t>
      </w:r>
    </w:p>
    <w:p>
      <w:pPr>
        <w:pStyle w:val="BodyText"/>
        <w:spacing w:before="4" w:line="219" w:lineRule="auto"/>
        <w:ind w:left="390"/>
        <w:rPr>
          <w:sz w:val="18"/>
          <w:szCs w:val="18"/>
        </w:rPr>
      </w:pPr>
      <w:r>
        <w:rPr>
          <w:spacing w:val="-9"/>
          <w:sz w:val="18"/>
          <w:szCs w:val="18"/>
        </w:rPr>
        <w:t>稳定性：红蓝比的漂移每10</w:t>
      </w:r>
      <w:r>
        <w:rPr>
          <w:spacing w:val="-9"/>
          <w:sz w:val="17"/>
          <w:szCs w:val="17"/>
        </w:rPr>
        <w:t>min</w:t>
      </w:r>
      <w:r>
        <w:rPr>
          <w:spacing w:val="-45"/>
          <w:sz w:val="17"/>
          <w:szCs w:val="17"/>
        </w:rPr>
        <w:t xml:space="preserve"> </w:t>
      </w:r>
      <w:r>
        <w:rPr>
          <w:spacing w:val="-9"/>
          <w:sz w:val="18"/>
          <w:szCs w:val="18"/>
        </w:rPr>
        <w:t>应≤0.2%。</w:t>
      </w:r>
    </w:p>
    <w:p>
      <w:pPr>
        <w:pStyle w:val="BodyText"/>
        <w:spacing w:before="17" w:line="221" w:lineRule="auto"/>
        <w:ind w:left="380"/>
        <w:rPr>
          <w:sz w:val="18"/>
          <w:szCs w:val="18"/>
        </w:rPr>
      </w:pPr>
      <w:r>
        <w:rPr>
          <w:spacing w:val="-5"/>
          <w:sz w:val="18"/>
          <w:szCs w:val="18"/>
        </w:rPr>
        <w:t>2)测量原理</w:t>
      </w:r>
    </w:p>
    <w:p>
      <w:pPr>
        <w:pStyle w:val="BodyText"/>
        <w:spacing w:before="23"/>
        <w:ind w:left="50" w:right="44" w:firstLine="340"/>
        <w:rPr>
          <w:sz w:val="18"/>
          <w:szCs w:val="18"/>
        </w:rPr>
      </w:pPr>
      <w:r>
        <w:rPr>
          <w:spacing w:val="-15"/>
          <w:w w:val="98"/>
          <w:sz w:val="18"/>
          <w:szCs w:val="18"/>
        </w:rPr>
        <w:t>用上一级标准灯作辐射照度红蓝比的标准，用分布温度比较仪直接测量被检灯的红</w:t>
      </w:r>
      <w:r>
        <w:rPr>
          <w:spacing w:val="16"/>
          <w:sz w:val="18"/>
          <w:szCs w:val="18"/>
        </w:rPr>
        <w:t xml:space="preserve"> </w:t>
      </w:r>
      <w:r>
        <w:rPr>
          <w:spacing w:val="-18"/>
          <w:sz w:val="18"/>
          <w:szCs w:val="18"/>
        </w:rPr>
        <w:t>蓝比，并调整被检灯电流使之与标准灯的红蓝比相等，此时被检灯的分布温度值即等于</w:t>
      </w:r>
      <w:r>
        <w:rPr>
          <w:spacing w:val="12"/>
          <w:sz w:val="18"/>
          <w:szCs w:val="18"/>
        </w:rPr>
        <w:t xml:space="preserve"> </w:t>
      </w:r>
      <w:r>
        <w:rPr>
          <w:spacing w:val="-18"/>
          <w:sz w:val="18"/>
          <w:szCs w:val="18"/>
        </w:rPr>
        <w:t>标准灯的分布温度值，其原理是用双色比法确定白炽灯的分布温度值。</w:t>
      </w:r>
    </w:p>
    <w:p>
      <w:pPr>
        <w:pStyle w:val="BodyText"/>
        <w:spacing w:before="6" w:line="236" w:lineRule="auto"/>
        <w:ind w:left="50" w:right="54" w:firstLine="330"/>
        <w:rPr>
          <w:sz w:val="20"/>
          <w:szCs w:val="20"/>
        </w:rPr>
      </w:pPr>
      <w:r>
        <w:rPr>
          <w:spacing w:val="-17"/>
          <w:w w:val="96"/>
          <w:sz w:val="20"/>
          <w:szCs w:val="20"/>
        </w:rPr>
        <w:t>若标准灯的分布温度为</w:t>
      </w:r>
      <w:r>
        <w:rPr>
          <w:spacing w:val="-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7"/>
          <w:w w:val="96"/>
          <w:sz w:val="20"/>
          <w:szCs w:val="20"/>
        </w:rPr>
        <w:t xml:space="preserve">T₄,  </w:t>
      </w:r>
      <w:r>
        <w:rPr>
          <w:spacing w:val="-17"/>
          <w:w w:val="96"/>
          <w:sz w:val="20"/>
          <w:szCs w:val="20"/>
        </w:rPr>
        <w:t>光谱辐照度为</w:t>
      </w:r>
      <w:r>
        <w:rPr>
          <w:rFonts w:ascii="Times New Roman" w:eastAsia="Times New Roman" w:hAnsi="Times New Roman" w:cs="Times New Roman"/>
          <w:spacing w:val="-17"/>
          <w:w w:val="96"/>
          <w:sz w:val="20"/>
          <w:szCs w:val="20"/>
        </w:rPr>
        <w:t xml:space="preserve">E(λ,T₄);     </w:t>
      </w:r>
      <w:r>
        <w:rPr>
          <w:spacing w:val="-17"/>
          <w:w w:val="96"/>
          <w:sz w:val="20"/>
          <w:szCs w:val="20"/>
        </w:rPr>
        <w:t>在比较仪积分球中，若蓝滤</w:t>
      </w:r>
      <w:r>
        <w:rPr>
          <w:sz w:val="20"/>
          <w:szCs w:val="20"/>
        </w:rPr>
        <w:t xml:space="preserve"> </w:t>
      </w:r>
      <w:r>
        <w:rPr>
          <w:spacing w:val="-20"/>
          <w:w w:val="99"/>
          <w:sz w:val="20"/>
          <w:szCs w:val="20"/>
        </w:rPr>
        <w:t>光片光路中总的等效光谱透射率为</w:t>
      </w:r>
      <w:r>
        <w:rPr>
          <w:rFonts w:ascii="Times New Roman" w:eastAsia="Times New Roman" w:hAnsi="Times New Roman" w:cs="Times New Roman"/>
          <w:spacing w:val="-20"/>
          <w:w w:val="99"/>
          <w:sz w:val="20"/>
          <w:szCs w:val="20"/>
        </w:rPr>
        <w:t xml:space="preserve">r₁(λ),    </w:t>
      </w:r>
      <w:r>
        <w:rPr>
          <w:spacing w:val="-20"/>
          <w:w w:val="99"/>
          <w:sz w:val="20"/>
          <w:szCs w:val="20"/>
        </w:rPr>
        <w:t>接收器的光谱响应度为</w:t>
      </w:r>
      <w:r>
        <w:rPr>
          <w:rFonts w:ascii="Times New Roman" w:eastAsia="Times New Roman" w:hAnsi="Times New Roman" w:cs="Times New Roman"/>
          <w:spacing w:val="-20"/>
          <w:w w:val="99"/>
          <w:sz w:val="20"/>
          <w:szCs w:val="20"/>
        </w:rPr>
        <w:t xml:space="preserve">r₆(λ),    </w:t>
      </w:r>
      <w:r>
        <w:rPr>
          <w:spacing w:val="-20"/>
          <w:w w:val="99"/>
          <w:sz w:val="20"/>
          <w:szCs w:val="20"/>
        </w:rPr>
        <w:t>输出的光电</w:t>
      </w:r>
      <w:r>
        <w:rPr>
          <w:spacing w:val="17"/>
          <w:sz w:val="20"/>
          <w:szCs w:val="20"/>
        </w:rPr>
        <w:t xml:space="preserve"> </w:t>
      </w:r>
      <w:r>
        <w:rPr>
          <w:spacing w:val="-21"/>
          <w:sz w:val="20"/>
          <w:szCs w:val="20"/>
        </w:rPr>
        <w:t>流为</w:t>
      </w:r>
      <w:r>
        <w:rPr>
          <w:spacing w:val="-5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1"/>
          <w:sz w:val="20"/>
          <w:szCs w:val="20"/>
        </w:rPr>
        <w:t xml:space="preserve">i.;   </w:t>
      </w:r>
      <w:r>
        <w:rPr>
          <w:spacing w:val="-21"/>
          <w:sz w:val="20"/>
          <w:szCs w:val="20"/>
        </w:rPr>
        <w:t>对红滤光片光路，相应地分别为：</w:t>
      </w:r>
      <w:r>
        <w:rPr>
          <w:spacing w:val="-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1"/>
          <w:sz w:val="20"/>
          <w:szCs w:val="20"/>
        </w:rPr>
        <w:t xml:space="preserve">r,(d),r,(λ),i,;       </w:t>
      </w:r>
      <w:r>
        <w:rPr>
          <w:spacing w:val="-21"/>
          <w:sz w:val="20"/>
          <w:szCs w:val="20"/>
        </w:rPr>
        <w:t>则比较仪实测</w:t>
      </w:r>
      <w:r>
        <w:rPr>
          <w:spacing w:val="-22"/>
          <w:sz w:val="20"/>
          <w:szCs w:val="20"/>
        </w:rPr>
        <w:t>得到的红蓝</w:t>
      </w:r>
      <w:r>
        <w:rPr>
          <w:sz w:val="20"/>
          <w:szCs w:val="20"/>
        </w:rPr>
        <w:t xml:space="preserve"> </w:t>
      </w:r>
      <w:r>
        <w:rPr>
          <w:spacing w:val="-29"/>
          <w:sz w:val="20"/>
          <w:szCs w:val="20"/>
        </w:rPr>
        <w:t>比为：</w:t>
      </w:r>
    </w:p>
    <w:p>
      <w:pPr>
        <w:pStyle w:val="BodyText"/>
        <w:spacing w:before="290" w:line="222" w:lineRule="auto"/>
        <w:ind w:left="5990"/>
      </w:pPr>
      <w:r>
        <w:rPr>
          <w:spacing w:val="-8"/>
        </w:rPr>
        <w:t>(5)</w:t>
      </w:r>
    </w:p>
    <w:p>
      <w:pPr>
        <w:pStyle w:val="BodyText"/>
        <w:spacing w:before="257" w:line="230" w:lineRule="auto"/>
        <w:ind w:left="60" w:right="46" w:firstLine="330"/>
        <w:jc w:val="both"/>
        <w:rPr>
          <w:sz w:val="18"/>
          <w:szCs w:val="18"/>
        </w:rPr>
      </w:pPr>
      <w:r>
        <w:rPr>
          <w:spacing w:val="-21"/>
          <w:w w:val="91"/>
          <w:sz w:val="20"/>
          <w:szCs w:val="20"/>
        </w:rPr>
        <w:t>当积分球内的涂料，所用的红、蓝滤光片、毛玻璃、接收器等固定后，上式之值便</w:t>
      </w:r>
      <w:r>
        <w:rPr>
          <w:spacing w:val="30"/>
          <w:sz w:val="20"/>
          <w:szCs w:val="20"/>
        </w:rPr>
        <w:t xml:space="preserve"> </w:t>
      </w:r>
      <w:r>
        <w:rPr>
          <w:spacing w:val="-18"/>
          <w:w w:val="96"/>
          <w:sz w:val="20"/>
          <w:szCs w:val="20"/>
        </w:rPr>
        <w:t>只与标准灯的分布温度值有关，记为</w:t>
      </w:r>
      <w:r>
        <w:rPr>
          <w:rFonts w:ascii="Times New Roman" w:eastAsia="Times New Roman" w:hAnsi="Times New Roman" w:cs="Times New Roman"/>
          <w:spacing w:val="-18"/>
          <w:w w:val="96"/>
          <w:sz w:val="20"/>
          <w:szCs w:val="20"/>
        </w:rPr>
        <w:t xml:space="preserve">i/i₄=f(T₄),       </w:t>
      </w:r>
      <w:r>
        <w:rPr>
          <w:spacing w:val="-18"/>
          <w:w w:val="96"/>
          <w:sz w:val="20"/>
          <w:szCs w:val="20"/>
        </w:rPr>
        <w:t>且是一一对应的关系。若用桥式平</w:t>
      </w:r>
      <w:r>
        <w:rPr>
          <w:sz w:val="20"/>
          <w:szCs w:val="20"/>
        </w:rPr>
        <w:t xml:space="preserve"> </w:t>
      </w:r>
      <w:r>
        <w:rPr>
          <w:spacing w:val="-6"/>
          <w:sz w:val="18"/>
          <w:szCs w:val="18"/>
        </w:rPr>
        <w:t>衡方法(见图2)测量红蓝比，有：</w:t>
      </w:r>
    </w:p>
    <w:p>
      <w:pPr>
        <w:spacing w:before="95" w:line="185" w:lineRule="auto"/>
        <w:ind w:left="277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pacing w:val="-1"/>
          <w:sz w:val="18"/>
          <w:szCs w:val="18"/>
        </w:rPr>
        <w:t>i,R₄=i₁R₇</w:t>
      </w:r>
    </w:p>
    <w:p>
      <w:pPr>
        <w:pStyle w:val="BodyText"/>
        <w:spacing w:before="50" w:line="192" w:lineRule="auto"/>
        <w:ind w:left="40"/>
        <w:rPr>
          <w:sz w:val="15"/>
          <w:szCs w:val="15"/>
        </w:rPr>
      </w:pPr>
      <w:r>
        <w:rPr>
          <w:spacing w:val="-2"/>
          <w:sz w:val="15"/>
          <w:szCs w:val="15"/>
        </w:rPr>
        <w:t>即</w:t>
      </w:r>
      <w:r>
        <w:rPr>
          <w:spacing w:val="-17"/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：</w:t>
      </w:r>
      <w:r>
        <w:rPr>
          <w:spacing w:val="2"/>
          <w:sz w:val="15"/>
          <w:szCs w:val="15"/>
        </w:rPr>
        <w:t xml:space="preserve">                      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R₀=i,R/i₀=f(T₄)R,                                              </w:t>
      </w:r>
      <w:r>
        <w:rPr>
          <w:spacing w:val="-2"/>
          <w:position w:val="-1"/>
          <w:sz w:val="15"/>
          <w:szCs w:val="15"/>
        </w:rPr>
        <w:t>(6)</w:t>
      </w:r>
    </w:p>
    <w:p>
      <w:pPr>
        <w:pStyle w:val="BodyText"/>
        <w:spacing w:before="55" w:line="235" w:lineRule="auto"/>
        <w:ind w:left="40" w:right="58" w:firstLine="340"/>
        <w:rPr>
          <w:sz w:val="20"/>
          <w:szCs w:val="20"/>
        </w:rPr>
      </w:pPr>
      <w:r>
        <w:rPr>
          <w:spacing w:val="-19"/>
          <w:w w:val="94"/>
          <w:sz w:val="20"/>
          <w:szCs w:val="20"/>
        </w:rPr>
        <w:t>若固定</w:t>
      </w:r>
      <w:r>
        <w:rPr>
          <w:rFonts w:ascii="Times New Roman" w:eastAsia="Times New Roman" w:hAnsi="Times New Roman" w:cs="Times New Roman"/>
          <w:spacing w:val="-19"/>
          <w:w w:val="94"/>
          <w:sz w:val="20"/>
          <w:szCs w:val="20"/>
        </w:rPr>
        <w:t xml:space="preserve">R,   </w:t>
      </w:r>
      <w:r>
        <w:rPr>
          <w:spacing w:val="-19"/>
          <w:w w:val="94"/>
          <w:sz w:val="20"/>
          <w:szCs w:val="20"/>
        </w:rPr>
        <w:t>用只改变</w:t>
      </w:r>
      <w:r>
        <w:rPr>
          <w:spacing w:val="-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9"/>
          <w:w w:val="94"/>
          <w:sz w:val="20"/>
          <w:szCs w:val="20"/>
        </w:rPr>
        <w:t>R</w:t>
      </w:r>
      <w:r>
        <w:rPr>
          <w:spacing w:val="-19"/>
          <w:w w:val="94"/>
          <w:sz w:val="20"/>
          <w:szCs w:val="20"/>
        </w:rPr>
        <w:t>。的办法来测量红蓝比，则</w:t>
      </w:r>
      <w:r>
        <w:rPr>
          <w:spacing w:val="-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9"/>
          <w:w w:val="94"/>
          <w:sz w:val="20"/>
          <w:szCs w:val="20"/>
        </w:rPr>
        <w:t>R,</w:t>
      </w:r>
      <w:r>
        <w:rPr>
          <w:spacing w:val="-19"/>
          <w:w w:val="94"/>
          <w:sz w:val="20"/>
          <w:szCs w:val="20"/>
        </w:rPr>
        <w:t>的数值只和标准灯的分布温</w:t>
      </w:r>
      <w:r>
        <w:rPr>
          <w:sz w:val="20"/>
          <w:szCs w:val="20"/>
        </w:rPr>
        <w:t xml:space="preserve"> </w:t>
      </w:r>
      <w:r>
        <w:rPr>
          <w:spacing w:val="-19"/>
          <w:w w:val="90"/>
          <w:sz w:val="20"/>
          <w:szCs w:val="20"/>
        </w:rPr>
        <w:t>度有关，并一—对应；当桥路平衡检流计指零时，若</w:t>
      </w:r>
      <w:r>
        <w:rPr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9"/>
          <w:w w:val="90"/>
          <w:sz w:val="20"/>
          <w:szCs w:val="20"/>
        </w:rPr>
        <w:t>R</w:t>
      </w:r>
      <w:r>
        <w:rPr>
          <w:spacing w:val="-19"/>
          <w:w w:val="90"/>
          <w:sz w:val="20"/>
          <w:szCs w:val="20"/>
        </w:rPr>
        <w:t>。相同，则分布温度也相同。</w:t>
      </w:r>
    </w:p>
    <w:p>
      <w:pPr>
        <w:pStyle w:val="BodyText"/>
        <w:spacing w:before="42" w:line="220" w:lineRule="auto"/>
        <w:ind w:left="30" w:firstLine="330"/>
        <w:rPr>
          <w:sz w:val="17"/>
          <w:szCs w:val="17"/>
        </w:rPr>
      </w:pPr>
      <w:r>
        <w:rPr>
          <w:spacing w:val="-16"/>
          <w:sz w:val="18"/>
          <w:szCs w:val="18"/>
        </w:rPr>
        <w:t>在实践中，为了消除接收器暗电流等因素的影响，总是</w:t>
      </w:r>
      <w:r>
        <w:rPr>
          <w:spacing w:val="-17"/>
          <w:sz w:val="18"/>
          <w:szCs w:val="18"/>
        </w:rPr>
        <w:t>将</w:t>
      </w:r>
      <w:r>
        <w:rPr>
          <w:spacing w:val="-4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17"/>
          <w:szCs w:val="17"/>
        </w:rPr>
        <w:t>i.</w:t>
      </w:r>
      <w:r>
        <w:rPr>
          <w:rFonts w:ascii="Times New Roman" w:eastAsia="Times New Roman" w:hAnsi="Times New Roman" w:cs="Times New Roman"/>
          <w:spacing w:val="33"/>
          <w:w w:val="101"/>
          <w:sz w:val="17"/>
          <w:szCs w:val="17"/>
        </w:rPr>
        <w:t xml:space="preserve"> </w:t>
      </w:r>
      <w:r>
        <w:rPr>
          <w:spacing w:val="-17"/>
          <w:sz w:val="18"/>
          <w:szCs w:val="18"/>
        </w:rPr>
        <w:t>调到某一固定值</w:t>
      </w:r>
      <w:r>
        <w:rPr>
          <w:rFonts w:ascii="Times New Roman" w:eastAsia="Times New Roman" w:hAnsi="Times New Roman" w:cs="Times New Roman"/>
          <w:spacing w:val="-17"/>
          <w:sz w:val="17"/>
          <w:szCs w:val="17"/>
        </w:rPr>
        <w:t>i</w:t>
      </w:r>
      <w:r>
        <w:rPr>
          <w:spacing w:val="-17"/>
          <w:sz w:val="17"/>
          <w:szCs w:val="17"/>
        </w:rPr>
        <w:t>。后，</w:t>
      </w:r>
      <w:r>
        <w:rPr>
          <w:sz w:val="17"/>
          <w:szCs w:val="17"/>
        </w:rPr>
        <w:t xml:space="preserve"> </w:t>
      </w:r>
      <w:r>
        <w:rPr>
          <w:spacing w:val="-10"/>
          <w:sz w:val="18"/>
          <w:szCs w:val="18"/>
        </w:rPr>
        <w:t xml:space="preserve">再测定红蓝比 </w:t>
      </w:r>
      <w:r>
        <w:rPr>
          <w:rFonts w:ascii="Times New Roman" w:eastAsia="Times New Roman" w:hAnsi="Times New Roman" w:cs="Times New Roman"/>
          <w:spacing w:val="-10"/>
          <w:sz w:val="17"/>
          <w:szCs w:val="17"/>
        </w:rPr>
        <w:t>(R)</w:t>
      </w:r>
      <w:r>
        <w:rPr>
          <w:spacing w:val="-10"/>
          <w:sz w:val="17"/>
          <w:szCs w:val="17"/>
        </w:rPr>
        <w:t>。</w:t>
      </w:r>
    </w:p>
    <w:p>
      <w:pPr>
        <w:pStyle w:val="BodyText"/>
        <w:spacing w:before="53" w:line="219" w:lineRule="auto"/>
        <w:ind w:left="30"/>
        <w:rPr>
          <w:sz w:val="20"/>
          <w:szCs w:val="20"/>
        </w:rPr>
      </w:pPr>
      <w:r>
        <w:rPr>
          <w:spacing w:val="-20"/>
          <w:w w:val="93"/>
          <w:sz w:val="20"/>
          <w:szCs w:val="20"/>
        </w:rPr>
        <w:t>7.1.3</w:t>
      </w:r>
      <w:r>
        <w:rPr>
          <w:spacing w:val="72"/>
          <w:sz w:val="20"/>
          <w:szCs w:val="20"/>
        </w:rPr>
        <w:t xml:space="preserve"> </w:t>
      </w:r>
      <w:r>
        <w:rPr>
          <w:spacing w:val="-20"/>
          <w:w w:val="93"/>
          <w:sz w:val="20"/>
          <w:szCs w:val="20"/>
        </w:rPr>
        <w:t>检定环境条件</w:t>
      </w:r>
    </w:p>
    <w:p>
      <w:pPr>
        <w:pStyle w:val="BodyText"/>
        <w:spacing w:before="21" w:line="233" w:lineRule="auto"/>
        <w:ind w:left="40" w:right="67" w:firstLine="320"/>
        <w:rPr>
          <w:sz w:val="18"/>
          <w:szCs w:val="18"/>
        </w:rPr>
      </w:pPr>
      <w:r>
        <w:rPr>
          <w:spacing w:val="-18"/>
          <w:sz w:val="18"/>
          <w:szCs w:val="18"/>
        </w:rPr>
        <w:t>实验室应是暗室，无震动、无腐蚀性气体；光路周围应用黑绒布作围帐，避免环境</w:t>
      </w:r>
      <w:r>
        <w:rPr>
          <w:spacing w:val="3"/>
          <w:sz w:val="18"/>
          <w:szCs w:val="18"/>
        </w:rPr>
        <w:t xml:space="preserve"> </w:t>
      </w:r>
      <w:r>
        <w:rPr>
          <w:spacing w:val="-18"/>
          <w:w w:val="99"/>
          <w:sz w:val="18"/>
          <w:szCs w:val="18"/>
        </w:rPr>
        <w:t>杂光进入测量装置。</w:t>
      </w:r>
    </w:p>
    <w:p>
      <w:pPr>
        <w:pStyle w:val="BodyText"/>
        <w:spacing w:before="34" w:line="216" w:lineRule="auto"/>
        <w:ind w:left="360"/>
      </w:pPr>
      <w:r>
        <w:rPr>
          <w:spacing w:val="-4"/>
          <w:sz w:val="18"/>
          <w:szCs w:val="18"/>
        </w:rPr>
        <w:t>实验室温度应为(23±2)℃,相对湿度不超过85%</w:t>
      </w:r>
      <w:r>
        <w:rPr>
          <w:rFonts w:ascii="Times New Roman" w:eastAsia="Times New Roman" w:hAnsi="Times New Roman" w:cs="Times New Roman"/>
          <w:spacing w:val="-4"/>
        </w:rPr>
        <w:t>R</w:t>
      </w:r>
      <w:r>
        <w:rPr>
          <w:rFonts w:ascii="Times New Roman" w:eastAsia="Times New Roman" w:hAnsi="Times New Roman" w:cs="Times New Roman"/>
          <w:spacing w:val="-5"/>
        </w:rPr>
        <w:t>H</w:t>
      </w:r>
      <w:r>
        <w:rPr>
          <w:spacing w:val="-5"/>
        </w:rPr>
        <w:t>。</w:t>
      </w:r>
    </w:p>
    <w:p>
      <w:pPr>
        <w:pStyle w:val="BodyText"/>
        <w:spacing w:before="32" w:line="240" w:lineRule="exact"/>
        <w:ind w:left="20"/>
        <w:rPr>
          <w:sz w:val="18"/>
          <w:szCs w:val="18"/>
        </w:rPr>
      </w:pPr>
      <w:r>
        <w:rPr>
          <w:spacing w:val="-11"/>
          <w:position w:val="4"/>
          <w:sz w:val="17"/>
          <w:szCs w:val="17"/>
        </w:rPr>
        <w:t xml:space="preserve">7.2  </w:t>
      </w:r>
      <w:r>
        <w:rPr>
          <w:spacing w:val="-11"/>
          <w:position w:val="4"/>
          <w:sz w:val="18"/>
          <w:szCs w:val="18"/>
        </w:rPr>
        <w:t>检定项目</w:t>
      </w:r>
    </w:p>
    <w:p>
      <w:pPr>
        <w:pStyle w:val="BodyText"/>
        <w:spacing w:line="219" w:lineRule="auto"/>
        <w:ind w:left="350"/>
        <w:rPr>
          <w:sz w:val="18"/>
          <w:szCs w:val="18"/>
        </w:rPr>
      </w:pPr>
      <w:r>
        <w:rPr>
          <w:spacing w:val="-7"/>
          <w:sz w:val="18"/>
          <w:szCs w:val="18"/>
        </w:rPr>
        <w:t>见表4。</w:t>
      </w:r>
    </w:p>
    <w:p>
      <w:pPr>
        <w:spacing w:before="54" w:line="223" w:lineRule="auto"/>
        <w:ind w:left="2940"/>
        <w:rPr>
          <w:rFonts w:ascii="SimHei" w:eastAsia="SimHei" w:hAnsi="SimHei" w:cs="SimHei"/>
          <w:sz w:val="13"/>
          <w:szCs w:val="13"/>
        </w:rPr>
        <w:sectPr>
          <w:headerReference w:type="default" r:id="rId38"/>
          <w:footerReference w:type="default" r:id="rId39"/>
          <w:pgSz w:w="7300" w:h="10460"/>
          <w:pgMar w:top="769" w:right="455" w:bottom="370" w:left="579" w:header="575" w:footer="270" w:gutter="0"/>
          <w:pgNumType w:start="12"/>
          <w:cols w:space="708"/>
        </w:sectPr>
      </w:pPr>
      <w:r>
        <w:rPr>
          <w:rFonts w:ascii="SimHei" w:eastAsia="SimHei" w:hAnsi="SimHei" w:cs="SimHei"/>
          <w:spacing w:val="-4"/>
          <w:sz w:val="13"/>
          <w:szCs w:val="13"/>
        </w:rPr>
        <w:t>表</w:t>
      </w:r>
      <w:r>
        <w:rPr>
          <w:rFonts w:ascii="SimHei" w:eastAsia="SimHei" w:hAnsi="SimHei" w:cs="SimHei"/>
          <w:spacing w:val="8"/>
          <w:sz w:val="13"/>
          <w:szCs w:val="13"/>
        </w:rPr>
        <w:t xml:space="preserve">  </w:t>
      </w:r>
      <w:r>
        <w:rPr>
          <w:rFonts w:ascii="SimHei" w:eastAsia="SimHei" w:hAnsi="SimHei" w:cs="SimHei"/>
          <w:spacing w:val="-4"/>
          <w:sz w:val="13"/>
          <w:szCs w:val="13"/>
        </w:rPr>
        <w:t>4</w:t>
      </w:r>
    </w:p>
    <w:p>
      <w:pPr>
        <w:spacing w:line="53" w:lineRule="exact"/>
      </w:pPr>
    </w:p>
    <w:tbl>
      <w:tblPr>
        <w:tblStyle w:val="TableNormal3"/>
        <w:tblW w:w="6100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62"/>
        <w:gridCol w:w="1557"/>
        <w:gridCol w:w="1558"/>
        <w:gridCol w:w="1423"/>
      </w:tblGrid>
      <w:tr>
        <w:tblPrEx>
          <w:tblW w:w="6100" w:type="dxa"/>
          <w:tblInd w:w="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73"/>
        </w:trPr>
        <w:tc>
          <w:tcPr>
            <w:tcW w:w="1562" w:type="dxa"/>
            <w:vAlign w:val="top"/>
          </w:tcPr>
          <w:p>
            <w:pPr>
              <w:pStyle w:val="TableText"/>
              <w:spacing w:before="70" w:line="219" w:lineRule="auto"/>
              <w:ind w:left="285"/>
            </w:pPr>
            <w:r>
              <w:rPr>
                <w:spacing w:val="3"/>
              </w:rPr>
              <w:t>检定及检查项目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70" w:line="219" w:lineRule="auto"/>
              <w:ind w:left="492"/>
            </w:pPr>
            <w:r>
              <w:rPr>
                <w:spacing w:val="-2"/>
              </w:rPr>
              <w:t>首次检定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70" w:line="219" w:lineRule="auto"/>
              <w:ind w:left="495"/>
            </w:pPr>
            <w:r>
              <w:rPr>
                <w:spacing w:val="-2"/>
              </w:rPr>
              <w:t>后续检定</w:t>
            </w:r>
          </w:p>
        </w:tc>
        <w:tc>
          <w:tcPr>
            <w:tcW w:w="1423" w:type="dxa"/>
            <w:vAlign w:val="top"/>
          </w:tcPr>
          <w:p>
            <w:pPr>
              <w:pStyle w:val="TableText"/>
              <w:spacing w:before="70" w:line="219" w:lineRule="auto"/>
              <w:ind w:left="287"/>
            </w:pPr>
            <w:r>
              <w:rPr>
                <w:spacing w:val="-1"/>
              </w:rPr>
              <w:t>使用中的检验</w:t>
            </w:r>
          </w:p>
        </w:tc>
      </w:tr>
      <w:tr>
        <w:tblPrEx>
          <w:tblW w:w="6100" w:type="dxa"/>
          <w:tblInd w:w="60" w:type="dxa"/>
          <w:tblLayout w:type="fixed"/>
        </w:tblPrEx>
        <w:trPr>
          <w:trHeight w:val="267"/>
        </w:trPr>
        <w:tc>
          <w:tcPr>
            <w:tcW w:w="1562" w:type="dxa"/>
            <w:vAlign w:val="top"/>
          </w:tcPr>
          <w:p>
            <w:pPr>
              <w:pStyle w:val="TableText"/>
              <w:spacing w:before="67" w:line="219" w:lineRule="auto"/>
              <w:ind w:left="494"/>
            </w:pPr>
            <w:r>
              <w:rPr>
                <w:spacing w:val="-2"/>
              </w:rPr>
              <w:t>外观检查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26" w:line="221" w:lineRule="auto"/>
              <w:ind w:left="72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十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6" w:line="141" w:lineRule="exact"/>
              <w:ind w:left="746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+</w:t>
            </w:r>
          </w:p>
        </w:tc>
        <w:tc>
          <w:tcPr>
            <w:tcW w:w="1423" w:type="dxa"/>
            <w:vAlign w:val="top"/>
          </w:tcPr>
          <w:p>
            <w:pPr>
              <w:pStyle w:val="TableText"/>
              <w:spacing w:before="86" w:line="221" w:lineRule="auto"/>
              <w:ind w:left="658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十</w:t>
            </w:r>
          </w:p>
        </w:tc>
      </w:tr>
      <w:tr>
        <w:tblPrEx>
          <w:tblW w:w="6100" w:type="dxa"/>
          <w:tblInd w:w="60" w:type="dxa"/>
          <w:tblLayout w:type="fixed"/>
        </w:tblPrEx>
        <w:trPr>
          <w:trHeight w:val="268"/>
        </w:trPr>
        <w:tc>
          <w:tcPr>
            <w:tcW w:w="1562" w:type="dxa"/>
            <w:vAlign w:val="top"/>
          </w:tcPr>
          <w:p>
            <w:pPr>
              <w:pStyle w:val="TableText"/>
              <w:spacing w:before="70" w:line="219" w:lineRule="auto"/>
              <w:ind w:left="494"/>
            </w:pPr>
            <w:r>
              <w:rPr>
                <w:spacing w:val="-2"/>
              </w:rPr>
              <w:t>量值检定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99" w:line="141" w:lineRule="exact"/>
              <w:ind w:left="743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+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9" w:line="141" w:lineRule="exact"/>
              <w:ind w:left="746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+</w:t>
            </w:r>
          </w:p>
        </w:tc>
        <w:tc>
          <w:tcPr>
            <w:tcW w:w="1423" w:type="dxa"/>
            <w:vAlign w:val="top"/>
          </w:tcPr>
          <w:p>
            <w:pPr>
              <w:pStyle w:val="TableText"/>
              <w:spacing w:before="70" w:line="219" w:lineRule="auto"/>
              <w:ind w:left="157"/>
            </w:pPr>
            <w:r>
              <w:rPr>
                <w:spacing w:val="17"/>
              </w:rPr>
              <w:t>+(仪2856</w:t>
            </w:r>
            <w:r>
              <w:rPr>
                <w:spacing w:val="49"/>
                <w:w w:val="101"/>
              </w:rPr>
              <w:t xml:space="preserve"> </w:t>
            </w:r>
            <w:r>
              <w:rPr>
                <w:spacing w:val="17"/>
              </w:rPr>
              <w:t>K点)</w:t>
            </w:r>
          </w:p>
        </w:tc>
      </w:tr>
      <w:tr>
        <w:tblPrEx>
          <w:tblW w:w="6100" w:type="dxa"/>
          <w:tblInd w:w="60" w:type="dxa"/>
          <w:tblLayout w:type="fixed"/>
        </w:tblPrEx>
        <w:trPr>
          <w:trHeight w:val="268"/>
        </w:trPr>
        <w:tc>
          <w:tcPr>
            <w:tcW w:w="1562" w:type="dxa"/>
            <w:vAlign w:val="top"/>
          </w:tcPr>
          <w:p>
            <w:pPr>
              <w:pStyle w:val="TableText"/>
              <w:spacing w:before="72" w:line="219" w:lineRule="auto"/>
              <w:ind w:left="494"/>
            </w:pPr>
            <w:r>
              <w:rPr>
                <w:spacing w:val="-2"/>
              </w:rPr>
              <w:t>年稳定性</w:t>
            </w:r>
          </w:p>
        </w:tc>
        <w:tc>
          <w:tcPr>
            <w:tcW w:w="1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01" w:line="141" w:lineRule="exact"/>
              <w:ind w:left="746"/>
              <w:rPr>
                <w:sz w:val="10"/>
                <w:szCs w:val="10"/>
              </w:rPr>
            </w:pPr>
            <w:r>
              <w:rPr>
                <w:position w:val="1"/>
                <w:sz w:val="10"/>
                <w:szCs w:val="10"/>
              </w:rPr>
              <w:t>+</w:t>
            </w:r>
          </w:p>
        </w:tc>
        <w:tc>
          <w:tcPr>
            <w:tcW w:w="14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100" w:type="dxa"/>
          <w:tblInd w:w="60" w:type="dxa"/>
          <w:tblLayout w:type="fixed"/>
        </w:tblPrEx>
        <w:trPr>
          <w:trHeight w:val="273"/>
        </w:trPr>
        <w:tc>
          <w:tcPr>
            <w:tcW w:w="6100" w:type="dxa"/>
            <w:gridSpan w:val="4"/>
            <w:vAlign w:val="top"/>
          </w:tcPr>
          <w:p>
            <w:pPr>
              <w:pStyle w:val="TableText"/>
              <w:spacing w:before="74" w:line="219" w:lineRule="auto"/>
              <w:ind w:left="365"/>
            </w:pPr>
            <w:r>
              <w:t>注：“+”表示需要检定的项目，“-”表示不需要检定的项目。</w:t>
            </w:r>
          </w:p>
        </w:tc>
      </w:tr>
    </w:tbl>
    <w:p>
      <w:pPr>
        <w:pStyle w:val="BodyText"/>
        <w:spacing w:before="282" w:line="219" w:lineRule="auto"/>
        <w:rPr>
          <w:sz w:val="18"/>
          <w:szCs w:val="18"/>
        </w:rPr>
      </w:pPr>
      <w:r>
        <w:rPr>
          <w:spacing w:val="-9"/>
        </w:rPr>
        <w:t xml:space="preserve">7.3  </w:t>
      </w:r>
      <w:r>
        <w:rPr>
          <w:spacing w:val="-9"/>
          <w:sz w:val="18"/>
          <w:szCs w:val="18"/>
        </w:rPr>
        <w:t>检定方法</w:t>
      </w:r>
    </w:p>
    <w:p>
      <w:pPr>
        <w:spacing w:line="219" w:lineRule="auto"/>
        <w:rPr>
          <w:sz w:val="18"/>
          <w:szCs w:val="18"/>
        </w:rPr>
        <w:sectPr>
          <w:headerReference w:type="default" r:id="rId40"/>
          <w:footerReference w:type="default" r:id="rId41"/>
          <w:type w:val="nextPage"/>
          <w:pgSz w:w="7300" w:h="10460"/>
          <w:pgMar w:top="769" w:right="455" w:bottom="370" w:left="579" w:header="575" w:footer="270" w:gutter="0"/>
          <w:pgNumType w:start="13"/>
          <w:cols w:space="708"/>
          <w:titlePg w:val="0"/>
        </w:sectPr>
      </w:pPr>
    </w:p>
    <w:p>
      <w:pPr>
        <w:pStyle w:val="BodyText"/>
        <w:spacing w:before="145" w:line="260" w:lineRule="auto"/>
        <w:ind w:right="79" w:firstLine="2"/>
      </w:pPr>
      <w:r>
        <w:rPr>
          <w:b/>
          <w:bCs/>
          <w:spacing w:val="3"/>
        </w:rPr>
        <w:t>7.3.1</w:t>
      </w:r>
      <w:r>
        <w:rPr>
          <w:spacing w:val="3"/>
        </w:rPr>
        <w:t xml:space="preserve">  灯的外观检查：将被检灯的泡壳清洁后，以洁白纱布或纸张作背景，在明亮白</w:t>
      </w:r>
      <w:r>
        <w:rPr>
          <w:spacing w:val="6"/>
        </w:rPr>
        <w:t xml:space="preserve"> </w:t>
      </w:r>
      <w:r>
        <w:rPr>
          <w:spacing w:val="6"/>
        </w:rPr>
        <w:t>光照明下，目视检查外观，应符合6.1和6.2的要求。</w:t>
      </w:r>
    </w:p>
    <w:p>
      <w:pPr>
        <w:pStyle w:val="BodyText"/>
        <w:spacing w:before="70" w:line="219" w:lineRule="auto"/>
      </w:pPr>
      <w:r>
        <w:rPr>
          <w:spacing w:val="-5"/>
        </w:rPr>
        <w:t>7.3.2  量值检定：</w:t>
      </w:r>
    </w:p>
    <w:p>
      <w:pPr>
        <w:pStyle w:val="BodyText"/>
        <w:spacing w:before="59" w:line="260" w:lineRule="auto"/>
        <w:ind w:left="2" w:right="889" w:firstLine="327"/>
      </w:pPr>
      <w:r>
        <w:rPr>
          <w:spacing w:val="1"/>
        </w:rPr>
        <w:t>对每只被检灯一般应检定三个点，并计算出内插公式及相关系数的值。</w:t>
      </w:r>
      <w:r>
        <w:rPr>
          <w:spacing w:val="8"/>
        </w:rPr>
        <w:t xml:space="preserve"> </w:t>
      </w:r>
      <w:hyperlink r:id="rId42" w:history="1">
        <w:r>
          <w:rPr>
            <w:b/>
            <w:bCs/>
            <w:spacing w:val="-1"/>
          </w:rPr>
          <w:t>7.3.2.1</w:t>
        </w:r>
      </w:hyperlink>
      <w:r>
        <w:rPr>
          <w:spacing w:val="-1"/>
        </w:rPr>
        <w:t xml:space="preserve">  用光谱辐射照度测量装置检定</w:t>
      </w:r>
    </w:p>
    <w:p>
      <w:pPr>
        <w:pStyle w:val="BodyText"/>
        <w:spacing w:before="50" w:line="219" w:lineRule="auto"/>
        <w:ind w:left="330"/>
      </w:pPr>
      <w:r>
        <w:rPr>
          <w:spacing w:val="17"/>
        </w:rPr>
        <w:t>1)装置的调整(见图1)</w:t>
      </w:r>
    </w:p>
    <w:p>
      <w:pPr>
        <w:pStyle w:val="BodyText"/>
        <w:spacing w:before="52" w:line="286" w:lineRule="auto"/>
        <w:ind w:firstLine="330"/>
      </w:pPr>
      <w:r>
        <w:rPr>
          <w:spacing w:val="4"/>
        </w:rPr>
        <w:t>首先将单色仪及导轨调整水平，并使两条导轨</w:t>
      </w:r>
      <w:r>
        <w:rPr>
          <w:spacing w:val="3"/>
        </w:rPr>
        <w:t>的轴线垂直。调节漫反射板、透镜、</w:t>
      </w:r>
      <w:r>
        <w:t xml:space="preserve"> </w:t>
      </w:r>
      <w:r>
        <w:rPr>
          <w:spacing w:val="2"/>
        </w:rPr>
        <w:t>人射狭缝三者中心在同一条水平轴线上，并与单色仪的内光轴重</w:t>
      </w:r>
      <w:r>
        <w:rPr>
          <w:spacing w:val="1"/>
        </w:rPr>
        <w:t>合。改变透镜到漫射板</w:t>
      </w:r>
      <w:r>
        <w:t xml:space="preserve">  </w:t>
      </w:r>
      <w:r>
        <w:rPr>
          <w:spacing w:val="4"/>
        </w:rPr>
        <w:t>之间的距离，使漫射板中心按1:1左右清晰成像在入射狭缝上，并均匀充满</w:t>
      </w:r>
      <w:r>
        <w:rPr>
          <w:spacing w:val="3"/>
        </w:rPr>
        <w:t>单色仪内的</w:t>
      </w:r>
      <w:r>
        <w:t xml:space="preserve">  </w:t>
      </w:r>
      <w:r>
        <w:rPr>
          <w:spacing w:val="2"/>
        </w:rPr>
        <w:t>第一个准直镜。调整孔径光阑、快门、漫射板的中心，使在同一水</w:t>
      </w:r>
      <w:r>
        <w:rPr>
          <w:spacing w:val="1"/>
        </w:rPr>
        <w:t>平轴线上；调整灯丝</w:t>
      </w:r>
      <w:r>
        <w:t xml:space="preserve">  </w:t>
      </w:r>
      <w:r>
        <w:rPr>
          <w:spacing w:val="4"/>
        </w:rPr>
        <w:t>平面与该轴线垂直并通过灯丝平面中心。调整漫射板转角</w:t>
      </w:r>
      <w:r>
        <w:rPr>
          <w:spacing w:val="3"/>
        </w:rPr>
        <w:t>，当转向比较灯或标准灯时，</w:t>
      </w:r>
      <w:r>
        <w:t xml:space="preserve"> </w:t>
      </w:r>
      <w:r>
        <w:rPr>
          <w:spacing w:val="2"/>
        </w:rPr>
        <w:t>漫射板平面与测光轴的夹角均为45°。杂散光的屏蔽：导轨周围</w:t>
      </w:r>
      <w:r>
        <w:rPr>
          <w:spacing w:val="1"/>
        </w:rPr>
        <w:t>用黑绒布作围帐，在灯</w:t>
      </w:r>
      <w:r>
        <w:t xml:space="preserve">  </w:t>
      </w:r>
      <w:r>
        <w:rPr>
          <w:spacing w:val="2"/>
        </w:rPr>
        <w:t>与漫射板之间，放置适当个数的孔径光阑，以屏蔽杂散光，但不得遮挡任何</w:t>
      </w:r>
      <w:r>
        <w:rPr>
          <w:spacing w:val="1"/>
        </w:rPr>
        <w:t>部位灯丝的</w:t>
      </w:r>
      <w:r>
        <w:t xml:space="preserve">  </w:t>
      </w:r>
      <w:r>
        <w:rPr>
          <w:spacing w:val="2"/>
        </w:rPr>
        <w:t>发射光。单色仪的波长鼓应使用低气压</w:t>
      </w:r>
      <w:r>
        <w:rPr>
          <w:rFonts w:ascii="Times New Roman" w:eastAsia="Times New Roman" w:hAnsi="Times New Roman" w:cs="Times New Roman"/>
        </w:rPr>
        <w:t>Hg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2"/>
        </w:rPr>
        <w:t>、</w:t>
      </w:r>
      <w:r>
        <w:rPr>
          <w:rFonts w:ascii="Times New Roman" w:eastAsia="Times New Roman" w:hAnsi="Times New Roman" w:cs="Times New Roman"/>
        </w:rPr>
        <w:t>Cd</w:t>
      </w:r>
      <w:r>
        <w:rPr>
          <w:spacing w:val="2"/>
        </w:rPr>
        <w:t>灯等进行校准，并</w:t>
      </w:r>
      <w:r>
        <w:rPr>
          <w:spacing w:val="1"/>
        </w:rPr>
        <w:t>作出校准曲线。</w:t>
      </w:r>
    </w:p>
    <w:p>
      <w:pPr>
        <w:pStyle w:val="BodyText"/>
        <w:spacing w:before="74" w:line="219" w:lineRule="auto"/>
        <w:ind w:left="330"/>
      </w:pPr>
      <w:r>
        <w:rPr>
          <w:spacing w:val="9"/>
        </w:rPr>
        <w:t>2)操作步骤</w:t>
      </w:r>
    </w:p>
    <w:p>
      <w:pPr>
        <w:pStyle w:val="BodyText"/>
        <w:spacing w:before="60" w:line="259" w:lineRule="auto"/>
        <w:ind w:right="66" w:firstLine="330"/>
      </w:pPr>
      <w:r>
        <w:rPr>
          <w:spacing w:val="2"/>
        </w:rPr>
        <w:t>灯的安装：安装时戴洁白手套或垫以洁净的纱布，灯头在下</w:t>
      </w:r>
      <w:r>
        <w:rPr>
          <w:spacing w:val="1"/>
        </w:rPr>
        <w:t>，小心旋紧，使灯头与</w:t>
      </w:r>
      <w:r>
        <w:t xml:space="preserve"> </w:t>
      </w:r>
      <w:r>
        <w:rPr>
          <w:spacing w:val="1"/>
        </w:rPr>
        <w:t>灯座之间有牢固的机械支撑及良好的电接触。</w:t>
      </w:r>
    </w:p>
    <w:p>
      <w:pPr>
        <w:pStyle w:val="BodyText"/>
        <w:spacing w:before="63" w:line="281" w:lineRule="auto"/>
        <w:ind w:firstLine="330"/>
      </w:pPr>
      <w:r>
        <w:rPr>
          <w:spacing w:val="2"/>
        </w:rPr>
        <w:t>灯的点燃：分别将比较灯和标准灯安装在漫反射</w:t>
      </w:r>
      <w:r>
        <w:rPr>
          <w:spacing w:val="1"/>
        </w:rPr>
        <w:t>板两侧的灯架上点燃。灯的供电及</w:t>
      </w:r>
      <w:r>
        <w:t xml:space="preserve">  </w:t>
      </w:r>
      <w:r>
        <w:rPr>
          <w:spacing w:val="10"/>
        </w:rPr>
        <w:t>电测线路分别如图3、图4所示，其中电压测量线必须单独从灯头处接出，在图3</w:t>
      </w:r>
      <w:r>
        <w:rPr>
          <w:spacing w:val="9"/>
        </w:rPr>
        <w:t>中，</w:t>
      </w:r>
      <w:r>
        <w:t xml:space="preserve"> </w:t>
      </w:r>
      <w:r>
        <w:rPr>
          <w:spacing w:val="2"/>
        </w:rPr>
        <w:t>测灯电流时应断开电压表。测量前，灯应在给定电流下预燃，对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</w:rPr>
        <w:t>BDQ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型灯至少需要5~</w:t>
      </w:r>
      <w:r>
        <w:t xml:space="preserve">  </w:t>
      </w:r>
      <w:r>
        <w:rPr>
          <w:rFonts w:ascii="Times New Roman" w:eastAsia="Times New Roman" w:hAnsi="Times New Roman" w:cs="Times New Roman"/>
          <w:spacing w:val="6"/>
        </w:rPr>
        <w:t>8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6"/>
        </w:rPr>
        <w:t>,</w:t>
      </w:r>
      <w:r>
        <w:rPr>
          <w:rFonts w:ascii="Times New Roman" w:eastAsia="Times New Roman" w:hAnsi="Times New Roman" w:cs="Times New Roman"/>
        </w:rPr>
        <w:t>BFZ</w:t>
      </w:r>
      <w:r>
        <w:rPr>
          <w:rFonts w:ascii="Times New Roman" w:eastAsia="Times New Roman" w:hAnsi="Times New Roman" w:cs="Times New Roman"/>
          <w:spacing w:val="12"/>
          <w:w w:val="101"/>
        </w:rPr>
        <w:t xml:space="preserve">   </w:t>
      </w:r>
      <w:r>
        <w:rPr>
          <w:spacing w:val="6"/>
        </w:rPr>
        <w:t>型灯至少需要(10～15)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6"/>
        </w:rPr>
        <w:t>。对于直流点燃的灯，每点燃2</w:t>
      </w:r>
      <w:r>
        <w:rPr>
          <w:rFonts w:ascii="Times New Roman" w:eastAsia="Times New Roman" w:hAnsi="Times New Roman" w:cs="Times New Roman"/>
          <w:spacing w:val="6"/>
        </w:rPr>
        <w:t xml:space="preserve">h </w:t>
      </w:r>
      <w:r>
        <w:rPr>
          <w:spacing w:val="6"/>
        </w:rPr>
        <w:t>左右应交</w:t>
      </w:r>
      <w:r>
        <w:rPr>
          <w:spacing w:val="5"/>
        </w:rPr>
        <w:t>换-</w:t>
      </w:r>
      <w:r>
        <w:t xml:space="preserve">   </w:t>
      </w:r>
      <w:r>
        <w:rPr>
          <w:spacing w:val="-5"/>
        </w:rPr>
        <w:t>次供电极性。</w:t>
      </w:r>
    </w:p>
    <w:p>
      <w:pPr>
        <w:pStyle w:val="BodyText"/>
        <w:spacing w:before="50" w:line="260" w:lineRule="auto"/>
        <w:ind w:right="67" w:firstLine="330"/>
      </w:pPr>
      <w:r>
        <w:rPr>
          <w:spacing w:val="6"/>
        </w:rPr>
        <w:t>灯点燃和熄灭时，应缓慢升降电压；使用中不得超过额定电流的3%或额定电压的</w:t>
      </w:r>
      <w:r>
        <w:rPr>
          <w:spacing w:val="5"/>
        </w:rPr>
        <w:t xml:space="preserve"> </w:t>
      </w:r>
      <w:r>
        <w:rPr>
          <w:spacing w:val="5"/>
        </w:rPr>
        <w:t>5%点燃，并应特别注意防止和减少灯的震动。</w:t>
      </w:r>
    </w:p>
    <w:p>
      <w:pPr>
        <w:pStyle w:val="BodyText"/>
        <w:spacing w:before="60" w:line="212" w:lineRule="auto"/>
        <w:ind w:left="330"/>
      </w:pPr>
      <w:r>
        <w:rPr>
          <w:spacing w:val="2"/>
        </w:rPr>
        <w:t xml:space="preserve">仪器预热：灯电源预热0.5 </w:t>
      </w:r>
      <w:r>
        <w:rPr>
          <w:rFonts w:ascii="Times New Roman" w:eastAsia="Times New Roman" w:hAnsi="Times New Roman" w:cs="Times New Roman"/>
          <w:spacing w:val="2"/>
        </w:rPr>
        <w:t>h,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2"/>
        </w:rPr>
        <w:t xml:space="preserve">光接收器在一定输出下预照0.5 </w:t>
      </w:r>
      <w:r>
        <w:rPr>
          <w:rFonts w:ascii="Times New Roman" w:eastAsia="Times New Roman" w:hAnsi="Times New Roman" w:cs="Times New Roman"/>
          <w:spacing w:val="1"/>
        </w:rPr>
        <w:t>h</w:t>
      </w:r>
      <w:r>
        <w:rPr>
          <w:spacing w:val="1"/>
        </w:rPr>
        <w:t>。</w:t>
      </w:r>
    </w:p>
    <w:p>
      <w:pPr>
        <w:pStyle w:val="BodyText"/>
        <w:spacing w:before="74" w:line="255" w:lineRule="auto"/>
        <w:ind w:right="44" w:firstLine="330"/>
      </w:pPr>
      <w:r>
        <w:rPr>
          <w:spacing w:val="11"/>
        </w:rPr>
        <w:t xml:space="preserve">测量波长选定：可选用460,500,560,600,660 </w:t>
      </w:r>
      <w:r>
        <w:rPr>
          <w:rFonts w:ascii="Times New Roman" w:eastAsia="Times New Roman" w:hAnsi="Times New Roman" w:cs="Times New Roman"/>
        </w:rPr>
        <w:t>nm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11"/>
        </w:rPr>
        <w:t>五个波长；或者(400～7</w:t>
      </w:r>
      <w:r>
        <w:rPr>
          <w:spacing w:val="10"/>
        </w:rPr>
        <w:t>00)</w:t>
      </w:r>
      <w:r>
        <w:t xml:space="preserve"> </w:t>
      </w:r>
      <w:r>
        <w:t>nm</w:t>
      </w:r>
      <w:r>
        <w:rPr>
          <w:spacing w:val="-9"/>
        </w:rPr>
        <w:t xml:space="preserve"> </w:t>
      </w:r>
      <w:r>
        <w:rPr>
          <w:spacing w:val="3"/>
        </w:rPr>
        <w:t xml:space="preserve">范围每间隔10 </w:t>
      </w:r>
      <w:r>
        <w:t>nm</w:t>
      </w:r>
      <w:r>
        <w:rPr>
          <w:spacing w:val="-15"/>
        </w:rPr>
        <w:t xml:space="preserve"> </w:t>
      </w:r>
      <w:r>
        <w:rPr>
          <w:spacing w:val="3"/>
        </w:rPr>
        <w:t>选定一个波长点，共31个。</w:t>
      </w:r>
    </w:p>
    <w:p>
      <w:pPr>
        <w:pStyle w:val="BodyText"/>
        <w:spacing w:before="81" w:line="220" w:lineRule="auto"/>
        <w:ind w:left="330"/>
      </w:pPr>
      <w:r>
        <w:rPr>
          <w:spacing w:val="9"/>
        </w:rPr>
        <w:t>3)测量顺序</w:t>
      </w:r>
    </w:p>
    <w:p>
      <w:pPr>
        <w:pStyle w:val="BodyText"/>
        <w:spacing w:before="59" w:line="219" w:lineRule="auto"/>
        <w:ind w:left="330"/>
      </w:pPr>
      <w:r>
        <w:rPr>
          <w:spacing w:val="1"/>
        </w:rPr>
        <w:t>先用标准灯组标定比较灯，再用比较灯标定被检灯。</w:t>
      </w:r>
    </w:p>
    <w:p>
      <w:pPr>
        <w:pStyle w:val="BodyText"/>
        <w:spacing w:before="60" w:line="271" w:lineRule="auto"/>
        <w:ind w:right="70" w:firstLine="330"/>
        <w:sectPr>
          <w:headerReference w:type="default" r:id="rId43"/>
          <w:footerReference w:type="default" r:id="rId44"/>
          <w:pgSz w:w="7260" w:h="10420"/>
          <w:pgMar w:top="670" w:right="510" w:bottom="389" w:left="529" w:header="474" w:footer="290" w:gutter="0"/>
          <w:pgNumType w:start="14"/>
          <w:cols w:space="708"/>
        </w:sectPr>
      </w:pPr>
      <w:r>
        <w:rPr>
          <w:spacing w:val="2"/>
        </w:rPr>
        <w:t>用标准灯组标定比较灯：固定标准灯在导轨一侧，</w:t>
      </w:r>
      <w:r>
        <w:rPr>
          <w:spacing w:val="1"/>
        </w:rPr>
        <w:t>比较灯在导轨的另一侧。标准灯</w:t>
      </w:r>
      <w:r>
        <w:t xml:space="preserve"> </w:t>
      </w:r>
      <w:r>
        <w:rPr>
          <w:spacing w:val="6"/>
        </w:rPr>
        <w:t>点燃在给定的分布温度值下，比较灯点燃在分布温度值与标准灯大致相同的某一电流</w:t>
      </w:r>
      <w:r>
        <w:rPr>
          <w:spacing w:val="3"/>
        </w:rPr>
        <w:t xml:space="preserve"> </w:t>
      </w:r>
    </w:p>
    <w:p>
      <w:pPr>
        <w:pStyle w:val="BodyText"/>
        <w:spacing w:before="60" w:line="271" w:lineRule="auto"/>
        <w:ind w:right="70" w:firstLine="330"/>
      </w:pPr>
      <w:r>
        <w:rPr>
          <w:spacing w:val="2"/>
        </w:rPr>
        <w:t>下。首次用全组标准灯标定比较灯，且以后每年一次。以三只标准</w:t>
      </w:r>
      <w:r>
        <w:rPr>
          <w:spacing w:val="1"/>
        </w:rPr>
        <w:t>灯为例，其标准灯一</w:t>
      </w:r>
      <w:r>
        <w:t xml:space="preserve"> </w:t>
      </w:r>
      <w:r>
        <w:rPr>
          <w:spacing w:val="-1"/>
        </w:rPr>
        <w:t>侧的测量顺序如下：</w:t>
      </w:r>
    </w:p>
    <w:p>
      <w:pPr>
        <w:pStyle w:val="BodyText"/>
        <w:spacing w:before="78" w:line="216" w:lineRule="auto"/>
        <w:ind w:left="1420"/>
      </w:pPr>
      <w:r>
        <w:rPr>
          <w:spacing w:val="16"/>
        </w:rPr>
        <w:t>标准灯#1,#2,#3</w:t>
      </w:r>
      <w:r>
        <w:rPr>
          <w:spacing w:val="-45"/>
        </w:rPr>
        <w:t xml:space="preserve"> </w:t>
      </w:r>
      <w:r>
        <w:rPr>
          <w:spacing w:val="16"/>
        </w:rPr>
        <w:t>—</w:t>
      </w:r>
      <w:r>
        <w:rPr>
          <w:spacing w:val="-47"/>
        </w:rPr>
        <w:t xml:space="preserve"> </w:t>
      </w:r>
      <w:r>
        <w:rPr>
          <w:spacing w:val="16"/>
        </w:rPr>
        <w:t>—</w:t>
      </w:r>
      <w:r>
        <w:rPr>
          <w:spacing w:val="-44"/>
        </w:rPr>
        <w:t xml:space="preserve"> </w:t>
      </w:r>
      <w:r>
        <w:rPr>
          <w:spacing w:val="16"/>
        </w:rPr>
        <w:t>标准灯#3, #2,#1</w:t>
      </w:r>
    </w:p>
    <w:p>
      <w:pPr>
        <w:pStyle w:val="BodyText"/>
        <w:spacing w:before="64" w:line="266" w:lineRule="auto"/>
        <w:ind w:right="72" w:firstLine="330"/>
      </w:pPr>
      <w:r>
        <w:rPr>
          <w:spacing w:val="2"/>
        </w:rPr>
        <w:t>当比较灯电流固定时，前后得到比较灯的分布</w:t>
      </w:r>
      <w:r>
        <w:rPr>
          <w:spacing w:val="1"/>
        </w:rPr>
        <w:t>温度值共六个，其最大差值，应不超</w:t>
      </w:r>
      <w:r>
        <w:t xml:space="preserve"> </w:t>
      </w:r>
      <w:r>
        <w:rPr>
          <w:spacing w:val="4"/>
        </w:rPr>
        <w:t>过表5的规定，并取平均值为其结果。</w:t>
      </w:r>
    </w:p>
    <w:p>
      <w:pPr>
        <w:spacing w:line="266" w:lineRule="auto"/>
        <w:sectPr>
          <w:headerReference w:type="default" r:id="rId45"/>
          <w:footerReference w:type="default" r:id="rId46"/>
          <w:type w:val="nextPage"/>
          <w:pgSz w:w="7260" w:h="10420"/>
          <w:pgMar w:top="670" w:right="510" w:bottom="389" w:left="529" w:header="474" w:footer="290" w:gutter="0"/>
          <w:pgNumType w:start="15"/>
          <w:cols w:space="708"/>
          <w:titlePg w:val="0"/>
        </w:sectPr>
      </w:pPr>
    </w:p>
    <w:p>
      <w:pPr>
        <w:spacing w:before="119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9.3pt;height:25.9pt;margin-top:83.24pt;margin-left:121pt;mso-position-horizontal-relative:page;mso-position-vertical-relative:page;position:absolute;z-index:25166131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标 准 灯</w:t>
                  </w:r>
                </w:p>
              </w:txbxContent>
            </v:textbox>
          </v:shape>
        </w:pict>
      </w:r>
    </w:p>
    <w:p>
      <w:pPr>
        <w:sectPr>
          <w:headerReference w:type="default" r:id="rId47"/>
          <w:footerReference w:type="default" r:id="rId48"/>
          <w:pgSz w:w="7260" w:h="10420"/>
          <w:pgMar w:top="629" w:right="430" w:bottom="454" w:left="620" w:header="450" w:footer="335" w:gutter="0"/>
          <w:pgNumType w:start="16"/>
          <w:cols w:num="1" w:space="708" w:equalWidth="0">
            <w:col w:w="6210" w:space="0"/>
          </w:cols>
        </w:sectPr>
      </w:pPr>
    </w:p>
    <w:p>
      <w:pPr>
        <w:pStyle w:val="BodyText"/>
        <w:spacing w:before="124" w:line="221" w:lineRule="auto"/>
        <w:ind w:left="1299"/>
        <w:rPr>
          <w:sz w:val="12"/>
          <w:szCs w:val="1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666758</wp:posOffset>
            </wp:positionH>
            <wp:positionV relativeFrom="paragraph">
              <wp:posOffset>-64225</wp:posOffset>
            </wp:positionV>
            <wp:extent cx="2628909" cy="1555784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28909" cy="1555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sz w:val="12"/>
          <w:szCs w:val="12"/>
        </w:rPr>
        <w:t>可变电阻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3" w:line="220" w:lineRule="auto"/>
        <w:ind w:left="720"/>
        <w:rPr>
          <w:sz w:val="12"/>
          <w:szCs w:val="12"/>
        </w:rPr>
      </w:pPr>
      <w:r>
        <w:rPr>
          <w:spacing w:val="-3"/>
          <w:sz w:val="12"/>
          <w:szCs w:val="12"/>
        </w:rPr>
        <w:t>开</w:t>
      </w:r>
      <w:r>
        <w:rPr>
          <w:spacing w:val="-13"/>
          <w:sz w:val="12"/>
          <w:szCs w:val="12"/>
        </w:rPr>
        <w:t xml:space="preserve"> </w:t>
      </w:r>
      <w:r>
        <w:rPr>
          <w:spacing w:val="-3"/>
          <w:sz w:val="12"/>
          <w:szCs w:val="12"/>
        </w:rPr>
        <w:t>关</w:t>
      </w:r>
    </w:p>
    <w:p>
      <w:pPr>
        <w:spacing w:before="25" w:line="222" w:lineRule="auto"/>
        <w:rPr>
          <w:rFonts w:ascii="FangSong" w:eastAsia="FangSong" w:hAnsi="FangSong" w:cs="FangSong"/>
          <w:sz w:val="12"/>
          <w:szCs w:val="12"/>
        </w:rPr>
      </w:pPr>
      <w:r>
        <w:rPr>
          <w:rFonts w:ascii="FangSong" w:eastAsia="FangSong" w:hAnsi="FangSong" w:cs="FangSong"/>
          <w:spacing w:val="9"/>
          <w:sz w:val="12"/>
          <w:szCs w:val="12"/>
        </w:rPr>
        <w:t>灯电流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33" w:line="184" w:lineRule="auto"/>
        <w:ind w:left="9"/>
        <w:rPr>
          <w:sz w:val="12"/>
          <w:szCs w:val="12"/>
        </w:rPr>
      </w:pPr>
      <w:r>
        <w:rPr>
          <w:spacing w:val="8"/>
          <w:sz w:val="12"/>
          <w:szCs w:val="12"/>
        </w:rPr>
        <w:t>灯电压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22" w:line="222" w:lineRule="auto"/>
        <w:rPr>
          <w:rFonts w:ascii="SimHei" w:eastAsia="SimHei" w:hAnsi="SimHei" w:cs="SimHei"/>
          <w:sz w:val="12"/>
          <w:szCs w:val="12"/>
        </w:rPr>
      </w:pPr>
      <w:r>
        <w:rPr>
          <w:rFonts w:ascii="SimHei" w:eastAsia="SimHei" w:hAnsi="SimHei" w:cs="SimHei"/>
          <w:spacing w:val="8"/>
          <w:sz w:val="12"/>
          <w:szCs w:val="12"/>
        </w:rPr>
        <w:t>分压箱</w:t>
      </w:r>
    </w:p>
    <w:p>
      <w:pPr>
        <w:spacing w:line="222" w:lineRule="auto"/>
        <w:rPr>
          <w:rFonts w:ascii="SimHei" w:eastAsia="SimHei" w:hAnsi="SimHei" w:cs="SimHei"/>
          <w:sz w:val="12"/>
          <w:szCs w:val="12"/>
        </w:rPr>
        <w:sectPr>
          <w:headerReference w:type="default" r:id="rId50"/>
          <w:footerReference w:type="default" r:id="rId51"/>
          <w:type w:val="continuous"/>
          <w:pgSz w:w="7260" w:h="10420"/>
          <w:pgMar w:top="629" w:right="430" w:bottom="454" w:left="620" w:header="450" w:footer="335" w:gutter="0"/>
          <w:pgNumType w:start="17"/>
          <w:cols w:num="4" w:space="708" w:equalWidth="0">
            <w:col w:w="2440" w:space="100"/>
            <w:col w:w="1281" w:space="100"/>
            <w:col w:w="720" w:space="0"/>
            <w:col w:w="1570" w:space="0"/>
          </w:cols>
        </w:sectPr>
      </w:pPr>
    </w:p>
    <w:p>
      <w:pPr>
        <w:spacing w:before="73"/>
      </w:pPr>
    </w:p>
    <w:p>
      <w:pPr>
        <w:sectPr>
          <w:headerReference w:type="default" r:id="rId52"/>
          <w:footerReference w:type="default" r:id="rId53"/>
          <w:type w:val="continuous"/>
          <w:pgSz w:w="7260" w:h="10420"/>
          <w:pgMar w:top="629" w:right="430" w:bottom="454" w:left="620" w:header="450" w:footer="335" w:gutter="0"/>
          <w:pgNumType w:start="18"/>
          <w:cols w:num="1" w:space="708" w:equalWidth="0">
            <w:col w:w="6210" w:space="0"/>
          </w:cols>
        </w:sectPr>
      </w:pPr>
    </w:p>
    <w:p>
      <w:pPr>
        <w:pStyle w:val="BodyText"/>
        <w:spacing w:before="266" w:line="274" w:lineRule="auto"/>
        <w:ind w:left="1240" w:right="144"/>
        <w:jc w:val="both"/>
        <w:rPr>
          <w:sz w:val="12"/>
          <w:szCs w:val="12"/>
        </w:rPr>
      </w:pPr>
      <w:r>
        <w:rPr>
          <w:spacing w:val="7"/>
          <w:sz w:val="12"/>
          <w:szCs w:val="12"/>
        </w:rPr>
        <w:t>直流</w:t>
      </w:r>
      <w:r>
        <w:rPr>
          <w:sz w:val="12"/>
          <w:szCs w:val="12"/>
        </w:rPr>
        <w:t xml:space="preserve"> </w:t>
      </w:r>
      <w:r>
        <w:rPr>
          <w:rFonts w:ascii="SimHei" w:eastAsia="SimHei" w:hAnsi="SimHei" w:cs="SimHei"/>
          <w:spacing w:val="-2"/>
          <w:sz w:val="12"/>
          <w:szCs w:val="12"/>
        </w:rPr>
        <w:t>稳定</w:t>
      </w:r>
      <w:r>
        <w:rPr>
          <w:rFonts w:ascii="SimHei" w:eastAsia="SimHei" w:hAnsi="SimHei" w:cs="SimHei"/>
          <w:sz w:val="12"/>
          <w:szCs w:val="12"/>
        </w:rPr>
        <w:t xml:space="preserve"> </w:t>
      </w:r>
      <w:r>
        <w:rPr>
          <w:spacing w:val="7"/>
          <w:sz w:val="12"/>
          <w:szCs w:val="12"/>
        </w:rPr>
        <w:t>电源</w:t>
      </w:r>
    </w:p>
    <w:p>
      <w:pPr>
        <w:pStyle w:val="BodyText"/>
        <w:spacing w:before="210" w:line="113" w:lineRule="exact"/>
        <w:ind w:left="1139"/>
        <w:rPr>
          <w:sz w:val="8"/>
          <w:szCs w:val="8"/>
        </w:rPr>
      </w:pPr>
      <w:r>
        <w:rPr>
          <w:sz w:val="8"/>
          <w:szCs w:val="8"/>
        </w:rPr>
        <w:t>+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39" w:line="215" w:lineRule="auto"/>
        <w:rPr>
          <w:rFonts w:ascii="SimHei" w:eastAsia="SimHei" w:hAnsi="SimHei" w:cs="SimHei"/>
          <w:sz w:val="12"/>
          <w:szCs w:val="12"/>
        </w:rPr>
      </w:pPr>
      <w:r>
        <w:rPr>
          <w:rFonts w:ascii="SimHei" w:eastAsia="SimHei" w:hAnsi="SimHei" w:cs="SimHei"/>
          <w:spacing w:val="15"/>
          <w:sz w:val="12"/>
          <w:szCs w:val="12"/>
        </w:rPr>
        <w:t>标准</w:t>
      </w:r>
    </w:p>
    <w:p>
      <w:pPr>
        <w:spacing w:line="223" w:lineRule="auto"/>
        <w:ind w:left="19"/>
        <w:rPr>
          <w:rFonts w:ascii="SimHei" w:eastAsia="SimHei" w:hAnsi="SimHei" w:cs="SimHei"/>
          <w:sz w:val="12"/>
          <w:szCs w:val="12"/>
        </w:rPr>
      </w:pPr>
      <w:r>
        <w:rPr>
          <w:rFonts w:ascii="SimHei" w:eastAsia="SimHei" w:hAnsi="SimHei" w:cs="SimHei"/>
          <w:spacing w:val="-4"/>
          <w:sz w:val="12"/>
          <w:szCs w:val="12"/>
        </w:rPr>
        <w:t>电阻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4" w:line="183" w:lineRule="auto"/>
        <w:ind w:left="59"/>
        <w:rPr>
          <w:sz w:val="12"/>
          <w:szCs w:val="12"/>
        </w:rPr>
      </w:pPr>
      <w:r>
        <w:rPr>
          <w:sz w:val="12"/>
          <w:szCs w:val="12"/>
        </w:rPr>
        <w:t>0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35" w:line="198" w:lineRule="auto"/>
        <w:ind w:left="59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z w:val="12"/>
          <w:szCs w:val="12"/>
        </w:rPr>
        <w:t>O</w:t>
      </w:r>
    </w:p>
    <w:p>
      <w:pPr>
        <w:pStyle w:val="BodyText"/>
        <w:spacing w:before="151" w:line="339" w:lineRule="exact"/>
        <w:ind w:left="59"/>
        <w:rPr>
          <w:rFonts w:ascii="Arial" w:eastAsia="Arial" w:hAnsi="Arial" w:cs="Arial"/>
          <w:sz w:val="19"/>
          <w:szCs w:val="19"/>
        </w:rPr>
      </w:pPr>
      <w:r>
        <w:rPr>
          <w:spacing w:val="-3"/>
          <w:position w:val="17"/>
          <w:sz w:val="12"/>
          <w:szCs w:val="12"/>
        </w:rPr>
        <w:t>0</w:t>
      </w:r>
      <w:r>
        <w:rPr>
          <w:position w:val="17"/>
          <w:sz w:val="12"/>
          <w:szCs w:val="12"/>
        </w:rPr>
        <w:t xml:space="preserve">           </w:t>
      </w:r>
      <w:r>
        <w:rPr>
          <w:rFonts w:ascii="Arial" w:eastAsia="Arial" w:hAnsi="Arial" w:cs="Arial"/>
          <w:spacing w:val="-3"/>
          <w:position w:val="17"/>
          <w:sz w:val="19"/>
          <w:szCs w:val="19"/>
        </w:rPr>
        <w:t>a</w:t>
      </w:r>
    </w:p>
    <w:p>
      <w:pPr>
        <w:pStyle w:val="BodyText"/>
        <w:spacing w:before="1" w:line="184" w:lineRule="auto"/>
        <w:rPr>
          <w:sz w:val="12"/>
          <w:szCs w:val="12"/>
        </w:rPr>
      </w:pPr>
      <w:r>
        <w:rPr>
          <w:spacing w:val="13"/>
          <w:sz w:val="12"/>
          <w:szCs w:val="12"/>
        </w:rPr>
        <w:t>直流数字电压表</w:t>
      </w:r>
    </w:p>
    <w:p>
      <w:pPr>
        <w:spacing w:line="184" w:lineRule="auto"/>
        <w:rPr>
          <w:sz w:val="12"/>
          <w:szCs w:val="12"/>
        </w:rPr>
        <w:sectPr>
          <w:headerReference w:type="default" r:id="rId54"/>
          <w:footerReference w:type="default" r:id="rId55"/>
          <w:type w:val="continuous"/>
          <w:pgSz w:w="7260" w:h="10420"/>
          <w:pgMar w:top="629" w:right="430" w:bottom="454" w:left="620" w:header="450" w:footer="335" w:gutter="0"/>
          <w:pgNumType w:start="19"/>
          <w:cols w:num="3" w:space="708" w:equalWidth="0">
            <w:col w:w="1641" w:space="100"/>
            <w:col w:w="1130" w:space="100"/>
            <w:col w:w="3240" w:space="0"/>
          </w:cols>
        </w:sectPr>
      </w:pP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40" w:line="219" w:lineRule="auto"/>
        <w:ind w:left="2229"/>
        <w:rPr>
          <w:sz w:val="12"/>
          <w:szCs w:val="12"/>
        </w:rPr>
      </w:pPr>
      <w:r>
        <w:rPr>
          <w:spacing w:val="16"/>
          <w:sz w:val="12"/>
          <w:szCs w:val="12"/>
        </w:rPr>
        <w:t>图</w:t>
      </w:r>
      <w:r>
        <w:rPr>
          <w:spacing w:val="-5"/>
          <w:sz w:val="12"/>
          <w:szCs w:val="12"/>
        </w:rPr>
        <w:t xml:space="preserve"> </w:t>
      </w:r>
      <w:r>
        <w:rPr>
          <w:spacing w:val="16"/>
          <w:sz w:val="12"/>
          <w:szCs w:val="12"/>
        </w:rPr>
        <w:t>3  直流供电的电测线路图</w:t>
      </w:r>
    </w:p>
    <w:p>
      <w:pPr>
        <w:spacing w:before="233" w:line="2010" w:lineRule="exact"/>
        <w:ind w:firstLine="999"/>
      </w:pPr>
      <w:r>
        <w:rPr>
          <w:position w:val="-40"/>
        </w:rPr>
        <w:drawing>
          <wp:inline distT="0" distB="0" distL="0" distR="0">
            <wp:extent cx="2673350" cy="127629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673350" cy="127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40" w:line="219" w:lineRule="auto"/>
        <w:ind w:left="2211"/>
        <w:rPr>
          <w:sz w:val="12"/>
          <w:szCs w:val="12"/>
        </w:rPr>
      </w:pPr>
      <w:r>
        <w:rPr>
          <w:b/>
          <w:bCs/>
          <w:spacing w:val="13"/>
          <w:sz w:val="12"/>
          <w:szCs w:val="12"/>
        </w:rPr>
        <w:t>图</w:t>
      </w:r>
      <w:r>
        <w:rPr>
          <w:spacing w:val="13"/>
          <w:sz w:val="12"/>
          <w:szCs w:val="12"/>
        </w:rPr>
        <w:t xml:space="preserve"> </w:t>
      </w:r>
      <w:r>
        <w:rPr>
          <w:b/>
          <w:bCs/>
          <w:spacing w:val="13"/>
          <w:sz w:val="12"/>
          <w:szCs w:val="12"/>
        </w:rPr>
        <w:t>4</w:t>
      </w:r>
      <w:r>
        <w:rPr>
          <w:spacing w:val="13"/>
          <w:sz w:val="12"/>
          <w:szCs w:val="12"/>
        </w:rPr>
        <w:t xml:space="preserve">  交流供电的电测线路图</w:t>
      </w:r>
    </w:p>
    <w:p>
      <w:pPr>
        <w:pStyle w:val="BodyText"/>
        <w:spacing w:before="75" w:line="212" w:lineRule="auto"/>
        <w:ind w:left="1139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3"/>
          <w:sz w:val="12"/>
          <w:szCs w:val="12"/>
        </w:rPr>
        <w:t>T,T₂—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    </w:t>
      </w:r>
      <w:r>
        <w:rPr>
          <w:spacing w:val="3"/>
          <w:sz w:val="12"/>
          <w:szCs w:val="12"/>
        </w:rPr>
        <w:t>交流调压器(220</w:t>
      </w:r>
      <w:r>
        <w:rPr>
          <w:rFonts w:ascii="Times New Roman" w:eastAsia="Times New Roman" w:hAnsi="Times New Roman" w:cs="Times New Roman"/>
          <w:spacing w:val="3"/>
          <w:sz w:val="12"/>
          <w:szCs w:val="12"/>
        </w:rPr>
        <w:t xml:space="preserve">V/0~250V);T,      </w:t>
      </w:r>
      <w:r>
        <w:rPr>
          <w:spacing w:val="3"/>
          <w:sz w:val="12"/>
          <w:szCs w:val="12"/>
        </w:rPr>
        <w:t>一固定</w:t>
      </w:r>
      <w:r>
        <w:rPr>
          <w:spacing w:val="2"/>
          <w:sz w:val="12"/>
          <w:szCs w:val="12"/>
        </w:rPr>
        <w:t xml:space="preserve">隔离变压器(220 </w:t>
      </w:r>
      <w:r>
        <w:rPr>
          <w:rFonts w:ascii="Times New Roman" w:eastAsia="Times New Roman" w:hAnsi="Times New Roman" w:cs="Times New Roman"/>
          <w:spacing w:val="2"/>
          <w:sz w:val="12"/>
          <w:szCs w:val="12"/>
        </w:rPr>
        <w:t>V/6 V)</w:t>
      </w:r>
    </w:p>
    <w:p>
      <w:pPr>
        <w:pStyle w:val="BodyText"/>
        <w:spacing w:before="147" w:line="248" w:lineRule="auto"/>
        <w:ind w:right="43" w:firstLine="339"/>
      </w:pPr>
      <w:r>
        <w:rPr>
          <w:spacing w:val="2"/>
        </w:rPr>
        <w:t>用比较灯标定被检灯：先用一只标准灯复查标定比较灯，然后用比</w:t>
      </w:r>
      <w:r>
        <w:rPr>
          <w:spacing w:val="1"/>
        </w:rPr>
        <w:t>较灯再标定被检</w:t>
      </w:r>
      <w:r>
        <w:t xml:space="preserve"> </w:t>
      </w:r>
      <w:r>
        <w:rPr>
          <w:spacing w:val="1"/>
        </w:rPr>
        <w:t>灯。以三只被检灯为例，其导轨标准灯一侧的测量顺序如下：</w:t>
      </w:r>
    </w:p>
    <w:p>
      <w:pPr>
        <w:pStyle w:val="BodyText"/>
        <w:spacing w:before="38" w:line="216" w:lineRule="auto"/>
        <w:ind w:left="879"/>
      </w:pPr>
      <w:r>
        <w:rPr>
          <w:spacing w:val="24"/>
        </w:rPr>
        <w:t>标准灯#1---被检灯#1,</w:t>
      </w:r>
      <w:r>
        <w:rPr>
          <w:spacing w:val="1"/>
        </w:rPr>
        <w:t xml:space="preserve"> </w:t>
      </w:r>
      <w:r>
        <w:rPr>
          <w:spacing w:val="24"/>
        </w:rPr>
        <w:t>#2,#3</w:t>
      </w:r>
      <w:r>
        <w:rPr>
          <w:spacing w:val="-39"/>
        </w:rPr>
        <w:t xml:space="preserve"> </w:t>
      </w:r>
      <w:r>
        <w:rPr>
          <w:spacing w:val="24"/>
        </w:rPr>
        <w:t>—</w:t>
      </w:r>
      <w:r>
        <w:rPr>
          <w:spacing w:val="-38"/>
        </w:rPr>
        <w:t xml:space="preserve"> </w:t>
      </w:r>
      <w:r>
        <w:rPr>
          <w:spacing w:val="24"/>
        </w:rPr>
        <w:t>—</w:t>
      </w:r>
      <w:r>
        <w:rPr>
          <w:spacing w:val="-37"/>
        </w:rPr>
        <w:t xml:space="preserve"> </w:t>
      </w:r>
      <w:r>
        <w:rPr>
          <w:spacing w:val="24"/>
        </w:rPr>
        <w:t>被检灯#3,#2,#1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https://d.book118.com/668076066025006025</w:t>
        </w:r>
      </w:hyperlink>
    </w:p>
    <w:p>
      <w:pPr>
        <w:pStyle w:val="BodyText"/>
        <w:spacing w:before="38" w:line="216" w:lineRule="auto"/>
        <w:ind w:left="879"/>
      </w:pPr>
    </w:p>
    <w:sectPr>
      <w:headerReference w:type="default" r:id="rId58"/>
      <w:footerReference w:type="default" r:id="rId59"/>
      <w:type w:val="continuous"/>
      <w:pgSz w:w="7260" w:h="10420"/>
      <w:pgMar w:top="629" w:right="430" w:bottom="454" w:left="620" w:header="450" w:footer="335" w:gutter="0"/>
      <w:pgNumType w:start="20"/>
      <w:cols w:num="1" w:space="708" w:equalWidth="0">
        <w:col w:w="62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5960"/>
      <w:rPr>
        <w:sz w:val="11"/>
        <w:szCs w:val="11"/>
      </w:rPr>
    </w:pPr>
    <w:r>
      <w:rPr>
        <w:sz w:val="11"/>
        <w:szCs w:val="11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5960"/>
      <w:rPr>
        <w:sz w:val="11"/>
        <w:szCs w:val="11"/>
      </w:rPr>
    </w:pPr>
    <w:r>
      <w:rPr>
        <w:sz w:val="11"/>
        <w:szCs w:val="11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60"/>
      <w:rPr>
        <w:sz w:val="10"/>
        <w:szCs w:val="10"/>
      </w:rPr>
    </w:pPr>
    <w:r>
      <w:rPr>
        <w:sz w:val="10"/>
        <w:szCs w:val="1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60"/>
      <w:rPr>
        <w:sz w:val="10"/>
        <w:szCs w:val="10"/>
      </w:rPr>
    </w:pPr>
    <w:r>
      <w:rPr>
        <w:sz w:val="10"/>
        <w:szCs w:val="1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5929"/>
      <w:rPr>
        <w:sz w:val="11"/>
        <w:szCs w:val="11"/>
      </w:rPr>
    </w:pPr>
    <w:r>
      <w:rPr>
        <w:sz w:val="11"/>
        <w:szCs w:val="11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5929"/>
      <w:rPr>
        <w:sz w:val="11"/>
        <w:szCs w:val="11"/>
      </w:rPr>
    </w:pPr>
    <w:r>
      <w:rPr>
        <w:sz w:val="11"/>
        <w:szCs w:val="11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149"/>
      <w:rPr>
        <w:sz w:val="11"/>
        <w:szCs w:val="11"/>
      </w:rPr>
    </w:pPr>
    <w:r>
      <w:rPr>
        <w:sz w:val="11"/>
        <w:szCs w:val="11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149"/>
      <w:rPr>
        <w:sz w:val="11"/>
        <w:szCs w:val="11"/>
      </w:rPr>
    </w:pPr>
    <w:r>
      <w:rPr>
        <w:sz w:val="11"/>
        <w:szCs w:val="11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149"/>
      <w:rPr>
        <w:sz w:val="11"/>
        <w:szCs w:val="11"/>
      </w:rPr>
    </w:pPr>
    <w:r>
      <w:rPr>
        <w:sz w:val="11"/>
        <w:szCs w:val="11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5899"/>
      <w:rPr>
        <w:sz w:val="11"/>
        <w:szCs w:val="11"/>
      </w:rPr>
    </w:pPr>
    <w:r>
      <w:rPr>
        <w:sz w:val="11"/>
        <w:szCs w:val="11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5899"/>
      <w:rPr>
        <w:sz w:val="11"/>
        <w:szCs w:val="11"/>
      </w:rPr>
    </w:pPr>
    <w:r>
      <w:rPr>
        <w:sz w:val="11"/>
        <w:szCs w:val="11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50"/>
      <w:rPr>
        <w:sz w:val="10"/>
        <w:szCs w:val="10"/>
      </w:rPr>
    </w:pPr>
    <w:r>
      <w:rPr>
        <w:sz w:val="10"/>
        <w:szCs w:val="10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50"/>
      <w:rPr>
        <w:sz w:val="10"/>
        <w:szCs w:val="10"/>
      </w:rPr>
    </w:pPr>
    <w:r>
      <w:rPr>
        <w:sz w:val="10"/>
        <w:szCs w:val="10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5899"/>
      <w:rPr>
        <w:sz w:val="10"/>
        <w:szCs w:val="10"/>
      </w:rPr>
    </w:pPr>
    <w:r>
      <w:rPr>
        <w:sz w:val="10"/>
        <w:szCs w:val="10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3" w:lineRule="auto"/>
      <w:ind w:left="5899"/>
      <w:rPr>
        <w:sz w:val="10"/>
        <w:szCs w:val="10"/>
      </w:rPr>
    </w:pPr>
    <w:r>
      <w:rPr>
        <w:sz w:val="10"/>
        <w:szCs w:val="10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149"/>
      <w:rPr>
        <w:sz w:val="12"/>
        <w:szCs w:val="12"/>
      </w:rPr>
    </w:pPr>
    <w:r>
      <w:rPr>
        <w:sz w:val="12"/>
        <w:szCs w:val="12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149"/>
      <w:rPr>
        <w:sz w:val="12"/>
        <w:szCs w:val="12"/>
      </w:rPr>
    </w:pPr>
    <w:r>
      <w:rPr>
        <w:sz w:val="12"/>
        <w:szCs w:val="12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149"/>
      <w:rPr>
        <w:sz w:val="12"/>
        <w:szCs w:val="12"/>
      </w:rPr>
    </w:pPr>
    <w:r>
      <w:rPr>
        <w:sz w:val="12"/>
        <w:szCs w:val="12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149"/>
      <w:rPr>
        <w:sz w:val="12"/>
        <w:szCs w:val="12"/>
      </w:rPr>
    </w:pPr>
    <w:r>
      <w:rPr>
        <w:sz w:val="12"/>
        <w:szCs w:val="12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149"/>
      <w:rPr>
        <w:sz w:val="12"/>
        <w:szCs w:val="12"/>
      </w:rPr>
    </w:pPr>
    <w:r>
      <w:rPr>
        <w:sz w:val="12"/>
        <w:szCs w:val="12"/>
      </w:rPr>
      <w:t>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732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361965</wp:posOffset>
          </wp:positionH>
          <wp:positionV relativeFrom="page">
            <wp:posOffset>368277</wp:posOffset>
          </wp:positionV>
          <wp:extent cx="3936969" cy="6387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6969" cy="63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2"/>
      </w:rPr>
      <w:t>JJG</w:t>
    </w:r>
    <w:r>
      <w:rPr>
        <w:spacing w:val="-12"/>
      </w:rPr>
      <w:t xml:space="preserve"> </w:t>
    </w:r>
    <w:r>
      <w:rPr>
        <w:b/>
        <w:bCs/>
        <w:spacing w:val="-12"/>
      </w:rPr>
      <w:t>213—2003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732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361965</wp:posOffset>
          </wp:positionH>
          <wp:positionV relativeFrom="page">
            <wp:posOffset>368277</wp:posOffset>
          </wp:positionV>
          <wp:extent cx="3936969" cy="6387"/>
          <wp:effectExtent l="0" t="0" r="0" b="0"/>
          <wp:wrapNone/>
          <wp:docPr id="41215541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15541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6969" cy="63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2"/>
      </w:rPr>
      <w:t>JJG</w:t>
    </w:r>
    <w:r>
      <w:rPr>
        <w:spacing w:val="-12"/>
      </w:rPr>
      <w:t xml:space="preserve"> </w:t>
    </w:r>
    <w:r>
      <w:rPr>
        <w:b/>
        <w:bCs/>
        <w:spacing w:val="-12"/>
      </w:rPr>
      <w:t>213—2003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722"/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355579</wp:posOffset>
          </wp:positionH>
          <wp:positionV relativeFrom="page">
            <wp:posOffset>450848</wp:posOffset>
          </wp:positionV>
          <wp:extent cx="3943353" cy="635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335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4"/>
      </w:rPr>
      <w:t>JJG</w:t>
    </w:r>
    <w:r>
      <w:rPr>
        <w:spacing w:val="-14"/>
      </w:rPr>
      <w:t xml:space="preserve"> </w:t>
    </w:r>
    <w:r>
      <w:rPr>
        <w:b/>
        <w:bCs/>
        <w:spacing w:val="-14"/>
      </w:rPr>
      <w:t>213—2003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722"/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355579</wp:posOffset>
          </wp:positionH>
          <wp:positionV relativeFrom="page">
            <wp:posOffset>450848</wp:posOffset>
          </wp:positionV>
          <wp:extent cx="3943353" cy="6350"/>
          <wp:effectExtent l="0" t="0" r="0" b="0"/>
          <wp:wrapNone/>
          <wp:docPr id="717721883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721883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335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4"/>
      </w:rPr>
      <w:t>JJG</w:t>
    </w:r>
    <w:r>
      <w:rPr>
        <w:spacing w:val="-14"/>
      </w:rPr>
      <w:t xml:space="preserve"> </w:t>
    </w:r>
    <w:r>
      <w:rPr>
        <w:b/>
        <w:bCs/>
        <w:spacing w:val="-14"/>
      </w:rPr>
      <w:t>213—2003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762"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400072</wp:posOffset>
          </wp:positionH>
          <wp:positionV relativeFrom="page">
            <wp:posOffset>393730</wp:posOffset>
          </wp:positionV>
          <wp:extent cx="3936962" cy="12692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6962" cy="126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3"/>
      </w:rPr>
      <w:t>JJG</w:t>
    </w:r>
    <w:r>
      <w:rPr>
        <w:spacing w:val="-13"/>
      </w:rPr>
      <w:t xml:space="preserve"> </w:t>
    </w:r>
    <w:r>
      <w:rPr>
        <w:b/>
        <w:bCs/>
        <w:spacing w:val="-13"/>
      </w:rPr>
      <w:t>213—2003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762"/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400072</wp:posOffset>
          </wp:positionH>
          <wp:positionV relativeFrom="page">
            <wp:posOffset>393730</wp:posOffset>
          </wp:positionV>
          <wp:extent cx="3936962" cy="12692"/>
          <wp:effectExtent l="0" t="0" r="0" b="0"/>
          <wp:wrapNone/>
          <wp:docPr id="1855450274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5450274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6962" cy="126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13"/>
      </w:rPr>
      <w:t>JJG</w:t>
    </w:r>
    <w:r>
      <w:rPr>
        <w:spacing w:val="-13"/>
      </w:rPr>
      <w:t xml:space="preserve"> </w:t>
    </w:r>
    <w:r>
      <w:rPr>
        <w:b/>
        <w:bCs/>
        <w:spacing w:val="-13"/>
      </w:rPr>
      <w:t>213—2003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69"/>
      <w:rPr>
        <w:rFonts w:ascii="Times New Roman" w:eastAsia="Times New Roman" w:hAnsi="Times New Roman" w:cs="Times New Roman"/>
        <w:sz w:val="12"/>
        <w:szCs w:val="1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336537</wp:posOffset>
          </wp:positionH>
          <wp:positionV relativeFrom="page">
            <wp:posOffset>438157</wp:posOffset>
          </wp:positionV>
          <wp:extent cx="3949702" cy="6352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9702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12"/>
        <w:szCs w:val="12"/>
      </w:rPr>
      <w:t>JJG      213—2003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69"/>
      <w:rPr>
        <w:rFonts w:ascii="Times New Roman" w:eastAsia="Times New Roman" w:hAnsi="Times New Roman" w:cs="Times New Roman"/>
        <w:sz w:val="12"/>
        <w:szCs w:val="1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336537</wp:posOffset>
          </wp:positionH>
          <wp:positionV relativeFrom="page">
            <wp:posOffset>438157</wp:posOffset>
          </wp:positionV>
          <wp:extent cx="3949702" cy="6352"/>
          <wp:effectExtent l="0" t="0" r="0" b="0"/>
          <wp:wrapNone/>
          <wp:docPr id="344024045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4024045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9702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12"/>
        <w:szCs w:val="12"/>
      </w:rPr>
      <w:t>JJG      213—2003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69"/>
      <w:rPr>
        <w:rFonts w:ascii="Times New Roman" w:eastAsia="Times New Roman" w:hAnsi="Times New Roman" w:cs="Times New Roman"/>
        <w:sz w:val="12"/>
        <w:szCs w:val="1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336537</wp:posOffset>
          </wp:positionH>
          <wp:positionV relativeFrom="page">
            <wp:posOffset>438157</wp:posOffset>
          </wp:positionV>
          <wp:extent cx="3949702" cy="6352"/>
          <wp:effectExtent l="0" t="0" r="0" b="0"/>
          <wp:wrapNone/>
          <wp:docPr id="248034989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8034989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9702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12"/>
        <w:szCs w:val="12"/>
      </w:rPr>
      <w:t>JJG      213—2003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70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425447</wp:posOffset>
          </wp:positionH>
          <wp:positionV relativeFrom="page">
            <wp:posOffset>492218</wp:posOffset>
          </wp:positionV>
          <wp:extent cx="3924290" cy="8890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24290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4"/>
        <w:sz w:val="15"/>
        <w:szCs w:val="15"/>
      </w:rPr>
      <w:t>JJG 213—2003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700"/>
      <w:rPr>
        <w:rFonts w:ascii="Times New Roman" w:eastAsia="Times New Roman" w:hAnsi="Times New Roman" w:cs="Times New Roman"/>
        <w:sz w:val="15"/>
        <w:szCs w:val="15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425447</wp:posOffset>
          </wp:positionH>
          <wp:positionV relativeFrom="page">
            <wp:posOffset>492218</wp:posOffset>
          </wp:positionV>
          <wp:extent cx="3924290" cy="8890"/>
          <wp:effectExtent l="0" t="0" r="0" b="0"/>
          <wp:wrapNone/>
          <wp:docPr id="152445945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45945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24290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4"/>
        <w:sz w:val="15"/>
        <w:szCs w:val="15"/>
      </w:rPr>
      <w:t>JJG 213—2003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709"/>
      <w:rPr>
        <w:rFonts w:ascii="Times New Roman" w:eastAsia="Times New Roman" w:hAnsi="Times New Roman" w:cs="Times New Roman"/>
        <w:sz w:val="12"/>
        <w:szCs w:val="12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393693</wp:posOffset>
          </wp:positionH>
          <wp:positionV relativeFrom="page">
            <wp:posOffset>479554</wp:posOffset>
          </wp:positionV>
          <wp:extent cx="3937022" cy="889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7022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2"/>
        <w:szCs w:val="12"/>
      </w:rPr>
      <w:t>JJG</w:t>
    </w:r>
    <w:r>
      <w:rPr>
        <w:rFonts w:ascii="Times New Roman" w:eastAsia="Times New Roman" w:hAnsi="Times New Roman" w:cs="Times New Roman"/>
        <w:spacing w:val="6"/>
        <w:sz w:val="12"/>
        <w:szCs w:val="12"/>
      </w:rPr>
      <w:t xml:space="preserve">     </w:t>
    </w:r>
    <w:r>
      <w:rPr>
        <w:rFonts w:ascii="Times New Roman" w:eastAsia="Times New Roman" w:hAnsi="Times New Roman" w:cs="Times New Roman"/>
        <w:spacing w:val="-1"/>
        <w:sz w:val="12"/>
        <w:szCs w:val="12"/>
      </w:rPr>
      <w:t>213—2003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709"/>
      <w:rPr>
        <w:rFonts w:ascii="Times New Roman" w:eastAsia="Times New Roman" w:hAnsi="Times New Roman" w:cs="Times New Roman"/>
        <w:sz w:val="12"/>
        <w:szCs w:val="12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393693</wp:posOffset>
          </wp:positionH>
          <wp:positionV relativeFrom="page">
            <wp:posOffset>479554</wp:posOffset>
          </wp:positionV>
          <wp:extent cx="3937022" cy="8890"/>
          <wp:effectExtent l="0" t="0" r="0" b="0"/>
          <wp:wrapNone/>
          <wp:docPr id="284306231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4306231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7022" cy="8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2"/>
        <w:szCs w:val="12"/>
      </w:rPr>
      <w:t>JJG</w:t>
    </w:r>
    <w:r>
      <w:rPr>
        <w:rFonts w:ascii="Times New Roman" w:eastAsia="Times New Roman" w:hAnsi="Times New Roman" w:cs="Times New Roman"/>
        <w:spacing w:val="6"/>
        <w:sz w:val="12"/>
        <w:szCs w:val="12"/>
      </w:rPr>
      <w:t xml:space="preserve">     </w:t>
    </w:r>
    <w:r>
      <w:rPr>
        <w:rFonts w:ascii="Times New Roman" w:eastAsia="Times New Roman" w:hAnsi="Times New Roman" w:cs="Times New Roman"/>
        <w:spacing w:val="-1"/>
        <w:sz w:val="12"/>
        <w:szCs w:val="12"/>
      </w:rPr>
      <w:t>213—2003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81"/>
      <w:rPr>
        <w:sz w:val="14"/>
        <w:szCs w:val="14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342898</wp:posOffset>
          </wp:positionH>
          <wp:positionV relativeFrom="page">
            <wp:posOffset>419102</wp:posOffset>
          </wp:positionV>
          <wp:extent cx="3930663" cy="6352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0663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4"/>
        <w:szCs w:val="14"/>
      </w:rPr>
      <w:t>JJG</w:t>
    </w:r>
    <w:r>
      <w:rPr>
        <w:spacing w:val="-4"/>
        <w:sz w:val="14"/>
        <w:szCs w:val="14"/>
      </w:rPr>
      <w:t xml:space="preserve"> </w:t>
    </w:r>
    <w:r>
      <w:rPr>
        <w:b/>
        <w:bCs/>
        <w:spacing w:val="-4"/>
        <w:sz w:val="14"/>
        <w:szCs w:val="14"/>
      </w:rPr>
      <w:t>213—2003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81"/>
      <w:rPr>
        <w:sz w:val="14"/>
        <w:szCs w:val="14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342898</wp:posOffset>
          </wp:positionH>
          <wp:positionV relativeFrom="page">
            <wp:posOffset>419102</wp:posOffset>
          </wp:positionV>
          <wp:extent cx="3930663" cy="6352"/>
          <wp:effectExtent l="0" t="0" r="0" b="0"/>
          <wp:wrapNone/>
          <wp:docPr id="79323395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323395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0663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4"/>
        <w:sz w:val="14"/>
        <w:szCs w:val="14"/>
      </w:rPr>
      <w:t>JJG</w:t>
    </w:r>
    <w:r>
      <w:rPr>
        <w:spacing w:val="-4"/>
        <w:sz w:val="14"/>
        <w:szCs w:val="14"/>
      </w:rPr>
      <w:t xml:space="preserve"> </w:t>
    </w:r>
    <w:r>
      <w:rPr>
        <w:b/>
        <w:bCs/>
        <w:spacing w:val="-4"/>
        <w:sz w:val="14"/>
        <w:szCs w:val="14"/>
      </w:rPr>
      <w:t>213—2003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71"/>
      <w:rPr>
        <w:sz w:val="12"/>
        <w:szCs w:val="12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400063</wp:posOffset>
          </wp:positionH>
          <wp:positionV relativeFrom="page">
            <wp:posOffset>393693</wp:posOffset>
          </wp:positionV>
          <wp:extent cx="3936979" cy="6352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6979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"/>
        <w:sz w:val="12"/>
        <w:szCs w:val="12"/>
      </w:rPr>
      <w:t>JJG</w:t>
    </w:r>
    <w:r>
      <w:rPr>
        <w:spacing w:val="-2"/>
        <w:sz w:val="12"/>
        <w:szCs w:val="12"/>
      </w:rPr>
      <w:t xml:space="preserve">   </w:t>
    </w:r>
    <w:r>
      <w:rPr>
        <w:b/>
        <w:bCs/>
        <w:spacing w:val="-2"/>
        <w:sz w:val="12"/>
        <w:szCs w:val="12"/>
      </w:rPr>
      <w:t>213—2003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71"/>
      <w:rPr>
        <w:sz w:val="12"/>
        <w:szCs w:val="12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400063</wp:posOffset>
          </wp:positionH>
          <wp:positionV relativeFrom="page">
            <wp:posOffset>393693</wp:posOffset>
          </wp:positionV>
          <wp:extent cx="3936979" cy="6352"/>
          <wp:effectExtent l="0" t="0" r="0" b="0"/>
          <wp:wrapNone/>
          <wp:docPr id="1269238882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9238882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6979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"/>
        <w:sz w:val="12"/>
        <w:szCs w:val="12"/>
      </w:rPr>
      <w:t>JJG</w:t>
    </w:r>
    <w:r>
      <w:rPr>
        <w:spacing w:val="-2"/>
        <w:sz w:val="12"/>
        <w:szCs w:val="12"/>
      </w:rPr>
      <w:t xml:space="preserve">   </w:t>
    </w:r>
    <w:r>
      <w:rPr>
        <w:b/>
        <w:bCs/>
        <w:spacing w:val="-2"/>
        <w:sz w:val="12"/>
        <w:szCs w:val="12"/>
      </w:rPr>
      <w:t>213—2003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71"/>
      <w:rPr>
        <w:sz w:val="12"/>
        <w:szCs w:val="12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400063</wp:posOffset>
          </wp:positionH>
          <wp:positionV relativeFrom="page">
            <wp:posOffset>393693</wp:posOffset>
          </wp:positionV>
          <wp:extent cx="3936979" cy="6352"/>
          <wp:effectExtent l="0" t="0" r="0" b="0"/>
          <wp:wrapNone/>
          <wp:docPr id="103114108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14108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6979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"/>
        <w:sz w:val="12"/>
        <w:szCs w:val="12"/>
      </w:rPr>
      <w:t>JJG</w:t>
    </w:r>
    <w:r>
      <w:rPr>
        <w:spacing w:val="-2"/>
        <w:sz w:val="12"/>
        <w:szCs w:val="12"/>
      </w:rPr>
      <w:t xml:space="preserve">   </w:t>
    </w:r>
    <w:r>
      <w:rPr>
        <w:b/>
        <w:bCs/>
        <w:spacing w:val="-2"/>
        <w:sz w:val="12"/>
        <w:szCs w:val="12"/>
      </w:rPr>
      <w:t>213—2003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71"/>
      <w:rPr>
        <w:sz w:val="12"/>
        <w:szCs w:val="12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400063</wp:posOffset>
          </wp:positionH>
          <wp:positionV relativeFrom="page">
            <wp:posOffset>393693</wp:posOffset>
          </wp:positionV>
          <wp:extent cx="3936979" cy="6352"/>
          <wp:effectExtent l="0" t="0" r="0" b="0"/>
          <wp:wrapNone/>
          <wp:docPr id="1975522441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522441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6979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"/>
        <w:sz w:val="12"/>
        <w:szCs w:val="12"/>
      </w:rPr>
      <w:t>JJG</w:t>
    </w:r>
    <w:r>
      <w:rPr>
        <w:spacing w:val="-2"/>
        <w:sz w:val="12"/>
        <w:szCs w:val="12"/>
      </w:rPr>
      <w:t xml:space="preserve">   </w:t>
    </w:r>
    <w:r>
      <w:rPr>
        <w:b/>
        <w:bCs/>
        <w:spacing w:val="-2"/>
        <w:sz w:val="12"/>
        <w:szCs w:val="12"/>
      </w:rPr>
      <w:t>213—2003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2671"/>
      <w:rPr>
        <w:sz w:val="12"/>
        <w:szCs w:val="12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400063</wp:posOffset>
          </wp:positionH>
          <wp:positionV relativeFrom="page">
            <wp:posOffset>393693</wp:posOffset>
          </wp:positionV>
          <wp:extent cx="3936979" cy="6352"/>
          <wp:effectExtent l="0" t="0" r="0" b="0"/>
          <wp:wrapNone/>
          <wp:docPr id="851492126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1492126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36979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"/>
        <w:sz w:val="12"/>
        <w:szCs w:val="12"/>
      </w:rPr>
      <w:t>JJG</w:t>
    </w:r>
    <w:r>
      <w:rPr>
        <w:spacing w:val="-2"/>
        <w:sz w:val="12"/>
        <w:szCs w:val="12"/>
      </w:rPr>
      <w:t xml:space="preserve">   </w:t>
    </w:r>
    <w:r>
      <w:rPr>
        <w:b/>
        <w:bCs/>
        <w:spacing w:val="-2"/>
        <w:sz w:val="12"/>
        <w:szCs w:val="12"/>
      </w:rPr>
      <w:t>213—2003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4"/>
      <w:szCs w:val="1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7.1.1.1" TargetMode="External" /><Relationship Id="rId13" Type="http://schemas.openxmlformats.org/officeDocument/2006/relationships/hyperlink" Target="7.1.1.2" TargetMode="External" /><Relationship Id="rId14" Type="http://schemas.openxmlformats.org/officeDocument/2006/relationships/hyperlink" Target="7.1.1.3" TargetMode="Externa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yperlink" Target="7.1.2.1" TargetMode="Externa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3.jpe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image" Target="media/image5.png" /><Relationship Id="rId24" Type="http://schemas.openxmlformats.org/officeDocument/2006/relationships/image" Target="media/image6.pn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7.png" /><Relationship Id="rId3" Type="http://schemas.openxmlformats.org/officeDocument/2006/relationships/fontTable" Target="fontTable.xml" /><Relationship Id="rId30" Type="http://schemas.openxmlformats.org/officeDocument/2006/relationships/image" Target="media/image8.jpeg" /><Relationship Id="rId31" Type="http://schemas.openxmlformats.org/officeDocument/2006/relationships/hyperlink" Target="7.1.2.2" TargetMode="External" /><Relationship Id="rId32" Type="http://schemas.openxmlformats.org/officeDocument/2006/relationships/image" Target="media/image9.jpeg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1.pn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header" Target="header1.xml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hyperlink" Target="7.3.2.1" TargetMode="External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header" Target="header16.xml" /><Relationship Id="rId48" Type="http://schemas.openxmlformats.org/officeDocument/2006/relationships/footer" Target="footer16.xml" /><Relationship Id="rId49" Type="http://schemas.openxmlformats.org/officeDocument/2006/relationships/image" Target="media/image15.jpeg" /><Relationship Id="rId5" Type="http://schemas.openxmlformats.org/officeDocument/2006/relationships/footer" Target="footer1.xml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header" Target="header19.xml" /><Relationship Id="rId55" Type="http://schemas.openxmlformats.org/officeDocument/2006/relationships/footer" Target="footer19.xml" /><Relationship Id="rId56" Type="http://schemas.openxmlformats.org/officeDocument/2006/relationships/image" Target="media/image16.jpeg" /><Relationship Id="rId57" Type="http://schemas.openxmlformats.org/officeDocument/2006/relationships/hyperlink" Target="https://d.book118.com/668076066025006025" TargetMode="External" /><Relationship Id="rId58" Type="http://schemas.openxmlformats.org/officeDocument/2006/relationships/header" Target="header20.xml" /><Relationship Id="rId59" Type="http://schemas.openxmlformats.org/officeDocument/2006/relationships/footer" Target="footer20.xml" /><Relationship Id="rId6" Type="http://schemas.openxmlformats.org/officeDocument/2006/relationships/header" Target="header2.xm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2024-01-10T22:22:12Z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659ea80e4bc505001ff6c1bawl</vt:lpwstr>
  </property>
</Properties>
</file>