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E0080" w14:paraId="715A007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E0080" w14:paraId="1D31268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E0080" w14:paraId="04EE5F7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E0080" w:rsidRPr="00FE0080" w14:paraId="387BED6D" w14:textId="16C2BA2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E0080">
        <w:rPr>
          <w:rFonts w:ascii="宋体" w:eastAsia="宋体" w:hAnsi="宋体" w:hint="eastAsia"/>
          <w:b/>
          <w:sz w:val="60"/>
        </w:rPr>
        <w:t>智慧园区项目绩效评估报告</w:t>
      </w:r>
    </w:p>
    <w:p w:rsidR="00FE0080" w:rsidP="00FE0080" w14:paraId="5113BC4B" w14:textId="5FBB88C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E0080">
        <w:rPr>
          <w:rFonts w:ascii="仿宋" w:eastAsia="仿宋" w:hAnsi="仿宋" w:hint="eastAsia"/>
          <w:b/>
          <w:sz w:val="40"/>
        </w:rPr>
        <w:t>目录</w:t>
      </w:r>
    </w:p>
    <w:p w:rsidR="00FE0080" w14:paraId="7D8AF870" w14:textId="43C6588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_Toc153495375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E0080" w14:paraId="5769E396" w14:textId="40B298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_Toc153495376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E0080" w14:paraId="144CD7EC" w14:textId="5C8909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_Toc153495377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E0080" w14:paraId="630437D2" w14:textId="238F42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_Toc153495378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E0080" w14:paraId="33DE713F" w14:textId="5D7523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_Toc153495379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E0080" w14:paraId="77AB3E52" w14:textId="27CF6D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_Toc153495380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E0080" w14:paraId="7F82D814" w14:textId="4F1755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_Toc153495381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E0080" w14:paraId="59A8870D" w14:textId="34689C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_Toc153495382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E0080" w14:paraId="3151ED71" w14:textId="3494CE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_Toc153495383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E0080" w14:paraId="2F0EDB39" w14:textId="177875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_Toc153495384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E0080" w14:paraId="67FCE502" w14:textId="338C46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三、智慧园区项目概论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_Toc153495385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E0080" w14:paraId="6BEA6C9E" w14:textId="2D08AF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(一)、智慧园区项目名称及投资人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_Toc153495386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E0080" w14:paraId="1B55E302" w14:textId="233FF2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_Toc153495387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E0080" w14:paraId="48F29613" w14:textId="6EF9DC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_Toc153495388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E0080" w14:paraId="1D742248" w14:textId="21B60B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_Toc153495389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E0080" w14:paraId="0B53F3A9" w14:textId="68DE98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(五)、智慧园区项目建设背景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_Toc153495390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E0080" w14:paraId="2EB74328" w14:textId="523588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_Toc153495391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E0080" w14:paraId="4798282D" w14:textId="49D14E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_Toc153495392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E0080" w14:paraId="334A2D9A" w14:textId="0A927D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_Toc153495393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E0080" w14:paraId="3FC42BF6" w14:textId="44C2D2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(二)、智慧园区项目技术工艺简要分析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_Toc153495394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E0080" w14:paraId="63D74CFD" w14:textId="22F54DC3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_Toc153495395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E0080" w14:paraId="55B170D5" w14:textId="7CFE77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(四)、智慧园区项目技术流程简述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_Toc153495396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E0080" w14:paraId="13427CF0" w14:textId="100EEA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_Toc153495397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E0080" w14:paraId="78BFC9B1" w14:textId="00909F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_Toc153495398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E0080" w14:paraId="70A98894" w14:textId="1BD73D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_Toc153495399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E0080" w14:paraId="32E98A94" w14:textId="1422BE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_Toc153495400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E0080" w14:paraId="44763080" w14:textId="34E0A2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_Toc153495401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E0080" w14:paraId="052F6516" w14:textId="268885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_Toc153495402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E0080" w14:paraId="0645B485" w14:textId="7955DE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_Toc153495403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E0080" w14:paraId="3B2AF648" w14:textId="7CD008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_Toc153495404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E0080" w14:paraId="7A37092F" w14:textId="107495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_Toc153495405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E0080" w14:paraId="2C6858E5" w14:textId="79E7EE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_Toc153495406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E0080" w14:paraId="3A2716BE" w14:textId="720A8E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_Toc153495407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E0080" w14:paraId="08A050CB" w14:textId="3914D2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_Toc153495408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E0080" w14:paraId="09482017" w14:textId="6558C4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_Toc153495409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E0080" w14:paraId="2F03C981" w14:textId="2FBD31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_Toc153495410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E0080" w14:paraId="3F5627B7" w14:textId="794077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_Toc153495411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E0080" w14:paraId="673E66C1" w14:textId="7EB2A2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_Toc153495412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E0080" w14:paraId="5FF8DAB2" w14:textId="6F86DD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(三)、智慧园区项目盈利能力分析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_Toc153495413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E0080" w14:paraId="68EABDAC" w14:textId="041191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_Toc153495414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E0080" w14:paraId="107B559D" w14:textId="39AFC7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_Toc153495415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E0080" w14:paraId="6690319D" w14:textId="787CE5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_Toc153495416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E0080" w14:paraId="44CC3C1C" w14:textId="566A4EAB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_Toc153495417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E0080" w14:paraId="6A2AE379" w14:textId="52EEDE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_Toc153495418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E0080" w14:paraId="0A6588FA" w14:textId="0751D2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_Toc153495419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E0080" w14:paraId="7444A77F" w14:textId="0546CF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_Toc153495420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E0080" w14:paraId="08DABAB0" w14:textId="5F5D64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_Toc153495421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E0080" w14:paraId="4A3895AE" w14:textId="32AF1F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_Toc153495422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E0080" w14:paraId="77D30056" w14:textId="6D7AF2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_Toc153495423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E0080" w14:paraId="74C0D20F" w14:textId="62F861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_Toc153495424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E0080" w14:paraId="24477C2B" w14:textId="27FAFD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_Toc153495425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E0080" w14:paraId="657334B1" w14:textId="0AEF7E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_Toc153495426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E0080" w14:paraId="0FB9578D" w14:textId="27C8DF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_Toc153495427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E0080" w14:paraId="54606941" w14:textId="122A2B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_Toc153495428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E0080" w14:paraId="11B2C2D3" w14:textId="44915A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_Toc153495429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E0080" w14:paraId="11E8D4D3" w14:textId="24B25D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_Toc153495430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E0080" w14:paraId="2C3950A9" w14:textId="0EEA08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_Toc153495431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E0080" w14:paraId="2DD82B1A" w14:textId="5FC900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_Toc153495432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E0080" w14:paraId="58FA57C4" w14:textId="464FAE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_Toc153495433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E0080" w14:paraId="1705D372" w14:textId="510F4D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_Toc153495434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E0080" w14:paraId="558D7CB4" w14:textId="3A0088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_Toc153495435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E0080" w14:paraId="2FF5D963" w14:textId="2511BC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_Toc153495436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E0080" w14:paraId="05A17632" w14:textId="705C0C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_Toc153495437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E0080" w14:paraId="1E401DBB" w14:textId="5A79B0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_Toc153495438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E0080" w14:paraId="1CC13FF0" w14:textId="52D676D8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_Toc153495439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E0080" w14:paraId="3CBEAC16" w14:textId="6FE43D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_Toc153495440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E0080" w14:paraId="79DC8FEC" w14:textId="43FA20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_Toc153495441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E0080" w14:paraId="1D8A38F6" w14:textId="16F8EE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_Toc153495442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E0080" w14:paraId="5AB80251" w14:textId="691B84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_Toc153495443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FE0080" w:rsidP="00FE0080" w14:paraId="0AA0CE60" w14:textId="603DCC2B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FE0080" w:rsidP="00FE0080" w14:paraId="646C865F" w14:textId="1F2C896D">
      <w:pPr>
        <w:pStyle w:val="Heading1"/>
        <w:jc w:val="center"/>
        <w:rPr>
          <w:rFonts w:hint="eastAsia"/>
        </w:rPr>
      </w:pPr>
      <w:bookmarkStart w:id="0" w:name="_Toc153495375"/>
      <w:r w:rsidRPr="00FE0080">
        <w:rPr>
          <w:rFonts w:hint="eastAsia"/>
        </w:rPr>
        <w:t>序言</w:t>
      </w:r>
      <w:bookmarkEnd w:id="0"/>
    </w:p>
    <w:p w:rsidR="00FE0080" w:rsidP="00FE0080" w14:paraId="3943ECFC" w14:textId="7DE7478D">
      <w:pPr>
        <w:ind w:firstLine="560" w:firstLineChars="200"/>
        <w:rPr>
          <w:rFonts w:ascii="仿宋" w:eastAsia="仿宋" w:hint="eastAsia"/>
          <w:sz w:val="28"/>
        </w:rPr>
      </w:pPr>
      <w:r w:rsidRPr="00FE0080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FE0080" w:rsidP="00FE0080" w14:paraId="17DE60A1" w14:textId="492DC246">
      <w:pPr>
        <w:pStyle w:val="Heading1"/>
        <w:rPr>
          <w:rFonts w:hint="eastAsia"/>
        </w:rPr>
      </w:pPr>
      <w:bookmarkStart w:id="1" w:name="_Toc153495376"/>
      <w:r w:rsidRPr="00FE0080">
        <w:rPr>
          <w:rFonts w:hint="eastAsia"/>
        </w:rPr>
        <w:t>一、社交媒体与在线营销</w:t>
      </w:r>
      <w:bookmarkEnd w:id="1"/>
    </w:p>
    <w:p w:rsidR="00FE0080" w:rsidP="00FE0080" w14:paraId="676635EC" w14:textId="572F8E27">
      <w:pPr>
        <w:pStyle w:val="Heading2"/>
      </w:pPr>
      <w:bookmarkStart w:id="2" w:name="_Toc153495377"/>
      <w:r w:rsidRPr="00FE0080">
        <w:t>(一)、社交媒体策略</w:t>
      </w:r>
      <w:bookmarkEnd w:id="2"/>
    </w:p>
    <w:p w:rsidR="00FE0080" w:rsidRPr="00FE0080" w:rsidP="00FE0080" w14:paraId="2ACFCE27" w14:textId="77777777">
      <w:pPr>
        <w:ind w:firstLine="560" w:firstLineChars="200"/>
        <w:rPr>
          <w:rFonts w:ascii="仿宋" w:eastAsia="仿宋" w:hAnsi="仿宋"/>
          <w:sz w:val="28"/>
        </w:rPr>
      </w:pPr>
      <w:r w:rsidRPr="00FE0080">
        <w:rPr>
          <w:rFonts w:ascii="仿宋" w:eastAsia="仿宋" w:hAnsi="仿宋" w:hint="eastAsia"/>
          <w:sz w:val="28"/>
        </w:rPr>
        <w:t>社交媒体平台选择：确定适合业务目标的社交媒体平台，例如</w:t>
      </w:r>
      <w:r w:rsidRPr="00FE0080">
        <w:rPr>
          <w:rFonts w:ascii="仿宋" w:eastAsia="仿宋" w:hAnsi="仿宋"/>
          <w:sz w:val="28"/>
        </w:rPr>
        <w:t>XXXX等。</w:t>
      </w:r>
    </w:p>
    <w:p w:rsidR="00FE0080" w:rsidRPr="00FE0080" w:rsidP="00FE0080" w14:paraId="72F862CC" w14:textId="77777777">
      <w:pPr>
        <w:ind w:firstLine="560" w:firstLineChars="200"/>
        <w:rPr>
          <w:rFonts w:ascii="仿宋" w:eastAsia="仿宋" w:hAnsi="仿宋"/>
          <w:sz w:val="28"/>
        </w:rPr>
      </w:pPr>
      <w:r w:rsidRPr="00FE0080">
        <w:rPr>
          <w:rFonts w:ascii="仿宋" w:eastAsia="仿宋" w:hAnsi="仿宋" w:hint="eastAsia"/>
          <w:sz w:val="28"/>
        </w:rPr>
        <w:t>明确定义目标受众，包括年龄、兴趣、地理位置等，以便定制内容。</w:t>
      </w:r>
    </w:p>
    <w:p w:rsidR="00FE0080" w:rsidRPr="00FE0080" w:rsidP="00FE0080" w14:paraId="21E6F633" w14:textId="77777777">
      <w:pPr>
        <w:ind w:firstLine="560" w:firstLineChars="200"/>
        <w:rPr>
          <w:rFonts w:ascii="仿宋" w:eastAsia="仿宋" w:hAnsi="仿宋"/>
          <w:sz w:val="28"/>
        </w:rPr>
      </w:pPr>
      <w:r w:rsidRPr="00FE0080">
        <w:rPr>
          <w:rFonts w:ascii="仿宋" w:eastAsia="仿宋" w:hAnsi="仿宋" w:hint="eastAsia"/>
          <w:sz w:val="28"/>
        </w:rPr>
        <w:t>制定内容发布计划，包括帖子类型、频率、关键词等。</w:t>
      </w:r>
    </w:p>
    <w:p w:rsidR="00FE0080" w:rsidP="00FE0080" w14:paraId="3A02DFCE" w14:textId="347FD3FA">
      <w:pPr>
        <w:ind w:firstLine="560" w:firstLineChars="200"/>
        <w:rPr>
          <w:rFonts w:ascii="仿宋" w:eastAsia="仿宋" w:hAnsi="仿宋" w:hint="eastAsia"/>
          <w:sz w:val="28"/>
        </w:rPr>
      </w:pPr>
      <w:r w:rsidRPr="00FE0080">
        <w:rPr>
          <w:rFonts w:ascii="仿宋" w:eastAsia="仿宋" w:hAnsi="仿宋" w:hint="eastAsia"/>
          <w:sz w:val="28"/>
        </w:rPr>
        <w:t>确定如何与受众互动，包括回应评论、私信、在线活动等。</w:t>
      </w:r>
    </w:p>
    <w:p w:rsidR="00FE0080" w:rsidP="00FE0080" w14:paraId="753DA4EC" w14:textId="58ECE2BA">
      <w:pPr>
        <w:pStyle w:val="Heading2"/>
      </w:pPr>
      <w:bookmarkStart w:id="3" w:name="_Toc153495378"/>
      <w:r w:rsidRPr="00FE0080">
        <w:t>(二)、在线广告与内容营销</w:t>
      </w:r>
      <w:bookmarkEnd w:id="3"/>
    </w:p>
    <w:p w:rsidR="00FE0080" w:rsidRPr="00FE0080" w:rsidP="00FE0080" w14:paraId="2A6D2230" w14:textId="77777777">
      <w:pPr>
        <w:ind w:firstLine="560" w:firstLineChars="200"/>
        <w:rPr>
          <w:rFonts w:ascii="仿宋" w:eastAsia="仿宋" w:hAnsi="仿宋"/>
          <w:sz w:val="28"/>
        </w:rPr>
      </w:pPr>
      <w:r w:rsidRPr="00FE0080">
        <w:rPr>
          <w:rFonts w:ascii="仿宋" w:eastAsia="仿宋" w:hAnsi="仿宋" w:hint="eastAsia"/>
          <w:sz w:val="28"/>
        </w:rPr>
        <w:t>选择合适的在线广告渠道，如</w:t>
      </w:r>
      <w:r w:rsidRPr="00FE0080">
        <w:rPr>
          <w:rFonts w:ascii="仿宋" w:eastAsia="仿宋" w:hAnsi="仿宋"/>
          <w:sz w:val="28"/>
        </w:rPr>
        <w:t>xxx、社交媒体广告等。</w:t>
      </w:r>
    </w:p>
    <w:p w:rsidR="00FE0080" w:rsidRPr="00FE0080" w:rsidP="00FE0080" w14:paraId="21F73368" w14:textId="77777777">
      <w:pPr>
        <w:ind w:firstLine="560" w:firstLineChars="200"/>
        <w:rPr>
          <w:rFonts w:ascii="仿宋" w:eastAsia="仿宋" w:hAnsi="仿宋"/>
          <w:sz w:val="28"/>
        </w:rPr>
      </w:pPr>
      <w:r w:rsidRPr="00FE0080">
        <w:rPr>
          <w:rFonts w:ascii="仿宋" w:eastAsia="仿宋" w:hAnsi="仿宋" w:hint="eastAsia"/>
          <w:sz w:val="28"/>
        </w:rPr>
        <w:t>制定吸引目标受众的广告创意，包括文案、图像、视频等。</w:t>
      </w:r>
    </w:p>
    <w:p w:rsidR="00FE0080" w:rsidRPr="00FE0080" w:rsidP="00FE0080" w14:paraId="55BD5FA2" w14:textId="77777777">
      <w:pPr>
        <w:ind w:firstLine="560" w:firstLineChars="200"/>
        <w:rPr>
          <w:rFonts w:ascii="仿宋" w:eastAsia="仿宋" w:hAnsi="仿宋"/>
          <w:sz w:val="28"/>
        </w:rPr>
      </w:pPr>
      <w:r w:rsidRPr="00FE0080">
        <w:rPr>
          <w:rFonts w:ascii="仿宋" w:eastAsia="仿宋" w:hAnsi="仿宋" w:hint="eastAsia"/>
          <w:sz w:val="28"/>
        </w:rPr>
        <w:t>制定广告预算并管理广告开支。</w:t>
      </w:r>
    </w:p>
    <w:p w:rsidR="00FE0080" w:rsidRPr="00FE0080" w:rsidP="00FE0080" w14:paraId="5DF78B7C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FE0080">
        <w:rPr>
          <w:rFonts w:ascii="仿宋" w:eastAsia="仿宋" w:hAnsi="仿宋" w:hint="eastAsia"/>
          <w:sz w:val="28"/>
        </w:rPr>
        <w:t>创建有吸引力的内容，包括博客文章、视频、信息图表等。</w:t>
      </w:r>
    </w:p>
    <w:p w:rsidR="00FE0080" w:rsidP="00FE0080" w14:paraId="56B6BA81" w14:textId="7CAF032A">
      <w:pPr>
        <w:ind w:firstLine="560" w:firstLineChars="200"/>
        <w:rPr>
          <w:rFonts w:ascii="仿宋" w:eastAsia="仿宋" w:hAnsi="仿宋" w:hint="eastAsia"/>
          <w:sz w:val="28"/>
        </w:rPr>
      </w:pPr>
      <w:r w:rsidRPr="00FE0080">
        <w:rPr>
          <w:rFonts w:ascii="仿宋" w:eastAsia="仿宋" w:hAnsi="仿宋" w:hint="eastAsia"/>
          <w:sz w:val="28"/>
        </w:rPr>
        <w:t>优化网站以提高在搜索引擎上的可见性。</w:t>
      </w:r>
    </w:p>
    <w:p w:rsidR="00FE0080" w:rsidP="00FE0080" w14:paraId="22486434" w14:textId="4E38F25C">
      <w:pPr>
        <w:pStyle w:val="Heading2"/>
      </w:pPr>
      <w:bookmarkStart w:id="4" w:name="_Toc153495379"/>
      <w:r w:rsidRPr="00FE0080">
        <w:t>(三)、社交媒体分析与ROI</w:t>
      </w:r>
      <w:bookmarkEnd w:id="4"/>
    </w:p>
    <w:p w:rsidR="00FE0080" w:rsidRPr="00FE0080" w:rsidP="00FE0080" w14:paraId="1EEC36F4" w14:textId="77777777">
      <w:pPr>
        <w:ind w:firstLine="560" w:firstLineChars="200"/>
        <w:rPr>
          <w:rFonts w:ascii="仿宋" w:eastAsia="仿宋" w:hAnsi="仿宋"/>
          <w:sz w:val="28"/>
        </w:rPr>
      </w:pPr>
      <w:r w:rsidRPr="00FE0080">
        <w:rPr>
          <w:rFonts w:ascii="仿宋" w:eastAsia="仿宋" w:hAnsi="仿宋" w:hint="eastAsia"/>
          <w:sz w:val="28"/>
        </w:rPr>
        <w:t>收集与社交媒体和在线营销相关的数据，包括关注者数量、点击率、转化率等。</w:t>
      </w:r>
    </w:p>
    <w:p w:rsidR="00FE0080" w:rsidRPr="00FE0080" w:rsidP="00FE0080" w14:paraId="3F888495" w14:textId="77777777">
      <w:pPr>
        <w:ind w:firstLine="560" w:firstLineChars="200"/>
        <w:rPr>
          <w:rFonts w:ascii="仿宋" w:eastAsia="仿宋" w:hAnsi="仿宋"/>
          <w:sz w:val="28"/>
        </w:rPr>
      </w:pPr>
      <w:r w:rsidRPr="00FE0080">
        <w:rPr>
          <w:rFonts w:ascii="仿宋" w:eastAsia="仿宋" w:hAnsi="仿宋" w:hint="eastAsia"/>
          <w:sz w:val="28"/>
        </w:rPr>
        <w:t>使用分析工具如</w:t>
      </w:r>
      <w:r w:rsidRPr="00FE0080">
        <w:rPr>
          <w:rFonts w:ascii="仿宋" w:eastAsia="仿宋" w:hAnsi="仿宋"/>
          <w:sz w:val="28"/>
        </w:rPr>
        <w:t>XXX、社交媒体分析工具来监测表现。</w:t>
      </w:r>
    </w:p>
    <w:p w:rsidR="00FE0080" w:rsidP="00FE0080" w14:paraId="6D55BDFD" w14:textId="73532E7A">
      <w:pPr>
        <w:ind w:firstLine="560" w:firstLineChars="200"/>
        <w:rPr>
          <w:rFonts w:ascii="仿宋" w:eastAsia="仿宋" w:hAnsi="仿宋" w:hint="eastAsia"/>
          <w:sz w:val="28"/>
        </w:rPr>
      </w:pPr>
      <w:r w:rsidRPr="00FE0080">
        <w:rPr>
          <w:rFonts w:ascii="仿宋" w:eastAsia="仿宋" w:hAnsi="仿宋" w:hint="eastAsia"/>
          <w:sz w:val="28"/>
        </w:rPr>
        <w:t>计算投资回报率，以确定哪些策略或广告效果最佳。</w:t>
      </w:r>
    </w:p>
    <w:p w:rsidR="00FE0080" w:rsidP="00FE0080" w14:paraId="62256468" w14:textId="4F89D72D">
      <w:pPr>
        <w:pStyle w:val="Heading1"/>
        <w:rPr>
          <w:rFonts w:hint="eastAsia"/>
        </w:rPr>
      </w:pPr>
      <w:bookmarkStart w:id="5" w:name="_Toc153495380"/>
      <w:r w:rsidRPr="00FE0080">
        <w:rPr>
          <w:rFonts w:hint="eastAsia"/>
        </w:rPr>
        <w:t>二、环保分析</w:t>
      </w:r>
      <w:bookmarkEnd w:id="5"/>
    </w:p>
    <w:p w:rsidR="00FE0080" w:rsidP="00FE0080" w14:paraId="7AD67D2C" w14:textId="118D0AC8">
      <w:pPr>
        <w:pStyle w:val="Heading2"/>
      </w:pPr>
      <w:bookmarkStart w:id="6" w:name="_Toc153495381"/>
      <w:r w:rsidRPr="00FE0080">
        <w:t>(一)、建设期环境影响</w:t>
      </w:r>
      <w:bookmarkEnd w:id="6"/>
    </w:p>
    <w:p w:rsidR="00FE0080" w:rsidRPr="00FE0080" w:rsidP="00FE0080" w14:paraId="3EB46D9E" w14:textId="77777777">
      <w:pPr>
        <w:ind w:firstLine="560" w:firstLineChars="200"/>
        <w:rPr>
          <w:rFonts w:ascii="仿宋" w:eastAsia="仿宋" w:hAnsi="仿宋"/>
          <w:sz w:val="28"/>
        </w:rPr>
      </w:pPr>
      <w:r w:rsidRPr="00FE0080">
        <w:rPr>
          <w:rFonts w:ascii="仿宋" w:eastAsia="仿宋" w:hAnsi="仿宋" w:hint="eastAsia"/>
          <w:sz w:val="28"/>
        </w:rPr>
        <w:t>在建设期，智慧园区项目将产生一定数量的污染物排放，主要涉及气体和颗粒物排放。为确保大气环境的合理性，进行了详尽的排放分析：</w:t>
      </w:r>
    </w:p>
    <w:p w:rsidR="00FE0080" w:rsidRPr="00FE0080" w:rsidP="00FE0080" w14:paraId="34B81C79" w14:textId="77777777">
      <w:pPr>
        <w:ind w:firstLine="560" w:firstLineChars="200"/>
        <w:rPr>
          <w:rFonts w:ascii="仿宋" w:eastAsia="仿宋" w:hAnsi="仿宋"/>
          <w:sz w:val="28"/>
        </w:rPr>
      </w:pPr>
      <w:r w:rsidRPr="00FE0080">
        <w:rPr>
          <w:rFonts w:ascii="仿宋" w:eastAsia="仿宋" w:hAnsi="仿宋" w:hint="eastAsia"/>
          <w:sz w:val="28"/>
        </w:rPr>
        <w:t>气体排放分析：</w:t>
      </w:r>
      <w:r w:rsidRPr="00FE0080">
        <w:rPr>
          <w:rFonts w:ascii="仿宋" w:eastAsia="仿宋" w:hAnsi="仿宋"/>
          <w:sz w:val="28"/>
        </w:rPr>
        <w:t xml:space="preserve"> 对智慧园区项目涉及的气体排放进行详细测算，包括二氧化硫（SO2）、氮氧化物（NOx）、挥发性有机物（VOCs）等。采用先进的净化技术和设备以最大程度减少对大气的不良影响。</w:t>
      </w:r>
    </w:p>
    <w:p w:rsidR="00FE0080" w:rsidRPr="00FE0080" w:rsidP="00FE0080" w14:paraId="69F55C80" w14:textId="77777777">
      <w:pPr>
        <w:ind w:firstLine="560" w:firstLineChars="200"/>
        <w:rPr>
          <w:rFonts w:ascii="仿宋" w:eastAsia="仿宋" w:hAnsi="仿宋"/>
          <w:sz w:val="28"/>
        </w:rPr>
      </w:pPr>
      <w:r w:rsidRPr="00FE0080">
        <w:rPr>
          <w:rFonts w:ascii="仿宋" w:eastAsia="仿宋" w:hAnsi="仿宋" w:hint="eastAsia"/>
          <w:sz w:val="28"/>
        </w:rPr>
        <w:t>颗粒物排放分析：</w:t>
      </w:r>
      <w:r w:rsidRPr="00FE0080">
        <w:rPr>
          <w:rFonts w:ascii="仿宋" w:eastAsia="仿宋" w:hAnsi="仿宋"/>
          <w:sz w:val="28"/>
        </w:rPr>
        <w:t xml:space="preserve"> 对建设期排放的颗粒物进行严格监测，确保在合理范围内，不对空气质量产生显著不良影响。定期进行现场检测和数据分析，随时调整净化设备以提高排放标准。</w:t>
      </w:r>
    </w:p>
    <w:p w:rsidR="00FE0080" w:rsidRPr="00FE0080" w:rsidP="00FE0080" w14:paraId="31F999B8" w14:textId="77777777">
      <w:pPr>
        <w:ind w:firstLine="560" w:firstLineChars="200"/>
        <w:rPr>
          <w:rFonts w:ascii="仿宋" w:eastAsia="仿宋" w:hAnsi="仿宋"/>
          <w:sz w:val="28"/>
        </w:rPr>
      </w:pPr>
      <w:r w:rsidRPr="00FE0080">
        <w:rPr>
          <w:rFonts w:ascii="仿宋" w:eastAsia="仿宋" w:hAnsi="仿宋"/>
          <w:sz w:val="28"/>
        </w:rPr>
        <w:t>2.1.2 水体质量评估</w:t>
      </w:r>
    </w:p>
    <w:p w:rsidR="00FE0080" w:rsidRPr="00FE0080" w:rsidP="00FE0080" w14:paraId="6B28CA86" w14:textId="77777777">
      <w:pPr>
        <w:ind w:firstLine="560" w:firstLineChars="200"/>
        <w:rPr>
          <w:rFonts w:ascii="仿宋" w:eastAsia="仿宋" w:hAnsi="仿宋"/>
          <w:sz w:val="28"/>
        </w:rPr>
      </w:pPr>
      <w:r w:rsidRPr="00FE0080">
        <w:rPr>
          <w:rFonts w:ascii="仿宋" w:eastAsia="仿宋" w:hAnsi="仿宋" w:hint="eastAsia"/>
          <w:sz w:val="28"/>
        </w:rPr>
        <w:t>为了评估对周边水体的潜在影响，进行了水体质量的全面评估：</w:t>
      </w:r>
      <w:r w:rsidRPr="00FE0080">
        <w:rPr>
          <w:rFonts w:ascii="仿宋" w:eastAsia="仿宋" w:hAnsi="仿宋"/>
          <w:sz w:val="28"/>
        </w:rPr>
        <w:br/>
      </w:r>
      <w:r w:rsidRPr="00FE0080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https://d.book118.com/668124026024006027</w:t>
        </w:r>
      </w:hyperlink>
    </w:p>
    <w:p w:rsidR="00FE0080" w:rsidRPr="00FE0080" w:rsidP="00FE0080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080" w:rsidP="00156D0E" w14:paraId="5735878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E0080" w14:paraId="4B18F42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080" w:rsidP="00156D0E" w14:paraId="3B9CCA51" w14:textId="6A3E10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E0080" w14:paraId="385B28F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080" w14:paraId="6C8D5CE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080" w:rsidP="00156D0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E008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080" w:rsidP="00156D0E" w14:textId="6A3E10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E008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08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080" w:rsidP="00156D0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E008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080" w:rsidP="00156D0E" w14:textId="6A3E10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E008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08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080" w:rsidP="00156D0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E008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080" w:rsidP="00156D0E" w14:textId="6A3E10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E008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080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080" w:rsidP="00156D0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E0080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080" w:rsidP="00156D0E" w14:textId="6A3E10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FE0080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080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080" w:rsidP="00156D0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E0080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080" w:rsidP="00156D0E" w14:textId="6A3E10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FE0080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080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080" w:rsidP="00156D0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E0080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080" w:rsidP="00156D0E" w14:textId="6A3E10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FE0080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08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080" w14:paraId="3216E80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080" w:rsidRPr="00FE0080" w:rsidP="00FE0080" w14:paraId="6C83836B" w14:textId="06314AFB">
    <w:pPr>
      <w:pStyle w:val="Header"/>
      <w:rPr>
        <w:rFonts w:ascii="仿宋" w:eastAsia="仿宋" w:hAnsi="仿宋"/>
      </w:rPr>
    </w:pPr>
    <w:r w:rsidRPr="00FE0080">
      <w:rPr>
        <w:rFonts w:ascii="仿宋" w:eastAsia="仿宋" w:hAnsi="仿宋" w:hint="eastAsia"/>
      </w:rPr>
      <w:t>智慧园区项目绩效评估报告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080" w14:paraId="3231B52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08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080" w:rsidRPr="00FE0080" w:rsidP="00FE0080" w14:textId="06314AFB">
    <w:pPr>
      <w:pStyle w:val="Header"/>
      <w:rPr>
        <w:rFonts w:ascii="仿宋" w:eastAsia="仿宋" w:hAnsi="仿宋"/>
      </w:rPr>
    </w:pPr>
    <w:r w:rsidRPr="00FE0080">
      <w:rPr>
        <w:rFonts w:ascii="仿宋" w:eastAsia="仿宋" w:hAnsi="仿宋" w:hint="eastAsia"/>
      </w:rPr>
      <w:t>智慧园区项目绩效评估报告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08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08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080" w:rsidRPr="00FE0080" w:rsidP="00FE0080" w14:textId="06314AFB">
    <w:pPr>
      <w:pStyle w:val="Header"/>
      <w:rPr>
        <w:rFonts w:ascii="仿宋" w:eastAsia="仿宋" w:hAnsi="仿宋"/>
      </w:rPr>
    </w:pPr>
    <w:r w:rsidRPr="00FE0080">
      <w:rPr>
        <w:rFonts w:ascii="仿宋" w:eastAsia="仿宋" w:hAnsi="仿宋" w:hint="eastAsia"/>
      </w:rPr>
      <w:t>智慧园区项目绩效评估报告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08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08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080" w:rsidRPr="00FE0080" w:rsidP="00FE0080" w14:textId="06314AFB">
    <w:pPr>
      <w:pStyle w:val="Header"/>
      <w:rPr>
        <w:rFonts w:ascii="仿宋" w:eastAsia="仿宋" w:hAnsi="仿宋"/>
      </w:rPr>
    </w:pPr>
    <w:r w:rsidRPr="00FE0080">
      <w:rPr>
        <w:rFonts w:ascii="仿宋" w:eastAsia="仿宋" w:hAnsi="仿宋" w:hint="eastAsia"/>
      </w:rPr>
      <w:t>智慧园区项目绩效评估报告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080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080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080" w:rsidRPr="00FE0080" w:rsidP="00FE0080" w14:textId="06314AFB">
    <w:pPr>
      <w:pStyle w:val="Header"/>
      <w:rPr>
        <w:rFonts w:ascii="仿宋" w:eastAsia="仿宋" w:hAnsi="仿宋"/>
      </w:rPr>
    </w:pPr>
    <w:r w:rsidRPr="00FE0080">
      <w:rPr>
        <w:rFonts w:ascii="仿宋" w:eastAsia="仿宋" w:hAnsi="仿宋" w:hint="eastAsia"/>
      </w:rPr>
      <w:t>智慧园区项目绩效评估报告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080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080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080" w:rsidRPr="00FE0080" w:rsidP="00FE0080" w14:textId="06314AFB">
    <w:pPr>
      <w:pStyle w:val="Header"/>
      <w:rPr>
        <w:rFonts w:ascii="仿宋" w:eastAsia="仿宋" w:hAnsi="仿宋"/>
      </w:rPr>
    </w:pPr>
    <w:r w:rsidRPr="00FE0080">
      <w:rPr>
        <w:rFonts w:ascii="仿宋" w:eastAsia="仿宋" w:hAnsi="仿宋" w:hint="eastAsia"/>
      </w:rPr>
      <w:t>智慧园区项目绩效评估报告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080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080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080" w:rsidRPr="00FE0080" w:rsidP="00FE0080" w14:textId="06314AFB">
    <w:pPr>
      <w:pStyle w:val="Header"/>
      <w:rPr>
        <w:rFonts w:ascii="仿宋" w:eastAsia="仿宋" w:hAnsi="仿宋"/>
      </w:rPr>
    </w:pPr>
    <w:r w:rsidRPr="00FE0080">
      <w:rPr>
        <w:rFonts w:ascii="仿宋" w:eastAsia="仿宋" w:hAnsi="仿宋" w:hint="eastAsia"/>
      </w:rPr>
      <w:t>智慧园区项目绩效评估报告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08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0080"/>
    <w:rsid w:val="00156D0E"/>
    <w:rsid w:val="0022392F"/>
    <w:rsid w:val="00FE008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0C3A43F"/>
  <w15:chartTrackingRefBased/>
  <w15:docId w15:val="{78F415A2-20F7-46B6-9490-ED3CF14ABD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E008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E008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E008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E008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E008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E008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E00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E008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E0080"/>
  </w:style>
  <w:style w:type="paragraph" w:styleId="TOC1">
    <w:name w:val="toc 1"/>
    <w:basedOn w:val="Normal"/>
    <w:next w:val="Normal"/>
    <w:autoRedefine/>
    <w:uiPriority w:val="39"/>
    <w:unhideWhenUsed/>
    <w:rsid w:val="00FE0080"/>
  </w:style>
  <w:style w:type="paragraph" w:styleId="TOC2">
    <w:name w:val="toc 2"/>
    <w:basedOn w:val="Normal"/>
    <w:next w:val="Normal"/>
    <w:autoRedefine/>
    <w:uiPriority w:val="39"/>
    <w:unhideWhenUsed/>
    <w:rsid w:val="00FE008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668124026024006027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3377</Words>
  <Characters>19253</Characters>
  <Application>Microsoft Office Word</Application>
  <DocSecurity>0</DocSecurity>
  <Lines>160</Lines>
  <Paragraphs>45</Paragraphs>
  <ScaleCrop>false</ScaleCrop>
  <Company/>
  <LinksUpToDate>false</LinksUpToDate>
  <CharactersWithSpaces>22585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2023-12-14T17:15:00Z</dcterms:created>
  <dcterms:modified xsi:type="dcterms:W3CDTF">2023-12-14T17:15:00Z</dcterms:modified>
</cp:coreProperties>
</file>