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800" w:lineRule="exact"/>
        <w:ind w:firstLine="960" w:firstLineChars="300"/>
        <w:rPr>
          <w:rFonts w:ascii="Times New Roman" w:hAnsi="Times New Roman" w:cs="Times New Roman"/>
          <w:b/>
          <w:bCs/>
          <w:sz w:val="30"/>
          <w:u w:val="single"/>
        </w:rPr>
      </w:pPr>
      <w:r>
        <w:rPr>
          <w:rFonts w:ascii="Times New Roman" w:hAnsi="Times New Roman" w:cs="Times New Roman"/>
          <w:b/>
          <w:bCs/>
          <w:sz w:val="32"/>
          <w:u w:val="single"/>
        </w:rPr>
        <w:t xml:space="preserve">                       </w:t>
      </w:r>
    </w:p>
    <w:p>
      <w:pPr>
        <w:spacing w:line="800" w:lineRule="exact"/>
        <w:rPr>
          <w:rFonts w:ascii="Times New Roman" w:hAnsi="Times New Roman" w:cs="Times New Roman"/>
          <w:b/>
          <w:bCs/>
          <w:sz w:val="32"/>
          <w:u w:val="single"/>
        </w:rPr>
      </w:pPr>
      <w:bookmarkStart w:id="0" w:name="_GoBack"/>
      <w:r>
        <w:rPr>
          <w:rFonts w:ascii="Times New Roman" w:hAnsi="宋体" w:cs="Times New Roman"/>
          <w:b/>
          <w:bCs/>
          <w:sz w:val="32"/>
          <w:u w:val="single"/>
        </w:rPr>
        <w:t>铁碳微电解处理印染废水的生物毒性及机理研究</w:t>
      </w:r>
      <w:bookmarkEnd w:id="0"/>
      <w:r>
        <w:rPr>
          <w:rFonts w:ascii="Times New Roman" w:hAnsi="Times New Roman" w:cs="Times New Roman"/>
          <w:b/>
          <w:bCs/>
          <w:sz w:val="32"/>
          <w:u w:val="single"/>
        </w:rPr>
        <w:tab/>
      </w:r>
      <w:r>
        <w:rPr>
          <w:rFonts w:ascii="Times New Roman" w:hAnsi="Times New Roman" w:cs="Times New Roman"/>
          <w:b/>
          <w:bCs/>
          <w:sz w:val="32"/>
          <w:u w:val="single"/>
        </w:rPr>
        <w:tab/>
      </w:r>
      <w:r>
        <w:rPr>
          <w:rFonts w:ascii="Times New Roman" w:hAnsi="Times New Roman" w:cs="Times New Roman"/>
          <w:b/>
          <w:bCs/>
          <w:sz w:val="32"/>
          <w:u w:val="single"/>
        </w:rPr>
        <w:tab/>
      </w:r>
      <w:r>
        <w:rPr>
          <w:rFonts w:ascii="Times New Roman" w:hAnsi="Times New Roman" w:cs="Times New Roman"/>
          <w:b/>
          <w:bCs/>
          <w:sz w:val="32"/>
          <w:u w:val="single"/>
        </w:rPr>
        <w:tab/>
      </w:r>
      <w:r>
        <w:rPr>
          <w:rFonts w:ascii="Times New Roman" w:hAnsi="Times New Roman" w:cs="Times New Roman"/>
          <w:b/>
          <w:bCs/>
          <w:sz w:val="32"/>
          <w:u w:val="single"/>
        </w:rPr>
        <w:tab/>
      </w:r>
      <w:r>
        <w:rPr>
          <w:rFonts w:ascii="Times New Roman" w:hAnsi="Times New Roman" w:cs="Times New Roman"/>
          <w:b/>
          <w:bCs/>
          <w:sz w:val="32"/>
          <w:u w:val="single"/>
        </w:rPr>
        <w:tab/>
      </w:r>
      <w:r>
        <w:rPr>
          <w:rFonts w:ascii="Times New Roman" w:hAnsi="Times New Roman" w:cs="Times New Roman"/>
          <w:b/>
          <w:bCs/>
          <w:sz w:val="32"/>
          <w:u w:val="single"/>
        </w:rPr>
        <w:tab/>
      </w:r>
    </w:p>
    <w:p>
      <w:pPr>
        <w:spacing w:line="800" w:lineRule="exact"/>
        <w:rPr>
          <w:rFonts w:ascii="Times New Roman" w:eastAsia="黑体" w:hAnsi="Times New Roman" w:cs="Times New Roman"/>
          <w:b/>
          <w:bCs/>
          <w:sz w:val="32"/>
          <w:u w:val="single"/>
        </w:rPr>
      </w:pPr>
      <w:r>
        <w:rPr>
          <w:rFonts w:ascii="Times New Roman" w:eastAsia="黑体" w:hAnsi="Times New Roman" w:cs="Times New Roman"/>
          <w:b/>
          <w:bCs/>
          <w:sz w:val="32"/>
          <w:u w:val="single"/>
        </w:rPr>
        <w:t xml:space="preserve">           </w:t>
      </w:r>
      <w:bookmarkStart w:id="1" w:name="_Toc326225821"/>
    </w:p>
    <w:bookmarkEnd w:id="1"/>
    <w:p>
      <w:pPr>
        <w:pStyle w:val="Heading1"/>
        <w:spacing w:before="240" w:beforeLines="100" w:after="240" w:afterLines="100" w:line="360" w:lineRule="auto"/>
        <w:rPr>
          <w:b w:val="0"/>
        </w:rPr>
      </w:pPr>
      <w:bookmarkStart w:id="2" w:name="_Toc11614821"/>
      <w:bookmarkStart w:id="3" w:name="_Toc25117"/>
      <w:bookmarkStart w:id="4" w:name="_Toc5150"/>
      <w:bookmarkStart w:id="5" w:name="_Toc11615563"/>
      <w:bookmarkStart w:id="6" w:name="_Toc11614884"/>
      <w:bookmarkStart w:id="7" w:name="_Toc967"/>
      <w:bookmarkStart w:id="8" w:name="_Toc11615324"/>
      <w:bookmarkStart w:id="9" w:name="_Toc516131803"/>
      <w:r>
        <w:rPr>
          <w:b w:val="0"/>
        </w:rPr>
        <w:t>摘    要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</w:p>
    <w:p>
      <w:pPr>
        <w:pStyle w:val="a5"/>
      </w:pPr>
      <w:r>
        <w:rPr>
          <w:rFonts w:hint="eastAsia"/>
          <w:lang w:val="zh-CN"/>
        </w:rPr>
        <w:t>印染废水因</w:t>
      </w:r>
      <w:r>
        <w:rPr>
          <w:rFonts w:hint="eastAsia"/>
        </w:rPr>
        <w:t>为</w:t>
      </w:r>
      <w:r>
        <w:rPr>
          <w:rFonts w:hint="eastAsia"/>
          <w:lang w:val="zh-CN"/>
        </w:rPr>
        <w:t>具有</w:t>
      </w:r>
      <w:r>
        <w:rPr>
          <w:rFonts w:hint="eastAsia"/>
        </w:rPr>
        <w:t>排放量大，</w:t>
      </w:r>
      <w:r>
        <w:rPr>
          <w:rFonts w:hint="eastAsia"/>
          <w:lang w:val="zh-CN"/>
        </w:rPr>
        <w:t>有机污染物</w:t>
      </w:r>
      <w:r>
        <w:rPr>
          <w:rFonts w:hint="eastAsia"/>
        </w:rPr>
        <w:t>成分复杂等特点，是一种难降解工业废水。本研究应用铁碳微电解技术处理印染废水，通过多种手段研究了铁碳微电解机理以及出水生物毒性。</w:t>
      </w:r>
    </w:p>
    <w:p>
      <w:pPr>
        <w:pStyle w:val="a5"/>
        <w:rPr>
          <w:rFonts w:ascii="Times New Roman" w:hAnsi="Times New Roman" w:cs="Times New Roman"/>
        </w:rPr>
      </w:pPr>
      <w:r>
        <w:rPr>
          <w:rFonts w:ascii="Times New Roman" w:cs="Times New Roman" w:hint="eastAsia"/>
        </w:rPr>
        <w:t>首先，本实验</w:t>
      </w:r>
      <w:r>
        <w:rPr>
          <w:rFonts w:ascii="Times New Roman" w:cs="Times New Roman"/>
        </w:rPr>
        <w:t>通过测定羟基自由基、循环伏安法等手段分析铁碳微电解相关机理。</w:t>
      </w:r>
      <w:r>
        <w:rPr>
          <w:rFonts w:ascii="Times New Roman" w:hAnsi="Times New Roman" w:cs="Times New Roman"/>
          <w:szCs w:val="24"/>
        </w:rPr>
        <w:t>在铁碳微电解处理过程中, 废水中有机物在电场作用下会发生显著的氧化还原反应, 从而影响处理效果。</w:t>
      </w:r>
      <w:r>
        <w:rPr>
          <w:rFonts w:ascii="Times New Roman" w:hAnsi="Times New Roman" w:cs="Times New Roman" w:hint="eastAsia"/>
          <w:szCs w:val="24"/>
        </w:rPr>
        <w:t>此外，</w:t>
      </w:r>
      <w:r>
        <w:rPr>
          <w:rFonts w:ascii="Times New Roman" w:hAnsi="Times New Roman" w:cs="Times New Roman"/>
        </w:rPr>
        <w:t>铁碳微电解对芳香物质和蛋白质或有机酸等有机物的去除效果较好，对蛋白类有机污染物去除率为89.50 %</w:t>
      </w:r>
      <w:r>
        <w:rPr>
          <w:rFonts w:ascii="Times New Roman" w:hAnsi="Times New Roman" w:cs="Times New Roman" w:hint="eastAsia"/>
        </w:rPr>
        <w:t>。</w:t>
      </w:r>
    </w:p>
    <w:p>
      <w:pPr>
        <w:pStyle w:val="a5"/>
        <w:rPr>
          <w:rFonts w:ascii="Times New Roman" w:hAnsi="Times New Roman" w:cs="Times New Roman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708" w:footer="708" w:gutter="0"/>
          <w:pgNumType w:fmt="upperRoman" w:start="1"/>
          <w:cols w:num="1" w:space="708"/>
          <w:titlePg/>
          <w:docGrid w:linePitch="360" w:charSpace="0"/>
        </w:sectPr>
      </w:pPr>
      <w:r>
        <w:rPr>
          <w:rFonts w:ascii="Times New Roman" w:hAnsi="Times New Roman" w:cs="Times New Roman" w:hint="eastAsia"/>
          <w:szCs w:val="24"/>
        </w:rPr>
        <w:t>其次，通过</w:t>
      </w:r>
      <w:r>
        <w:rPr>
          <w:rFonts w:ascii="Times New Roman" w:hAnsi="Times New Roman" w:cs="Times New Roman"/>
        </w:rPr>
        <w:t>GC-MS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cs="Times New Roman"/>
        </w:rPr>
        <w:t>红外光谱</w:t>
      </w:r>
      <w:r>
        <w:rPr>
          <w:rFonts w:ascii="Times New Roman" w:cs="Times New Roman" w:hint="eastAsia"/>
        </w:rPr>
        <w:t>手段发现，</w:t>
      </w:r>
      <w:r>
        <w:rPr>
          <w:rFonts w:ascii="Times New Roman" w:hAnsi="Times New Roman" w:cs="Times New Roman"/>
          <w:szCs w:val="24"/>
        </w:rPr>
        <w:t>进水中酯类污染物占进水总污染物的</w:t>
      </w:r>
      <w:r>
        <w:rPr>
          <w:rFonts w:ascii="Times New Roman" w:hAnsi="Times New Roman" w:cs="Times New Roman"/>
        </w:rPr>
        <w:t>69.91</w:t>
      </w:r>
      <w:r>
        <w:rPr>
          <w:rFonts w:ascii="Times New Roman" w:hAnsi="Times New Roman" w:cs="Times New Roman"/>
          <w:szCs w:val="24"/>
        </w:rPr>
        <w:t>%。2,2[6 -(1,1 -二甲基乙基)4-羟甲基苯酚占进水有机物总量的</w:t>
      </w:r>
      <w:r>
        <w:rPr>
          <w:rFonts w:ascii="Times New Roman" w:hAnsi="Times New Roman" w:cs="Times New Roman"/>
        </w:rPr>
        <w:t>4.26</w:t>
      </w:r>
      <w:r>
        <w:rPr>
          <w:rFonts w:ascii="Times New Roman" w:hAnsi="Times New Roman" w:cs="Times New Roman"/>
          <w:szCs w:val="24"/>
        </w:rPr>
        <w:t>%，其他有机物占</w:t>
      </w:r>
      <w:r>
        <w:rPr>
          <w:rFonts w:ascii="Times New Roman" w:hAnsi="Times New Roman" w:cs="Times New Roman"/>
        </w:rPr>
        <w:t>25.83</w:t>
      </w:r>
      <w:r>
        <w:rPr>
          <w:rFonts w:ascii="Times New Roman" w:hAnsi="Times New Roman" w:cs="Times New Roman"/>
          <w:szCs w:val="24"/>
        </w:rPr>
        <w:t>%。出水中仍含有甘油、2,2[6 -(1,1 -二甲基乙基)4-羟甲基苯酚、邻苯二甲酸二异辛酯</w:t>
      </w:r>
      <w:r>
        <w:rPr>
          <w:rFonts w:ascii="Times New Roman" w:hAnsi="Times New Roman" w:cs="Times New Roman"/>
        </w:rPr>
        <w:t>。</w:t>
      </w:r>
      <w:r>
        <w:rPr>
          <w:rFonts w:ascii="Times New Roman" w:hAnsi="Times New Roman" w:cs="Times New Roman"/>
          <w:szCs w:val="24"/>
        </w:rPr>
        <w:t>铁碳微电解几乎将三甲基硅烷基醇、磷酸三乙酯、磷酸-苯基-双(三甲基硅基)酯、1,3-二戊基-巴比妥、柠檬酸三乙酯、D-(+)甘露糖、醛腈、五乙酸酯全部去除，甘油的去除率为26.6 %，2,2[6 -(1,1 -二甲基乙基)4-羟甲基苯酚的去除率为49.2 %，邻苯二甲酸二异辛酯的含量有所增加。废水中含有O-H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  <w:szCs w:val="24"/>
        </w:rPr>
        <w:t>N-H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  <w:szCs w:val="24"/>
        </w:rPr>
        <w:t>累积双键O=C=O</w:t>
      </w:r>
      <w:r>
        <w:rPr>
          <w:rFonts w:ascii="Times New Roman" w:hAnsi="Times New Roman" w:cs="Times New Roman"/>
        </w:rPr>
        <w:t xml:space="preserve">、 </w:t>
      </w:r>
      <w:r>
        <w:rPr>
          <w:rFonts w:ascii="Times New Roman" w:hAnsi="Times New Roman" w:cs="Times New Roman"/>
          <w:szCs w:val="24"/>
        </w:rPr>
        <w:t>-C=C-</w:t>
      </w:r>
      <w:r>
        <w:rPr>
          <w:rFonts w:ascii="Times New Roman" w:hAnsi="Times New Roman" w:cs="Times New Roman"/>
        </w:rPr>
        <w:t>、苯环、</w:t>
      </w:r>
      <w:r>
        <w:rPr>
          <w:rFonts w:ascii="Times New Roman" w:hAnsi="Times New Roman" w:cs="Times New Roman"/>
          <w:szCs w:val="24"/>
        </w:rPr>
        <w:t>-C=N-</w:t>
      </w:r>
      <w:r>
        <w:rPr>
          <w:rFonts w:ascii="Times New Roman" w:hAnsi="Times New Roman" w:cs="Times New Roman"/>
        </w:rPr>
        <w:t xml:space="preserve">、 </w:t>
      </w:r>
      <w:r>
        <w:rPr>
          <w:rFonts w:ascii="Times New Roman" w:hAnsi="Times New Roman" w:cs="Times New Roman"/>
          <w:szCs w:val="24"/>
        </w:rPr>
        <w:t>C-C</w:t>
      </w:r>
      <w:r>
        <w:rPr>
          <w:rFonts w:ascii="Times New Roman" w:hAnsi="Times New Roman" w:cs="Times New Roman"/>
        </w:rPr>
        <w:t xml:space="preserve">、 </w:t>
      </w:r>
      <w:r>
        <w:rPr>
          <w:rFonts w:ascii="Times New Roman" w:hAnsi="Times New Roman" w:cs="Times New Roman"/>
          <w:szCs w:val="24"/>
        </w:rPr>
        <w:t>C-H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  <w:szCs w:val="24"/>
        </w:rPr>
        <w:t>苯环对二取代或者苯环间二取代</w:t>
      </w:r>
      <w:r>
        <w:rPr>
          <w:rFonts w:ascii="Times New Roman" w:hAnsi="Times New Roman" w:cs="Times New Roman"/>
        </w:rPr>
        <w:t>、无机硫酸盐，</w:t>
      </w:r>
      <w:r>
        <w:rPr>
          <w:rFonts w:ascii="Times New Roman" w:hAnsi="Times New Roman" w:cs="Times New Roman"/>
          <w:szCs w:val="24"/>
        </w:rPr>
        <w:t>废水中</w:t>
      </w:r>
      <w:r>
        <w:rPr>
          <w:rFonts w:ascii="Times New Roman" w:hAnsi="Times New Roman" w:cs="Times New Roman"/>
        </w:rPr>
        <w:t>还</w:t>
      </w:r>
      <w:r>
        <w:rPr>
          <w:rFonts w:ascii="Times New Roman" w:hAnsi="Times New Roman" w:cs="Times New Roman"/>
          <w:szCs w:val="24"/>
        </w:rPr>
        <w:t>可能存在酯类、酚</w:t>
      </w:r>
      <w:r>
        <w:rPr>
          <w:rFonts w:ascii="Times New Roman" w:hAnsi="Times New Roman" w:cs="Times New Roman"/>
        </w:rPr>
        <w:t>类、酰胺类化合物，</w:t>
      </w:r>
      <w:r>
        <w:rPr>
          <w:rFonts w:ascii="Times New Roman" w:hAnsi="Times New Roman" w:cs="Times New Roman"/>
          <w:szCs w:val="24"/>
        </w:rPr>
        <w:t>铁碳微电解</w:t>
      </w:r>
      <w:r>
        <w:rPr>
          <w:rFonts w:ascii="Times New Roman" w:hAnsi="Times New Roman" w:cs="Times New Roman"/>
        </w:rPr>
        <w:t>能够有效除去</w:t>
      </w:r>
      <w:r>
        <w:rPr>
          <w:rFonts w:ascii="Times New Roman" w:hAnsi="Times New Roman" w:cs="Times New Roman"/>
          <w:szCs w:val="24"/>
        </w:rPr>
        <w:t>酯类有机物。此外，铁碳微电解处理废水</w:t>
      </w:r>
      <w:r>
        <w:rPr>
          <w:rFonts w:ascii="Times New Roman" w:hAnsi="Times New Roman" w:cs="Times New Roman"/>
        </w:rPr>
        <w:t>可以</w:t>
      </w:r>
      <w:r>
        <w:rPr>
          <w:rFonts w:ascii="Times New Roman" w:hAnsi="Times New Roman" w:cs="Times New Roman"/>
          <w:szCs w:val="24"/>
        </w:rPr>
        <w:t>导致有机污染物分子结构发生变化</w:t>
      </w:r>
      <w:r>
        <w:rPr>
          <w:rFonts w:ascii="Times New Roman" w:hAnsi="Times New Roman" w:cs="Times New Roman"/>
        </w:rPr>
        <w:t>。</w:t>
      </w:r>
    </w:p>
    <w:p>
      <w:pPr>
        <w:pStyle w:val="a5"/>
        <w:rPr>
          <w:rFonts w:ascii="Times New Roman" w:hAnsi="Times New Roman" w:cs="Times New Roman"/>
        </w:rPr>
      </w:pPr>
      <w:r>
        <w:rPr>
          <w:rFonts w:ascii="Times New Roman" w:eastAsia="宋体" w:hAnsi="宋体" w:cs="Times New Roman" w:hint="eastAsia"/>
        </w:rPr>
        <w:t>最后，</w:t>
      </w:r>
      <w:r>
        <w:rPr>
          <w:rFonts w:ascii="Times New Roman" w:eastAsia="宋体" w:hAnsi="宋体" w:cs="Times New Roman"/>
        </w:rPr>
        <w:t>通过</w:t>
      </w:r>
      <w:r>
        <w:rPr>
          <w:rFonts w:ascii="Times New Roman" w:cs="Times New Roman"/>
        </w:rPr>
        <w:t>测定</w:t>
      </w:r>
      <w:r>
        <w:rPr>
          <w:rFonts w:ascii="Times New Roman" w:eastAsia="宋体" w:hAnsi="宋体" w:cs="Times New Roman"/>
        </w:rPr>
        <w:t>大肠杆菌</w:t>
      </w:r>
      <w:r>
        <w:rPr>
          <w:rFonts w:ascii="Times New Roman" w:cs="Times New Roman"/>
        </w:rPr>
        <w:t>生长曲线</w:t>
      </w:r>
      <w:r>
        <w:rPr>
          <w:rFonts w:ascii="Times New Roman" w:eastAsia="宋体" w:hAnsi="宋体" w:cs="Times New Roman"/>
        </w:rPr>
        <w:t>、</w:t>
      </w:r>
      <w:r>
        <w:rPr>
          <w:rFonts w:ascii="Times New Roman" w:cs="Times New Roman"/>
        </w:rPr>
        <w:t>平板计数法、吖啶橙染色</w:t>
      </w:r>
      <w:r>
        <w:rPr>
          <w:rFonts w:ascii="Times New Roman" w:eastAsia="宋体" w:hAnsi="宋体" w:cs="Times New Roman"/>
        </w:rPr>
        <w:t>等对比分析铁碳微电解工艺进出水生物毒性变化</w:t>
      </w:r>
      <w:r>
        <w:rPr>
          <w:rFonts w:ascii="Times New Roman" w:cs="Times New Roman"/>
        </w:rPr>
        <w:t>。</w:t>
      </w:r>
      <w:r>
        <w:rPr>
          <w:rFonts w:ascii="Times New Roman" w:hAnsi="Times New Roman" w:cs="Times New Roman"/>
          <w:szCs w:val="24"/>
        </w:rPr>
        <w:t>出水</w:t>
      </w:r>
      <w:r>
        <w:rPr>
          <w:rFonts w:ascii="Times New Roman" w:hAnsi="Times New Roman" w:cs="Times New Roman"/>
        </w:rPr>
        <w:t>生物毒性明显小于进水，</w:t>
      </w:r>
      <w:r>
        <w:rPr>
          <w:rFonts w:ascii="Times New Roman" w:hAnsi="Times New Roman" w:cs="Times New Roman"/>
          <w:szCs w:val="24"/>
        </w:rPr>
        <w:t>铁碳微电解处理效果较好，除去了大部分有机污染物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szCs w:val="24"/>
        </w:rPr>
        <w:t>但是出水具有一定毒性，仍然不利用菌体生长。</w:t>
      </w:r>
      <w:r>
        <w:rPr>
          <w:rFonts w:ascii="Times New Roman" w:hAnsi="Times New Roman" w:cs="Times New Roman"/>
        </w:rPr>
        <w:t>大肠杆菌在进水里几乎无法存活，</w:t>
      </w:r>
      <w:r>
        <w:rPr>
          <w:rFonts w:ascii="Times New Roman" w:hAnsi="Times New Roman" w:cs="Times New Roman"/>
          <w:szCs w:val="24"/>
        </w:rPr>
        <w:t>毒性极大，出水组</w:t>
      </w:r>
      <w:r>
        <w:rPr>
          <w:rFonts w:ascii="Times New Roman" w:hAnsi="Times New Roman" w:cs="Times New Roman"/>
        </w:rPr>
        <w:t>的</w:t>
      </w:r>
      <w:r>
        <w:rPr>
          <w:rFonts w:ascii="Times New Roman" w:hAnsi="Times New Roman" w:cs="Times New Roman"/>
          <w:szCs w:val="24"/>
        </w:rPr>
        <w:t>生物毒性为对照组的30.8％</w:t>
      </w:r>
      <w:r>
        <w:rPr>
          <w:rFonts w:ascii="Times New Roman" w:hAnsi="Times New Roman" w:cs="Times New Roman"/>
        </w:rPr>
        <w:t>。</w:t>
      </w:r>
    </w:p>
    <w:p>
      <w:pPr>
        <w:pStyle w:val="a5"/>
        <w:ind w:firstLine="0" w:firstLineChars="0"/>
        <w:rPr>
          <w:rFonts w:cs="Times New Roman"/>
        </w:rPr>
      </w:pPr>
      <w:r>
        <w:rPr>
          <w:rFonts w:ascii="黑体" w:eastAsia="黑体" w:hAnsi="黑体" w:cs="Times New Roman" w:hint="eastAsia"/>
        </w:rPr>
        <w:t>关键词：</w:t>
      </w:r>
      <w:r>
        <w:rPr>
          <w:rFonts w:cs="Times New Roman" w:hint="eastAsia"/>
        </w:rPr>
        <w:t>印染废水；铁碳微电解；机理；大肠杆菌；生物毒性</w:t>
      </w:r>
      <w:r>
        <w:rPr>
          <w:rFonts w:cs="Times New Roman"/>
        </w:rPr>
        <w:br/>
      </w:r>
      <w:r>
        <w:rPr>
          <w:rFonts w:cs="Times New Roman"/>
        </w:rPr>
        <w:br/>
      </w:r>
    </w:p>
    <w:p>
      <w:pPr>
        <w:adjustRightInd/>
        <w:snapToGrid/>
        <w:spacing w:after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https://d.book118.com/675103213342011112</w:t>
        </w:r>
      </w:hyperlink>
    </w:p>
    <w:p>
      <w:pPr>
        <w:pStyle w:val="a5"/>
        <w:ind w:firstLine="0" w:firstLineChars="0"/>
        <w:rPr>
          <w:rFonts w:cs="Times New Roman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800" w:bottom="1440" w:left="1800" w:header="708" w:footer="708" w:gutter="0"/>
      <w:pgNumType w:fmt="upperRoman" w:start="2"/>
      <w:cols w:num="1" w:space="708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9800090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78111718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rPr>
        <w:sz w:val="21"/>
        <w:szCs w:val="21"/>
      </w:rPr>
    </w:pPr>
    <w:r>
      <w:rPr>
        <w:rFonts w:hint="eastAsia"/>
        <w:sz w:val="21"/>
        <w:szCs w:val="21"/>
      </w:rPr>
      <w:t>Abstract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2" w:space="1" w:color="auto"/>
      </w:pBdr>
      <w:rPr>
        <w:rFonts w:ascii="Times New Roman" w:hAnsi="Times New Roman" w:eastAsiaTheme="minorEastAsia" w:cs="Times New Roman"/>
        <w:sz w:val="21"/>
        <w:szCs w:val="21"/>
      </w:rPr>
    </w:pPr>
    <w:r>
      <w:rPr>
        <w:rFonts w:ascii="Times New Roman" w:hAnsi="Times New Roman" w:eastAsiaTheme="minorEastAsia" w:cs="Times New Roman" w:hint="eastAsia"/>
        <w:sz w:val="21"/>
        <w:szCs w:val="21"/>
      </w:rPr>
      <w:t>目    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ing1"/>
      <w:pBdr>
        <w:bottom w:val="thinThickSmallGap" w:sz="12" w:space="0" w:color="auto"/>
      </w:pBdr>
      <w:spacing w:before="240" w:beforeLines="100" w:after="240" w:afterLines="100" w:line="360" w:lineRule="auto"/>
      <w:rPr>
        <w:rFonts w:asciiTheme="minorEastAsia" w:eastAsiaTheme="minorEastAsia" w:hAnsiTheme="minorEastAsia" w:cstheme="minorEastAsia"/>
        <w:b w:val="0"/>
        <w:bCs w:val="0"/>
        <w:sz w:val="21"/>
        <w:szCs w:val="21"/>
      </w:rPr>
    </w:pPr>
    <w:r>
      <w:rPr>
        <w:rFonts w:asciiTheme="minorEastAsia" w:eastAsiaTheme="minorEastAsia" w:hAnsiTheme="minorEastAsia" w:cstheme="minorEastAsia" w:hint="eastAsia"/>
        <w:b w:val="0"/>
        <w:bCs w:val="0"/>
        <w:sz w:val="21"/>
        <w:szCs w:val="21"/>
      </w:rPr>
      <w:t>摘    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rPr>
        <w:sz w:val="21"/>
        <w:szCs w:val="21"/>
      </w:rPr>
    </w:pPr>
    <w:r>
      <w:rPr>
        <w:rFonts w:hint="eastAsia"/>
        <w:sz w:val="21"/>
        <w:szCs w:val="21"/>
      </w:rPr>
      <w:t>Abstract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2" w:space="1" w:color="auto"/>
      </w:pBdr>
      <w:rPr>
        <w:rFonts w:ascii="Times New Roman" w:hAnsi="Times New Roman" w:eastAsiaTheme="minorEastAsia" w:cs="Times New Roman"/>
        <w:sz w:val="21"/>
        <w:szCs w:val="21"/>
      </w:rPr>
    </w:pPr>
    <w:r>
      <w:rPr>
        <w:rFonts w:ascii="Times New Roman" w:hAnsi="Times New Roman" w:eastAsiaTheme="minorEastAsia" w:cs="Times New Roman" w:hint="eastAsia"/>
        <w:sz w:val="21"/>
        <w:szCs w:val="21"/>
      </w:rPr>
      <w:t>目    录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ing1"/>
      <w:pBdr>
        <w:bottom w:val="thinThickSmallGap" w:sz="12" w:space="0" w:color="auto"/>
      </w:pBdr>
      <w:spacing w:before="240" w:beforeLines="100" w:after="240" w:afterLines="100" w:line="360" w:lineRule="auto"/>
      <w:rPr>
        <w:rFonts w:asciiTheme="minorEastAsia" w:eastAsiaTheme="minorEastAsia" w:hAnsiTheme="minorEastAsia" w:cstheme="minorEastAsia"/>
        <w:b w:val="0"/>
        <w:bCs w:val="0"/>
        <w:sz w:val="21"/>
        <w:szCs w:val="21"/>
      </w:rPr>
    </w:pPr>
    <w:r>
      <w:rPr>
        <w:rFonts w:asciiTheme="minorEastAsia" w:eastAsiaTheme="minorEastAsia" w:hAnsiTheme="minorEastAsia" w:cstheme="minorEastAsia" w:hint="eastAsia"/>
        <w:b w:val="0"/>
        <w:bCs w:val="0"/>
        <w:sz w:val="21"/>
        <w:szCs w:val="21"/>
      </w:rPr>
      <w:t>摘    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evenAndOddHeaders/>
  <w:noPunctuationKerning/>
  <w:characterSpacingControl w:val="doNotCompress"/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170DC"/>
    <w:rsid w:val="00037F9E"/>
    <w:rsid w:val="00065FC6"/>
    <w:rsid w:val="00071C04"/>
    <w:rsid w:val="0007467E"/>
    <w:rsid w:val="000766F5"/>
    <w:rsid w:val="00093D16"/>
    <w:rsid w:val="00093EC3"/>
    <w:rsid w:val="000A0DBD"/>
    <w:rsid w:val="000B0212"/>
    <w:rsid w:val="000B38AC"/>
    <w:rsid w:val="00101CAC"/>
    <w:rsid w:val="00111E17"/>
    <w:rsid w:val="0011565E"/>
    <w:rsid w:val="00117EAC"/>
    <w:rsid w:val="001366CD"/>
    <w:rsid w:val="00156E79"/>
    <w:rsid w:val="00166993"/>
    <w:rsid w:val="00172300"/>
    <w:rsid w:val="00187B15"/>
    <w:rsid w:val="001B3F3B"/>
    <w:rsid w:val="001B7614"/>
    <w:rsid w:val="001C5252"/>
    <w:rsid w:val="001C7DF4"/>
    <w:rsid w:val="001D11BD"/>
    <w:rsid w:val="001D564B"/>
    <w:rsid w:val="002007FD"/>
    <w:rsid w:val="002015EB"/>
    <w:rsid w:val="00202BA6"/>
    <w:rsid w:val="00205923"/>
    <w:rsid w:val="00231312"/>
    <w:rsid w:val="00236026"/>
    <w:rsid w:val="0026108C"/>
    <w:rsid w:val="002704AA"/>
    <w:rsid w:val="002906BB"/>
    <w:rsid w:val="0029590A"/>
    <w:rsid w:val="002A1FDD"/>
    <w:rsid w:val="002A762C"/>
    <w:rsid w:val="002B16C4"/>
    <w:rsid w:val="002B191B"/>
    <w:rsid w:val="002D20F3"/>
    <w:rsid w:val="00323B43"/>
    <w:rsid w:val="00323F14"/>
    <w:rsid w:val="00330325"/>
    <w:rsid w:val="0033297B"/>
    <w:rsid w:val="0035097B"/>
    <w:rsid w:val="003545BB"/>
    <w:rsid w:val="00364802"/>
    <w:rsid w:val="00367ABD"/>
    <w:rsid w:val="0037784D"/>
    <w:rsid w:val="00380412"/>
    <w:rsid w:val="003806F7"/>
    <w:rsid w:val="0039718F"/>
    <w:rsid w:val="003A2998"/>
    <w:rsid w:val="003A70FC"/>
    <w:rsid w:val="003A73F6"/>
    <w:rsid w:val="003B15F2"/>
    <w:rsid w:val="003B2502"/>
    <w:rsid w:val="003D1A0E"/>
    <w:rsid w:val="003D37D8"/>
    <w:rsid w:val="003F5641"/>
    <w:rsid w:val="00410A1B"/>
    <w:rsid w:val="00415B72"/>
    <w:rsid w:val="00415F48"/>
    <w:rsid w:val="00417F7C"/>
    <w:rsid w:val="0042001C"/>
    <w:rsid w:val="00421DC0"/>
    <w:rsid w:val="00423626"/>
    <w:rsid w:val="00424751"/>
    <w:rsid w:val="00426133"/>
    <w:rsid w:val="004358AB"/>
    <w:rsid w:val="00480AF8"/>
    <w:rsid w:val="00495D1D"/>
    <w:rsid w:val="004A1252"/>
    <w:rsid w:val="004C3B4D"/>
    <w:rsid w:val="004D2FC5"/>
    <w:rsid w:val="004D5C16"/>
    <w:rsid w:val="004F6408"/>
    <w:rsid w:val="004F70FD"/>
    <w:rsid w:val="0050085F"/>
    <w:rsid w:val="00502EE7"/>
    <w:rsid w:val="00505F82"/>
    <w:rsid w:val="00514DC0"/>
    <w:rsid w:val="00531D24"/>
    <w:rsid w:val="0053453C"/>
    <w:rsid w:val="00567FCA"/>
    <w:rsid w:val="005701D0"/>
    <w:rsid w:val="0057155B"/>
    <w:rsid w:val="0059521B"/>
    <w:rsid w:val="005A47E4"/>
    <w:rsid w:val="005B11A8"/>
    <w:rsid w:val="005C4CC9"/>
    <w:rsid w:val="005E4339"/>
    <w:rsid w:val="005F0AF2"/>
    <w:rsid w:val="005F14F3"/>
    <w:rsid w:val="005F35C2"/>
    <w:rsid w:val="00606CFE"/>
    <w:rsid w:val="00611D08"/>
    <w:rsid w:val="006150F2"/>
    <w:rsid w:val="00617E22"/>
    <w:rsid w:val="006244AE"/>
    <w:rsid w:val="00624F52"/>
    <w:rsid w:val="006503B0"/>
    <w:rsid w:val="00652A3A"/>
    <w:rsid w:val="0066252A"/>
    <w:rsid w:val="0066795C"/>
    <w:rsid w:val="00681177"/>
    <w:rsid w:val="0069523E"/>
    <w:rsid w:val="006964DC"/>
    <w:rsid w:val="006A231F"/>
    <w:rsid w:val="006B1C94"/>
    <w:rsid w:val="006B27D5"/>
    <w:rsid w:val="006C0112"/>
    <w:rsid w:val="006C6422"/>
    <w:rsid w:val="006D0103"/>
    <w:rsid w:val="006F14A7"/>
    <w:rsid w:val="006F5DE6"/>
    <w:rsid w:val="007067DE"/>
    <w:rsid w:val="007217B1"/>
    <w:rsid w:val="00737121"/>
    <w:rsid w:val="007436CF"/>
    <w:rsid w:val="0074562C"/>
    <w:rsid w:val="00747D47"/>
    <w:rsid w:val="00772798"/>
    <w:rsid w:val="00774638"/>
    <w:rsid w:val="007B3524"/>
    <w:rsid w:val="007C2485"/>
    <w:rsid w:val="007E139E"/>
    <w:rsid w:val="007F5069"/>
    <w:rsid w:val="00814C51"/>
    <w:rsid w:val="00832C82"/>
    <w:rsid w:val="008509E0"/>
    <w:rsid w:val="00863670"/>
    <w:rsid w:val="00866ADD"/>
    <w:rsid w:val="0087519E"/>
    <w:rsid w:val="00875AD0"/>
    <w:rsid w:val="00883B50"/>
    <w:rsid w:val="008B7726"/>
    <w:rsid w:val="008C3BED"/>
    <w:rsid w:val="008D1982"/>
    <w:rsid w:val="008D768F"/>
    <w:rsid w:val="009205D6"/>
    <w:rsid w:val="00945B5C"/>
    <w:rsid w:val="00950F73"/>
    <w:rsid w:val="00966697"/>
    <w:rsid w:val="00970F14"/>
    <w:rsid w:val="009804F3"/>
    <w:rsid w:val="009A2792"/>
    <w:rsid w:val="009A2906"/>
    <w:rsid w:val="009A358F"/>
    <w:rsid w:val="009C1449"/>
    <w:rsid w:val="009C73F0"/>
    <w:rsid w:val="009C753D"/>
    <w:rsid w:val="009D069A"/>
    <w:rsid w:val="009D5503"/>
    <w:rsid w:val="009F2523"/>
    <w:rsid w:val="00A00518"/>
    <w:rsid w:val="00A03155"/>
    <w:rsid w:val="00A05C26"/>
    <w:rsid w:val="00A069B5"/>
    <w:rsid w:val="00A13C12"/>
    <w:rsid w:val="00A14C3E"/>
    <w:rsid w:val="00A21CE6"/>
    <w:rsid w:val="00A366D4"/>
    <w:rsid w:val="00A402D2"/>
    <w:rsid w:val="00A504DE"/>
    <w:rsid w:val="00A6238B"/>
    <w:rsid w:val="00A72739"/>
    <w:rsid w:val="00A73F44"/>
    <w:rsid w:val="00A7705F"/>
    <w:rsid w:val="00A77D5B"/>
    <w:rsid w:val="00A829F2"/>
    <w:rsid w:val="00A836E5"/>
    <w:rsid w:val="00A9382E"/>
    <w:rsid w:val="00A93926"/>
    <w:rsid w:val="00A958DD"/>
    <w:rsid w:val="00AA2AB0"/>
    <w:rsid w:val="00AA5692"/>
    <w:rsid w:val="00AB1871"/>
    <w:rsid w:val="00AC1DBF"/>
    <w:rsid w:val="00AC2D62"/>
    <w:rsid w:val="00AC4F49"/>
    <w:rsid w:val="00AC54E7"/>
    <w:rsid w:val="00AD3714"/>
    <w:rsid w:val="00AE47BE"/>
    <w:rsid w:val="00AE5FDD"/>
    <w:rsid w:val="00AF3C7F"/>
    <w:rsid w:val="00B02A8A"/>
    <w:rsid w:val="00B04375"/>
    <w:rsid w:val="00B04836"/>
    <w:rsid w:val="00B10763"/>
    <w:rsid w:val="00B17D72"/>
    <w:rsid w:val="00B17E30"/>
    <w:rsid w:val="00B24CEC"/>
    <w:rsid w:val="00B350FF"/>
    <w:rsid w:val="00B43D41"/>
    <w:rsid w:val="00B452FC"/>
    <w:rsid w:val="00B724D1"/>
    <w:rsid w:val="00B81739"/>
    <w:rsid w:val="00B874A3"/>
    <w:rsid w:val="00B93EAB"/>
    <w:rsid w:val="00B97377"/>
    <w:rsid w:val="00B97BF8"/>
    <w:rsid w:val="00BA7C43"/>
    <w:rsid w:val="00BB4DA6"/>
    <w:rsid w:val="00BC1196"/>
    <w:rsid w:val="00BE4C21"/>
    <w:rsid w:val="00BE5116"/>
    <w:rsid w:val="00C33C75"/>
    <w:rsid w:val="00C36933"/>
    <w:rsid w:val="00C47C1E"/>
    <w:rsid w:val="00C50D3A"/>
    <w:rsid w:val="00C5650C"/>
    <w:rsid w:val="00C608C4"/>
    <w:rsid w:val="00C75F8D"/>
    <w:rsid w:val="00C763B2"/>
    <w:rsid w:val="00C82077"/>
    <w:rsid w:val="00CA56BA"/>
    <w:rsid w:val="00CA6721"/>
    <w:rsid w:val="00CB6E41"/>
    <w:rsid w:val="00CB7D1B"/>
    <w:rsid w:val="00CC493A"/>
    <w:rsid w:val="00CD71CE"/>
    <w:rsid w:val="00CE38E1"/>
    <w:rsid w:val="00CE4545"/>
    <w:rsid w:val="00CF2356"/>
    <w:rsid w:val="00D052F8"/>
    <w:rsid w:val="00D122E1"/>
    <w:rsid w:val="00D12A6B"/>
    <w:rsid w:val="00D31D50"/>
    <w:rsid w:val="00D32C50"/>
    <w:rsid w:val="00D32E27"/>
    <w:rsid w:val="00D336A1"/>
    <w:rsid w:val="00D41EB9"/>
    <w:rsid w:val="00D4420C"/>
    <w:rsid w:val="00D57088"/>
    <w:rsid w:val="00D62BA5"/>
    <w:rsid w:val="00D8289A"/>
    <w:rsid w:val="00D83F2B"/>
    <w:rsid w:val="00D91397"/>
    <w:rsid w:val="00DB7F68"/>
    <w:rsid w:val="00DC3F83"/>
    <w:rsid w:val="00DD5167"/>
    <w:rsid w:val="00DD60E3"/>
    <w:rsid w:val="00DE10AD"/>
    <w:rsid w:val="00DE1BA8"/>
    <w:rsid w:val="00DF35CF"/>
    <w:rsid w:val="00E05C31"/>
    <w:rsid w:val="00E23C9A"/>
    <w:rsid w:val="00E33CB5"/>
    <w:rsid w:val="00E41DA3"/>
    <w:rsid w:val="00E435E1"/>
    <w:rsid w:val="00E4731F"/>
    <w:rsid w:val="00E477EE"/>
    <w:rsid w:val="00E53348"/>
    <w:rsid w:val="00E5520A"/>
    <w:rsid w:val="00E5779A"/>
    <w:rsid w:val="00E96293"/>
    <w:rsid w:val="00EA1DD3"/>
    <w:rsid w:val="00EA518D"/>
    <w:rsid w:val="00EB6758"/>
    <w:rsid w:val="00EC13A8"/>
    <w:rsid w:val="00EC2252"/>
    <w:rsid w:val="00ED5648"/>
    <w:rsid w:val="00ED57A4"/>
    <w:rsid w:val="00EE342B"/>
    <w:rsid w:val="00EF1823"/>
    <w:rsid w:val="00EF366D"/>
    <w:rsid w:val="00F01FAE"/>
    <w:rsid w:val="00F16FE7"/>
    <w:rsid w:val="00F20E0F"/>
    <w:rsid w:val="00F32137"/>
    <w:rsid w:val="00F4503A"/>
    <w:rsid w:val="00F5726C"/>
    <w:rsid w:val="00F615F9"/>
    <w:rsid w:val="00F7089B"/>
    <w:rsid w:val="00F8352A"/>
    <w:rsid w:val="00F861C4"/>
    <w:rsid w:val="00F87762"/>
    <w:rsid w:val="00F96EAF"/>
    <w:rsid w:val="00FA237A"/>
    <w:rsid w:val="00FB6D5E"/>
    <w:rsid w:val="00FC3F67"/>
    <w:rsid w:val="00FC5372"/>
    <w:rsid w:val="00FE7E11"/>
    <w:rsid w:val="01411AB1"/>
    <w:rsid w:val="019B5DF8"/>
    <w:rsid w:val="0271648F"/>
    <w:rsid w:val="036310B8"/>
    <w:rsid w:val="038778A7"/>
    <w:rsid w:val="04EF6AE2"/>
    <w:rsid w:val="05846553"/>
    <w:rsid w:val="05B768EA"/>
    <w:rsid w:val="062534D7"/>
    <w:rsid w:val="06925259"/>
    <w:rsid w:val="0A346A5D"/>
    <w:rsid w:val="0A465AFD"/>
    <w:rsid w:val="0B160292"/>
    <w:rsid w:val="0BE5156D"/>
    <w:rsid w:val="0C325082"/>
    <w:rsid w:val="0D986286"/>
    <w:rsid w:val="0E0F6653"/>
    <w:rsid w:val="0F7276F3"/>
    <w:rsid w:val="0F8526E9"/>
    <w:rsid w:val="114157F5"/>
    <w:rsid w:val="11CF15BC"/>
    <w:rsid w:val="132155F5"/>
    <w:rsid w:val="13F9631D"/>
    <w:rsid w:val="140C4E80"/>
    <w:rsid w:val="16D10803"/>
    <w:rsid w:val="17811841"/>
    <w:rsid w:val="193161B5"/>
    <w:rsid w:val="19987D43"/>
    <w:rsid w:val="19BA44C0"/>
    <w:rsid w:val="19F40EBB"/>
    <w:rsid w:val="1A0E2099"/>
    <w:rsid w:val="1A2B4293"/>
    <w:rsid w:val="1AED60E7"/>
    <w:rsid w:val="1C207FC1"/>
    <w:rsid w:val="1CE22AA4"/>
    <w:rsid w:val="1E375875"/>
    <w:rsid w:val="1F117C9E"/>
    <w:rsid w:val="1F9F146B"/>
    <w:rsid w:val="2077725A"/>
    <w:rsid w:val="2144469C"/>
    <w:rsid w:val="21C748CC"/>
    <w:rsid w:val="2302456B"/>
    <w:rsid w:val="24241CE5"/>
    <w:rsid w:val="24DD638C"/>
    <w:rsid w:val="25EB2465"/>
    <w:rsid w:val="26E92E68"/>
    <w:rsid w:val="278A13FB"/>
    <w:rsid w:val="29AF122D"/>
    <w:rsid w:val="2B015F89"/>
    <w:rsid w:val="2B481EE0"/>
    <w:rsid w:val="2B7B1827"/>
    <w:rsid w:val="2BCF32A4"/>
    <w:rsid w:val="2C3E1EDF"/>
    <w:rsid w:val="2DAF6680"/>
    <w:rsid w:val="2E12659C"/>
    <w:rsid w:val="2E7319AE"/>
    <w:rsid w:val="2FA13B23"/>
    <w:rsid w:val="2FF8134D"/>
    <w:rsid w:val="309838D4"/>
    <w:rsid w:val="324F21EF"/>
    <w:rsid w:val="32E729F8"/>
    <w:rsid w:val="3357270E"/>
    <w:rsid w:val="34287979"/>
    <w:rsid w:val="35867906"/>
    <w:rsid w:val="36EE37A8"/>
    <w:rsid w:val="371F74E3"/>
    <w:rsid w:val="39DF31F2"/>
    <w:rsid w:val="3BD81608"/>
    <w:rsid w:val="3C7F76AD"/>
    <w:rsid w:val="3D736355"/>
    <w:rsid w:val="3DC45039"/>
    <w:rsid w:val="3E3409EE"/>
    <w:rsid w:val="3EA65552"/>
    <w:rsid w:val="3EBE777D"/>
    <w:rsid w:val="3F085EE5"/>
    <w:rsid w:val="3F7260D7"/>
    <w:rsid w:val="3FB54FAD"/>
    <w:rsid w:val="3FCF6A89"/>
    <w:rsid w:val="40061967"/>
    <w:rsid w:val="402E0DFA"/>
    <w:rsid w:val="40480992"/>
    <w:rsid w:val="44363C9A"/>
    <w:rsid w:val="448C7C17"/>
    <w:rsid w:val="44C226B8"/>
    <w:rsid w:val="46A0101D"/>
    <w:rsid w:val="47700B1E"/>
    <w:rsid w:val="48297F42"/>
    <w:rsid w:val="483F1D09"/>
    <w:rsid w:val="49AE61EF"/>
    <w:rsid w:val="49FC164E"/>
    <w:rsid w:val="4AFB74EE"/>
    <w:rsid w:val="4DFF0A23"/>
    <w:rsid w:val="4F700BA1"/>
    <w:rsid w:val="530C6B6A"/>
    <w:rsid w:val="53361610"/>
    <w:rsid w:val="5354767D"/>
    <w:rsid w:val="53971E86"/>
    <w:rsid w:val="55650368"/>
    <w:rsid w:val="58F013AD"/>
    <w:rsid w:val="58F9222E"/>
    <w:rsid w:val="59A35578"/>
    <w:rsid w:val="5A3D1A3B"/>
    <w:rsid w:val="5B040AB9"/>
    <w:rsid w:val="5B565EDE"/>
    <w:rsid w:val="5B796907"/>
    <w:rsid w:val="5BE91D49"/>
    <w:rsid w:val="5C63517D"/>
    <w:rsid w:val="5C737BE6"/>
    <w:rsid w:val="5D5D4480"/>
    <w:rsid w:val="5D9D46A4"/>
    <w:rsid w:val="5E5E1CD9"/>
    <w:rsid w:val="60153687"/>
    <w:rsid w:val="62A75151"/>
    <w:rsid w:val="632A1F61"/>
    <w:rsid w:val="64F370AD"/>
    <w:rsid w:val="653F4A14"/>
    <w:rsid w:val="65403C27"/>
    <w:rsid w:val="65F35863"/>
    <w:rsid w:val="660B3D69"/>
    <w:rsid w:val="67F23017"/>
    <w:rsid w:val="68237D78"/>
    <w:rsid w:val="69B83615"/>
    <w:rsid w:val="6AD26B88"/>
    <w:rsid w:val="6BC40FD4"/>
    <w:rsid w:val="6D0F5087"/>
    <w:rsid w:val="6D3B1A19"/>
    <w:rsid w:val="6D9A05E4"/>
    <w:rsid w:val="726C1EE5"/>
    <w:rsid w:val="72F900D8"/>
    <w:rsid w:val="738D2667"/>
    <w:rsid w:val="75156169"/>
    <w:rsid w:val="753D683B"/>
    <w:rsid w:val="7712344B"/>
    <w:rsid w:val="785C51CB"/>
    <w:rsid w:val="78B741FB"/>
    <w:rsid w:val="7A8A427F"/>
    <w:rsid w:val="7AD362EC"/>
    <w:rsid w:val="7D8E6BF8"/>
    <w:rsid w:val="7DA37104"/>
    <w:rsid w:val="7DF814F9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semiHidden="0" w:uiPriority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9"/>
    <w:qFormat/>
    <w:pPr>
      <w:keepNext/>
      <w:keepLines/>
      <w:widowControl w:val="0"/>
      <w:adjustRightInd/>
      <w:snapToGrid/>
      <w:spacing w:before="240" w:after="120"/>
      <w:jc w:val="center"/>
      <w:outlineLvl w:val="0"/>
    </w:pPr>
    <w:rPr>
      <w:rFonts w:ascii="Times New Roman" w:eastAsia="黑体" w:hAnsi="Times New Roman" w:cs="Times New Roman"/>
      <w:b/>
      <w:bCs/>
      <w:kern w:val="44"/>
      <w:sz w:val="36"/>
      <w:szCs w:val="44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a1"/>
    <w:qFormat/>
    <w:pPr>
      <w:widowControl w:val="0"/>
      <w:adjustRightInd/>
      <w:snapToGrid/>
      <w:spacing w:after="0" w:line="360" w:lineRule="exact"/>
      <w:ind w:left="538" w:hanging="538" w:hangingChars="192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Date">
    <w:name w:val="Date"/>
    <w:basedOn w:val="Normal"/>
    <w:next w:val="Normal"/>
    <w:link w:val="a2"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a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Footer">
    <w:name w:val="footer"/>
    <w:basedOn w:val="Normal"/>
    <w:link w:val="a0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Header">
    <w:name w:val="header"/>
    <w:basedOn w:val="Normal"/>
    <w:link w:val="a1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4">
    <w:name w:val="toc 4"/>
    <w:basedOn w:val="Normal"/>
    <w:next w:val="Normal"/>
    <w:uiPriority w:val="39"/>
    <w:semiHidden/>
    <w:unhideWhenUsed/>
    <w:qFormat/>
    <w:pPr>
      <w:ind w:left="1260" w:leftChars="600"/>
    </w:p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NormalWeb">
    <w:name w:val="Normal (Web)"/>
    <w:basedOn w:val="Normal"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批注框文本 字符"/>
    <w:basedOn w:val="DefaultParagraphFont"/>
    <w:link w:val="BalloonText"/>
    <w:uiPriority w:val="99"/>
    <w:semiHidden/>
    <w:qFormat/>
    <w:rPr>
      <w:rFonts w:ascii="Tahoma" w:hAnsi="Tahoma"/>
      <w:sz w:val="18"/>
      <w:szCs w:val="18"/>
    </w:rPr>
  </w:style>
  <w:style w:type="paragraph" w:styleId="ListParagraph">
    <w:name w:val="List Paragraph"/>
    <w:basedOn w:val="Normal"/>
    <w:link w:val="a6"/>
    <w:uiPriority w:val="34"/>
    <w:qFormat/>
    <w:pPr>
      <w:ind w:firstLine="420" w:firstLineChars="200"/>
    </w:pPr>
  </w:style>
  <w:style w:type="character" w:customStyle="1" w:styleId="Char">
    <w:name w:val="页眉 Char"/>
    <w:basedOn w:val="DefaultParagraphFont"/>
    <w:uiPriority w:val="99"/>
    <w:semiHidden/>
    <w:qFormat/>
    <w:rPr>
      <w:rFonts w:ascii="Tahoma" w:hAnsi="Tahoma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qFormat/>
    <w:rPr>
      <w:rFonts w:ascii="Tahoma" w:hAnsi="Tahoma"/>
      <w:sz w:val="18"/>
      <w:szCs w:val="18"/>
    </w:rPr>
  </w:style>
  <w:style w:type="character" w:customStyle="1" w:styleId="a1">
    <w:name w:val="正文文本缩进 字符"/>
    <w:basedOn w:val="DefaultParagraphFont"/>
    <w:link w:val="BodyTextIndent"/>
    <w:qFormat/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1">
    <w:name w:val="标题 1 字符"/>
    <w:basedOn w:val="DefaultParagraphFont"/>
    <w:link w:val="Heading1"/>
    <w:uiPriority w:val="99"/>
    <w:qFormat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a2">
    <w:name w:val="日期 字符"/>
    <w:basedOn w:val="DefaultParagraphFont"/>
    <w:link w:val="Date"/>
    <w:uiPriority w:val="99"/>
    <w:semiHidden/>
    <w:qFormat/>
    <w:rPr>
      <w:rFonts w:ascii="Tahoma" w:hAnsi="Tahoma"/>
    </w:rPr>
  </w:style>
  <w:style w:type="character" w:customStyle="1" w:styleId="3">
    <w:name w:val="标题 3 字符"/>
    <w:basedOn w:val="DefaultParagraphFont"/>
    <w:link w:val="Heading3"/>
    <w:uiPriority w:val="9"/>
    <w:qFormat/>
    <w:rPr>
      <w:rFonts w:ascii="Tahoma" w:hAnsi="Tahoma"/>
      <w:b/>
      <w:bCs/>
      <w:sz w:val="32"/>
      <w:szCs w:val="32"/>
    </w:rPr>
  </w:style>
  <w:style w:type="paragraph" w:customStyle="1" w:styleId="a3">
    <w:name w:val="一级标题"/>
    <w:basedOn w:val="Heading1"/>
    <w:link w:val="Char0"/>
    <w:qFormat/>
    <w:pPr>
      <w:spacing w:beforeLines="100" w:afterLines="100" w:line="360" w:lineRule="auto"/>
    </w:pPr>
    <w:rPr>
      <w:b w:val="0"/>
      <w:szCs w:val="36"/>
    </w:rPr>
  </w:style>
  <w:style w:type="paragraph" w:customStyle="1" w:styleId="a4">
    <w:name w:val="二级标题"/>
    <w:basedOn w:val="Normal"/>
    <w:link w:val="Char1"/>
    <w:qFormat/>
    <w:pPr>
      <w:adjustRightInd/>
      <w:snapToGrid/>
      <w:spacing w:beforeLines="100" w:afterLines="100" w:line="360" w:lineRule="auto"/>
    </w:pPr>
    <w:rPr>
      <w:rFonts w:ascii="Times New Roman" w:eastAsia="黑体" w:hAnsi="Times New Roman" w:cs="Times New Roman"/>
      <w:kern w:val="2"/>
      <w:sz w:val="30"/>
      <w:szCs w:val="30"/>
    </w:rPr>
  </w:style>
  <w:style w:type="character" w:customStyle="1" w:styleId="Char0">
    <w:name w:val="一级标题 Char"/>
    <w:basedOn w:val="1"/>
    <w:link w:val="a3"/>
    <w:qFormat/>
    <w:rPr>
      <w:rFonts w:ascii="Times New Roman" w:eastAsia="黑体" w:hAnsi="Times New Roman" w:cs="Times New Roman"/>
      <w:kern w:val="44"/>
      <w:sz w:val="36"/>
      <w:szCs w:val="36"/>
    </w:rPr>
  </w:style>
  <w:style w:type="paragraph" w:customStyle="1" w:styleId="10">
    <w:name w:val="正文1"/>
    <w:basedOn w:val="ListParagraph"/>
    <w:link w:val="Char2"/>
    <w:qFormat/>
    <w:pPr>
      <w:spacing w:after="0" w:line="360" w:lineRule="auto"/>
      <w:ind w:firstLine="480"/>
    </w:pPr>
    <w:rPr>
      <w:rFonts w:asciiTheme="minorEastAsia" w:eastAsiaTheme="minorEastAsia" w:hAnsiTheme="minorEastAsia"/>
      <w:sz w:val="24"/>
    </w:rPr>
  </w:style>
  <w:style w:type="character" w:customStyle="1" w:styleId="Char1">
    <w:name w:val="二级标题 Char"/>
    <w:basedOn w:val="DefaultParagraphFont"/>
    <w:link w:val="a4"/>
    <w:qFormat/>
    <w:rPr>
      <w:rFonts w:ascii="Times New Roman" w:eastAsia="黑体" w:hAnsi="Times New Roman" w:cs="Times New Roman"/>
      <w:kern w:val="2"/>
      <w:sz w:val="30"/>
      <w:szCs w:val="30"/>
    </w:rPr>
  </w:style>
  <w:style w:type="paragraph" w:customStyle="1" w:styleId="a5">
    <w:name w:val="正文论文"/>
    <w:basedOn w:val="10"/>
    <w:link w:val="Char3"/>
    <w:qFormat/>
  </w:style>
  <w:style w:type="character" w:customStyle="1" w:styleId="a6">
    <w:name w:val="列表段落 字符"/>
    <w:basedOn w:val="DefaultParagraphFont"/>
    <w:link w:val="ListParagraph"/>
    <w:uiPriority w:val="34"/>
    <w:qFormat/>
    <w:rPr>
      <w:rFonts w:ascii="Tahoma" w:hAnsi="Tahoma"/>
    </w:rPr>
  </w:style>
  <w:style w:type="character" w:customStyle="1" w:styleId="Char2">
    <w:name w:val="正文 Char"/>
    <w:basedOn w:val="a6"/>
    <w:link w:val="10"/>
    <w:qFormat/>
    <w:rPr>
      <w:rFonts w:asciiTheme="minorEastAsia" w:eastAsiaTheme="minorEastAsia" w:hAnsiTheme="minorEastAsia"/>
      <w:sz w:val="24"/>
    </w:rPr>
  </w:style>
  <w:style w:type="paragraph" w:customStyle="1" w:styleId="a7">
    <w:name w:val="三级标题"/>
    <w:basedOn w:val="BodyTextIndent"/>
    <w:link w:val="Char4"/>
    <w:qFormat/>
    <w:pPr>
      <w:spacing w:beforeLines="100" w:afterLines="100" w:line="360" w:lineRule="auto"/>
      <w:ind w:left="0" w:firstLine="0" w:firstLineChars="0"/>
      <w:jc w:val="left"/>
    </w:pPr>
    <w:rPr>
      <w:rFonts w:eastAsia="黑体"/>
      <w:bCs/>
      <w:kern w:val="0"/>
      <w:szCs w:val="28"/>
    </w:rPr>
  </w:style>
  <w:style w:type="character" w:customStyle="1" w:styleId="Char3">
    <w:name w:val="正文论文 Char"/>
    <w:basedOn w:val="Char2"/>
    <w:link w:val="a5"/>
    <w:qFormat/>
    <w:rPr>
      <w:rFonts w:asciiTheme="minorEastAsia" w:eastAsiaTheme="minorEastAsia" w:hAnsiTheme="minorEastAsia"/>
      <w:sz w:val="24"/>
    </w:rPr>
  </w:style>
  <w:style w:type="paragraph" w:customStyle="1" w:styleId="a8">
    <w:name w:val="表头"/>
    <w:basedOn w:val="Normal"/>
    <w:link w:val="Char5"/>
    <w:qFormat/>
    <w:pPr>
      <w:spacing w:beforeLines="50" w:after="0" w:line="300" w:lineRule="auto"/>
      <w:jc w:val="center"/>
    </w:pPr>
    <w:rPr>
      <w:rFonts w:asciiTheme="minorEastAsia" w:eastAsiaTheme="minorEastAsia" w:hAnsiTheme="minorEastAsia" w:cs="宋体"/>
      <w:sz w:val="21"/>
      <w:szCs w:val="21"/>
    </w:rPr>
  </w:style>
  <w:style w:type="character" w:customStyle="1" w:styleId="Char4">
    <w:name w:val="三级标题 Char"/>
    <w:basedOn w:val="a1"/>
    <w:link w:val="a7"/>
    <w:qFormat/>
    <w:rPr>
      <w:rFonts w:ascii="Times New Roman" w:eastAsia="黑体" w:hAnsi="Times New Roman" w:cs="Times New Roman"/>
      <w:bCs/>
      <w:kern w:val="2"/>
      <w:sz w:val="28"/>
      <w:szCs w:val="28"/>
    </w:rPr>
  </w:style>
  <w:style w:type="paragraph" w:customStyle="1" w:styleId="a9">
    <w:name w:val="图标"/>
    <w:basedOn w:val="Normal"/>
    <w:link w:val="Char6"/>
    <w:qFormat/>
    <w:pPr>
      <w:widowControl w:val="0"/>
      <w:autoSpaceDE w:val="0"/>
      <w:autoSpaceDN w:val="0"/>
      <w:snapToGrid/>
      <w:spacing w:after="0" w:line="360" w:lineRule="auto"/>
      <w:ind w:firstLine="420" w:firstLineChars="200"/>
      <w:jc w:val="center"/>
    </w:pPr>
    <w:rPr>
      <w:rFonts w:asciiTheme="minorEastAsia" w:eastAsiaTheme="minorEastAsia" w:hAnsiTheme="minorEastAsia"/>
      <w:sz w:val="21"/>
      <w:szCs w:val="21"/>
    </w:rPr>
  </w:style>
  <w:style w:type="character" w:customStyle="1" w:styleId="Char5">
    <w:name w:val="表头 Char"/>
    <w:basedOn w:val="DefaultParagraphFont"/>
    <w:link w:val="a8"/>
    <w:qFormat/>
    <w:rPr>
      <w:rFonts w:asciiTheme="minorEastAsia" w:eastAsiaTheme="minorEastAsia" w:hAnsiTheme="minorEastAsia" w:cs="宋体"/>
      <w:sz w:val="21"/>
      <w:szCs w:val="21"/>
    </w:rPr>
  </w:style>
  <w:style w:type="character" w:customStyle="1" w:styleId="Char6">
    <w:name w:val="图标 Char"/>
    <w:basedOn w:val="DefaultParagraphFont"/>
    <w:link w:val="a9"/>
    <w:qFormat/>
    <w:rPr>
      <w:rFonts w:asciiTheme="minorEastAsia" w:eastAsiaTheme="minorEastAsia" w:hAnsiTheme="minorEastAsia"/>
      <w:sz w:val="21"/>
      <w:szCs w:val="21"/>
    </w:rPr>
  </w:style>
  <w:style w:type="character" w:customStyle="1" w:styleId="4">
    <w:name w:val="标题 4 字符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1">
    <w:name w:val="标题1"/>
    <w:basedOn w:val="a4"/>
    <w:link w:val="1Char"/>
    <w:qFormat/>
  </w:style>
  <w:style w:type="character" w:customStyle="1" w:styleId="1Char">
    <w:name w:val="标题1 Char"/>
    <w:basedOn w:val="Char1"/>
    <w:link w:val="11"/>
    <w:qFormat/>
    <w:rPr>
      <w:rFonts w:ascii="Times New Roman" w:eastAsia="黑体" w:hAnsi="Times New Roman" w:cs="Times New Roman"/>
      <w:kern w:val="2"/>
      <w:sz w:val="30"/>
      <w:szCs w:val="30"/>
    </w:rPr>
  </w:style>
  <w:style w:type="paragraph" w:customStyle="1" w:styleId="tgt">
    <w:name w:val="_tgt"/>
    <w:basedOn w:val="Normal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transsent">
    <w:name w:val="transsent"/>
    <w:basedOn w:val="DefaultParagraphFont"/>
    <w:qFormat/>
  </w:style>
  <w:style w:type="character" w:customStyle="1" w:styleId="2">
    <w:name w:val="标题 2 字符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WPSOffice1">
    <w:name w:val="WPSOffice手动目录 1"/>
    <w:qFormat/>
    <w:rPr>
      <w:rFonts w:ascii="Calibri" w:eastAsia="宋体" w:hAnsi="Calibri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Calibri" w:eastAsia="宋体" w:hAnsi="Calibri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Calibri" w:eastAsia="宋体" w:hAnsi="Calibri" w:cs="Times New Roman"/>
      <w:lang w:val="en-US" w:eastAsia="zh-CN" w:bidi="ar-SA"/>
    </w:rPr>
  </w:style>
  <w:style w:type="character" w:customStyle="1" w:styleId="a10">
    <w:name w:val="页眉 字符"/>
    <w:basedOn w:val="DefaultParagraphFont"/>
    <w:link w:val="Header"/>
    <w:qFormat/>
    <w:rPr>
      <w:rFonts w:ascii="Times New Roman" w:hAnsi="Times New Roman" w:cs="Times New Roman" w:hint="default"/>
      <w:kern w:val="2"/>
      <w:sz w:val="18"/>
      <w:szCs w:val="18"/>
    </w:rPr>
  </w:style>
  <w:style w:type="character" w:customStyle="1" w:styleId="emsimilar">
    <w:name w:val="em_similar"/>
    <w:basedOn w:val="em"/>
    <w:qFormat/>
    <w:rPr>
      <w:color w:val="FF0000"/>
    </w:rPr>
  </w:style>
  <w:style w:type="character" w:customStyle="1" w:styleId="em">
    <w:name w:val="em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675103213342011112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1D9AD4-8BD6-4478-B789-4EAE4F3E0F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3108</Words>
  <Characters>17717</Characters>
  <Application>Microsoft Office Word</Application>
  <DocSecurity>0</DocSecurity>
  <Lines>147</Lines>
  <Paragraphs>41</Paragraphs>
  <ScaleCrop>false</ScaleCrop>
  <Company/>
  <LinksUpToDate>false</LinksUpToDate>
  <CharactersWithSpaces>20784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272</cp:revision>
  <cp:lastPrinted>2021-05-15T03:03:00Z</cp:lastPrinted>
  <dcterms:created xsi:type="dcterms:W3CDTF">2019-06-16T10:40:00Z</dcterms:created>
  <dcterms:modified xsi:type="dcterms:W3CDTF">2023-11-02T08:24:20Z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8D2BC4B26E6549D0BB0F02DA57747812_12</vt:lpwstr>
  </property>
  <property fmtid="{D5CDD505-2E9C-101B-9397-08002B2CF9AE}" pid="3" name="KSOProductBuildVer">
    <vt:lpwstr>2052-12.1.0.15712</vt:lpwstr>
  </property>
</Properties>
</file>