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2024年广东医药行业分析报告及未来五到十年行业发展趋势报告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17590" w:history="1">
        <w:r>
          <w:rPr>
            <w:rFonts w:eastAsia="微软雅黑" w:hint="eastAsia"/>
            <w:snapToGrid/>
            <w:lang w:val="en-US" w:eastAsia="en-US"/>
          </w:rPr>
          <w:t>一、关于未来5-10年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行业发展机遇与挑战的建议</w:t>
        </w:r>
        <w:r>
          <w:tab/>
        </w:r>
        <w:r>
          <w:fldChar w:fldCharType="begin"/>
        </w:r>
        <w:r>
          <w:instrText xml:space="preserve"> PAGEREF _Toc17590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285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行业发展趋势展望</w:t>
        </w:r>
        <w:r>
          <w:tab/>
        </w:r>
        <w:r>
          <w:fldChar w:fldCharType="begin"/>
        </w:r>
        <w:r>
          <w:instrText xml:space="preserve"> PAGEREF _Toc10285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195" w:history="1">
        <w:r>
          <w:rPr>
            <w:rFonts w:eastAsia="微软雅黑" w:hint="eastAsia"/>
            <w:snapToGrid/>
            <w:lang w:val="en-US" w:eastAsia="zh-CN"/>
          </w:rPr>
          <w:t>(二)、2024-2029年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行业宏观政策指导的机遇</w:t>
        </w:r>
        <w:r>
          <w:tab/>
        </w:r>
        <w:r>
          <w:fldChar w:fldCharType="begin"/>
        </w:r>
        <w:r>
          <w:instrText xml:space="preserve"> PAGEREF _Toc18195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316" w:history="1">
        <w:r>
          <w:rPr>
            <w:rFonts w:eastAsia="微软雅黑" w:hint="eastAsia"/>
            <w:snapToGrid/>
            <w:lang w:val="en-US" w:eastAsia="zh-CN"/>
          </w:rPr>
          <w:t>(三)、2024-2029年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产业结构调整的机遇</w:t>
        </w:r>
        <w:r>
          <w:tab/>
        </w:r>
        <w:r>
          <w:fldChar w:fldCharType="begin"/>
        </w:r>
        <w:r>
          <w:instrText xml:space="preserve"> PAGEREF _Toc27316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821" w:history="1">
        <w:r>
          <w:rPr>
            <w:rFonts w:eastAsia="微软雅黑" w:hint="eastAsia"/>
            <w:snapToGrid/>
            <w:lang w:val="en-US" w:eastAsia="zh-CN"/>
          </w:rPr>
          <w:t>(四)、2024-2029年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行业面临的挑战与对策</w:t>
        </w:r>
        <w:r>
          <w:tab/>
        </w:r>
        <w:r>
          <w:fldChar w:fldCharType="begin"/>
        </w:r>
        <w:r>
          <w:instrText xml:space="preserve"> PAGEREF _Toc10821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0726" w:history="1">
        <w:r>
          <w:rPr>
            <w:rFonts w:eastAsia="微软雅黑" w:hint="eastAsia"/>
            <w:snapToGrid/>
            <w:lang w:val="en-US" w:eastAsia="en-US"/>
          </w:rPr>
          <w:t>二、宏观经济对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_Toc10726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451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行业线性决策机制分析</w:t>
        </w:r>
        <w:r>
          <w:tab/>
        </w:r>
        <w:r>
          <w:fldChar w:fldCharType="begin"/>
        </w:r>
        <w:r>
          <w:instrText xml:space="preserve"> PAGEREF _Toc30451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313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行业竞争与行业壁垒分析</w:t>
        </w:r>
        <w:r>
          <w:tab/>
        </w:r>
        <w:r>
          <w:fldChar w:fldCharType="begin"/>
        </w:r>
        <w:r>
          <w:instrText xml:space="preserve"> PAGEREF _Toc22313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906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行业库存管理波动分析</w:t>
        </w:r>
        <w:r>
          <w:tab/>
        </w:r>
        <w:r>
          <w:fldChar w:fldCharType="begin"/>
        </w:r>
        <w:r>
          <w:instrText xml:space="preserve"> PAGEREF _Toc7906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4955" w:history="1">
        <w:r>
          <w:rPr>
            <w:rFonts w:eastAsia="微软雅黑" w:hint="eastAsia"/>
            <w:snapToGrid/>
            <w:lang w:val="en-US" w:eastAsia="en-US"/>
          </w:rPr>
          <w:t>三、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行业“专业化能力”对盈利模式的影响分析</w:t>
        </w:r>
        <w:r>
          <w:tab/>
        </w:r>
        <w:r>
          <w:fldChar w:fldCharType="begin"/>
        </w:r>
        <w:r>
          <w:instrText xml:space="preserve"> PAGEREF _Toc4955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68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行业企业盈利模式运作的关键</w:t>
        </w:r>
        <w:r>
          <w:tab/>
        </w:r>
        <w:r>
          <w:fldChar w:fldCharType="begin"/>
        </w:r>
        <w:r>
          <w:instrText xml:space="preserve"> PAGEREF _Toc1268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980" w:history="1">
        <w:r>
          <w:rPr>
            <w:rFonts w:eastAsia="微软雅黑" w:hint="eastAsia"/>
            <w:snapToGrid/>
            <w:lang w:val="en-US" w:eastAsia="zh-CN"/>
          </w:rPr>
          <w:t>(二)、怎样培养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行业的业务能力</w:t>
        </w:r>
        <w:r>
          <w:tab/>
        </w:r>
        <w:r>
          <w:fldChar w:fldCharType="begin"/>
        </w:r>
        <w:r>
          <w:instrText xml:space="preserve"> PAGEREF _Toc27980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5949" w:history="1">
        <w:r>
          <w:rPr>
            <w:rFonts w:eastAsia="微软雅黑" w:hint="eastAsia"/>
            <w:snapToGrid/>
            <w:lang w:val="en-US" w:eastAsia="en-US"/>
          </w:rPr>
          <w:t>四、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行业数据预测与分析</w:t>
        </w:r>
        <w:r>
          <w:tab/>
        </w:r>
        <w:r>
          <w:fldChar w:fldCharType="begin"/>
        </w:r>
        <w:r>
          <w:instrText xml:space="preserve"> PAGEREF _Toc15949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457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行业时间序列预测与分析</w:t>
        </w:r>
        <w:r>
          <w:tab/>
        </w:r>
        <w:r>
          <w:fldChar w:fldCharType="begin"/>
        </w:r>
        <w:r>
          <w:instrText xml:space="preserve"> PAGEREF _Toc10457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545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行业时间曲线预测模型分析</w:t>
        </w:r>
        <w:r>
          <w:tab/>
        </w:r>
        <w:r>
          <w:fldChar w:fldCharType="begin"/>
        </w:r>
        <w:r>
          <w:instrText xml:space="preserve"> PAGEREF _Toc7545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741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行业差分方程预测模型分析</w:t>
        </w:r>
        <w:r>
          <w:tab/>
        </w:r>
        <w:r>
          <w:fldChar w:fldCharType="begin"/>
        </w:r>
        <w:r>
          <w:instrText xml:space="preserve"> PAGEREF _Toc31741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507" w:history="1">
        <w:r>
          <w:rPr>
            <w:rFonts w:eastAsia="微软雅黑" w:hint="eastAsia"/>
            <w:snapToGrid/>
            <w:lang w:val="en-US" w:eastAsia="zh-CN"/>
          </w:rPr>
          <w:t>(四)、未来5-10年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行业预测结论</w:t>
        </w:r>
        <w:r>
          <w:tab/>
        </w:r>
        <w:r>
          <w:fldChar w:fldCharType="begin"/>
        </w:r>
        <w:r>
          <w:instrText xml:space="preserve"> PAGEREF _Toc24507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2869" w:history="1">
        <w:r>
          <w:rPr>
            <w:rFonts w:eastAsia="微软雅黑" w:hint="eastAsia"/>
            <w:snapToGrid/>
            <w:lang w:val="en-US" w:eastAsia="en-US"/>
          </w:rPr>
          <w:t>五、2024-2029年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行业企业市场突破具体策略</w:t>
        </w:r>
        <w:r>
          <w:tab/>
        </w:r>
        <w:r>
          <w:fldChar w:fldCharType="begin"/>
        </w:r>
        <w:r>
          <w:instrText xml:space="preserve"> PAGEREF _Toc22869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007" w:history="1">
        <w:r>
          <w:rPr>
            <w:rFonts w:eastAsia="微软雅黑" w:hint="eastAsia"/>
            <w:snapToGrid/>
            <w:lang w:val="en-US" w:eastAsia="en-US"/>
          </w:rPr>
          <w:t>(一)、密切关注竞争对手的策略，提高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行业产品在行业内的竞争力</w:t>
        </w:r>
        <w:r>
          <w:tab/>
        </w:r>
        <w:r>
          <w:fldChar w:fldCharType="begin"/>
        </w:r>
        <w:r>
          <w:instrText xml:space="preserve"> PAGEREF _Toc22007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536" w:history="1">
        <w:r>
          <w:rPr>
            <w:rFonts w:eastAsia="微软雅黑" w:hint="eastAsia"/>
            <w:snapToGrid/>
            <w:lang w:val="en-US" w:eastAsia="zh-CN"/>
          </w:rPr>
          <w:t>(二)、使用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行业市场渗透策略，不断开发新客户</w:t>
        </w:r>
        <w:r>
          <w:tab/>
        </w:r>
        <w:r>
          <w:fldChar w:fldCharType="begin"/>
        </w:r>
        <w:r>
          <w:instrText xml:space="preserve"> PAGEREF _Toc23536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118" w:history="1">
        <w:r>
          <w:rPr>
            <w:rFonts w:eastAsia="微软雅黑" w:hint="eastAsia"/>
            <w:snapToGrid/>
            <w:lang w:val="en-US" w:eastAsia="zh-CN"/>
          </w:rPr>
          <w:t>(三)、实施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行业市场发展战略，不断开拓各类市场创新源</w:t>
        </w:r>
        <w:r>
          <w:tab/>
        </w:r>
        <w:r>
          <w:fldChar w:fldCharType="begin"/>
        </w:r>
        <w:r>
          <w:instrText xml:space="preserve"> PAGEREF _Toc28118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013" w:history="1">
        <w:r>
          <w:rPr>
            <w:rFonts w:eastAsia="微软雅黑" w:hint="eastAsia"/>
            <w:snapToGrid/>
            <w:lang w:val="en-US" w:eastAsia="zh-CN"/>
          </w:rPr>
          <w:t>(四)、不断提高产品质量，建立覆盖完善的服务体系</w:t>
        </w:r>
        <w:r>
          <w:tab/>
        </w:r>
        <w:r>
          <w:fldChar w:fldCharType="begin"/>
        </w:r>
        <w:r>
          <w:instrText xml:space="preserve"> PAGEREF _Toc18013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873" w:history="1">
        <w:r>
          <w:rPr>
            <w:rFonts w:eastAsia="微软雅黑" w:hint="eastAsia"/>
            <w:snapToGrid/>
            <w:lang w:val="en-US" w:eastAsia="zh-CN"/>
          </w:rPr>
          <w:t>(五)、实施线上线下融合，深化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行业国内外市场拓展</w:t>
        </w:r>
        <w:r>
          <w:tab/>
        </w:r>
        <w:r>
          <w:fldChar w:fldCharType="begin"/>
        </w:r>
        <w:r>
          <w:instrText xml:space="preserve"> PAGEREF _Toc25873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347" w:history="1">
        <w:r>
          <w:rPr>
            <w:rFonts w:eastAsia="微软雅黑" w:hint="eastAsia"/>
            <w:snapToGrid/>
            <w:lang w:val="en-US" w:eastAsia="zh-CN"/>
          </w:rPr>
          <w:t>(六)、在市场开发中结合渗透和其他策略</w:t>
        </w:r>
        <w:r>
          <w:tab/>
        </w:r>
        <w:r>
          <w:fldChar w:fldCharType="begin"/>
        </w:r>
        <w:r>
          <w:instrText xml:space="preserve"> PAGEREF _Toc22347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6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行业财务状况分析</w:t>
        </w:r>
        <w:r>
          <w:tab/>
        </w:r>
        <w:r>
          <w:fldChar w:fldCharType="begin"/>
        </w:r>
        <w:r>
          <w:instrText xml:space="preserve"> PAGEREF _Toc6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26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行业近三年财务数据及指标分析</w:t>
        </w:r>
        <w:r>
          <w:tab/>
        </w:r>
        <w:r>
          <w:fldChar w:fldCharType="begin"/>
        </w:r>
        <w:r>
          <w:instrText xml:space="preserve"> PAGEREF _Toc2126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730" w:history="1">
        <w:r>
          <w:rPr>
            <w:rFonts w:eastAsia="微软雅黑" w:hint="eastAsia"/>
            <w:snapToGrid/>
            <w:lang w:val="en-US" w:eastAsia="zh-CN"/>
          </w:rPr>
          <w:t>(二)、现金流对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_Toc9730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2145" w:history="1">
        <w:r>
          <w:rPr>
            <w:rFonts w:eastAsia="微软雅黑" w:hint="eastAsia"/>
            <w:snapToGrid/>
            <w:lang w:val="en-US" w:eastAsia="en-US"/>
          </w:rPr>
          <w:t>七、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行业风险控制解析</w:t>
        </w:r>
        <w:r>
          <w:tab/>
        </w:r>
        <w:r>
          <w:fldChar w:fldCharType="begin"/>
        </w:r>
        <w:r>
          <w:instrText xml:space="preserve"> PAGEREF _Toc12145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383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行业系统风险分析</w:t>
        </w:r>
        <w:r>
          <w:tab/>
        </w:r>
        <w:r>
          <w:fldChar w:fldCharType="begin"/>
        </w:r>
        <w:r>
          <w:instrText xml:space="preserve"> PAGEREF _Toc6383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10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行业第二产业的经营风险</w:t>
        </w:r>
        <w:r>
          <w:tab/>
        </w:r>
        <w:r>
          <w:fldChar w:fldCharType="begin"/>
        </w:r>
        <w:r>
          <w:instrText xml:space="preserve"> PAGEREF _Toc710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7452" w:history="1">
        <w:r>
          <w:rPr>
            <w:rFonts w:eastAsia="微软雅黑" w:hint="eastAsia"/>
            <w:snapToGrid/>
            <w:lang w:val="en-US" w:eastAsia="en-US"/>
          </w:rPr>
          <w:t>八、2024-2029年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行业市场运行趋势及存在问题分析</w:t>
        </w:r>
        <w:r>
          <w:tab/>
        </w:r>
        <w:r>
          <w:fldChar w:fldCharType="begin"/>
        </w:r>
        <w:r>
          <w:instrText xml:space="preserve"> PAGEREF _Toc27452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592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行业市场运行动态分析</w:t>
        </w:r>
        <w:r>
          <w:tab/>
        </w:r>
        <w:r>
          <w:fldChar w:fldCharType="begin"/>
        </w:r>
        <w:r>
          <w:instrText xml:space="preserve"> PAGEREF _Toc13592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835" w:history="1">
        <w:r>
          <w:rPr>
            <w:rFonts w:eastAsia="微软雅黑" w:hint="eastAsia"/>
            <w:snapToGrid/>
            <w:lang w:val="en-US" w:eastAsia="zh-CN"/>
          </w:rPr>
          <w:t>(二)、现阶段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_Toc11835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900" w:history="1">
        <w:r>
          <w:rPr>
            <w:rFonts w:eastAsia="微软雅黑" w:hint="eastAsia"/>
            <w:snapToGrid/>
            <w:lang w:val="en-US" w:eastAsia="zh-CN"/>
          </w:rPr>
          <w:t>(三)、现阶段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_Toc23900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25678" w:history="1">
        <w:r>
          <w:rPr>
            <w:rFonts w:eastAsia="微软雅黑" w:hint="eastAsia"/>
            <w:snapToGrid/>
            <w:lang w:val="en-US" w:eastAsia="zh-CN"/>
          </w:rPr>
          <w:t>(四)、规范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行业的发展</w:t>
        </w:r>
        <w:r>
          <w:tab/>
        </w:r>
        <w:r>
          <w:fldChar w:fldCharType="begin"/>
        </w:r>
        <w:r>
          <w:instrText xml:space="preserve"> PAGEREF _Toc25678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9890" w:history="1">
        <w:r>
          <w:rPr>
            <w:rFonts w:eastAsia="微软雅黑" w:hint="eastAsia"/>
            <w:snapToGrid/>
            <w:lang w:val="en-US" w:eastAsia="en-US"/>
          </w:rPr>
          <w:t>九、关于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行业发展战略规划的建议</w:t>
        </w:r>
        <w:r>
          <w:tab/>
        </w:r>
        <w:r>
          <w:fldChar w:fldCharType="begin"/>
        </w:r>
        <w:r>
          <w:instrText xml:space="preserve"> PAGEREF _Toc9890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961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行业战略规划简介</w:t>
        </w:r>
        <w:r>
          <w:tab/>
        </w:r>
        <w:r>
          <w:fldChar w:fldCharType="begin"/>
        </w:r>
        <w:r>
          <w:instrText xml:space="preserve"> PAGEREF _Toc23961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9839" w:history="1">
        <w:r>
          <w:rPr>
            <w:rFonts w:eastAsia="微软雅黑" w:hint="eastAsia"/>
            <w:snapToGrid/>
            <w:lang w:val="en-US" w:eastAsia="zh-CN"/>
          </w:rPr>
          <w:t>1、行业的社会化</w:t>
        </w:r>
        <w:r>
          <w:tab/>
        </w:r>
        <w:r>
          <w:fldChar w:fldCharType="begin"/>
        </w:r>
        <w:r>
          <w:instrText xml:space="preserve"> PAGEREF _Toc29839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6923" w:history="1">
        <w:r>
          <w:rPr>
            <w:rFonts w:eastAsia="微软雅黑" w:hint="eastAsia"/>
            <w:snapToGrid/>
            <w:lang w:val="en-US" w:eastAsia="zh-CN"/>
          </w:rPr>
          <w:t>2、行业的规模化</w:t>
        </w:r>
        <w:r>
          <w:tab/>
        </w:r>
        <w:r>
          <w:fldChar w:fldCharType="begin"/>
        </w:r>
        <w:r>
          <w:instrText xml:space="preserve"> PAGEREF _Toc6923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602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行业的市场应用方向</w:t>
        </w:r>
        <w:r>
          <w:tab/>
        </w:r>
        <w:r>
          <w:fldChar w:fldCharType="begin"/>
        </w:r>
        <w:r>
          <w:instrText xml:space="preserve"> PAGEREF _Toc18602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445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行业的发展重点</w:t>
        </w:r>
        <w:r>
          <w:tab/>
        </w:r>
        <w:r>
          <w:fldChar w:fldCharType="begin"/>
        </w:r>
        <w:r>
          <w:instrText xml:space="preserve"> PAGEREF _Toc29445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2269" w:history="1">
        <w:r>
          <w:rPr>
            <w:rFonts w:eastAsia="微软雅黑" w:hint="eastAsia"/>
            <w:snapToGrid/>
            <w:lang w:val="en-US" w:eastAsia="en-US"/>
          </w:rPr>
          <w:t>十、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行业企业战略选择</w:t>
        </w:r>
        <w:r>
          <w:tab/>
        </w:r>
        <w:r>
          <w:fldChar w:fldCharType="begin"/>
        </w:r>
        <w:r>
          <w:instrText xml:space="preserve"> PAGEREF _Toc22269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433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行业SWOT分析</w:t>
        </w:r>
        <w:r>
          <w:tab/>
        </w:r>
        <w:r>
          <w:fldChar w:fldCharType="begin"/>
        </w:r>
        <w:r>
          <w:instrText xml:space="preserve"> PAGEREF _Toc19433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869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行业企业战略确定</w:t>
        </w:r>
        <w:r>
          <w:tab/>
        </w:r>
        <w:r>
          <w:fldChar w:fldCharType="begin"/>
        </w:r>
        <w:r>
          <w:instrText xml:space="preserve"> PAGEREF _Toc27869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291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行业PEST分析</w:t>
        </w:r>
        <w:r>
          <w:tab/>
        </w:r>
        <w:r>
          <w:fldChar w:fldCharType="begin"/>
        </w:r>
        <w:r>
          <w:instrText xml:space="preserve"> PAGEREF _Toc9291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8918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_Toc8918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7591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_Toc7591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3307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_Toc23307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9670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_Toc9670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2415" w:history="1">
        <w:r>
          <w:rPr>
            <w:rFonts w:eastAsia="微软雅黑" w:hint="eastAsia"/>
            <w:snapToGrid/>
            <w:lang w:val="en-US" w:eastAsia="en-US"/>
          </w:rPr>
          <w:t>十一、2024-2029年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行业竞争格局展望</w:t>
        </w:r>
        <w:r>
          <w:tab/>
        </w:r>
        <w:r>
          <w:fldChar w:fldCharType="begin"/>
        </w:r>
        <w:r>
          <w:instrText xml:space="preserve"> PAGEREF _Toc22415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795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行业经济周期分析</w:t>
        </w:r>
        <w:r>
          <w:tab/>
        </w:r>
        <w:r>
          <w:fldChar w:fldCharType="begin"/>
        </w:r>
        <w:r>
          <w:instrText xml:space="preserve"> PAGEREF _Toc31795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605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行业的增长与波动分析</w:t>
        </w:r>
        <w:r>
          <w:tab/>
        </w:r>
        <w:r>
          <w:fldChar w:fldCharType="begin"/>
        </w:r>
        <w:r>
          <w:instrText xml:space="preserve"> PAGEREF _Toc20605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854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行业市场成熟度分析</w:t>
        </w:r>
        <w:r>
          <w:tab/>
        </w:r>
        <w:r>
          <w:fldChar w:fldCharType="begin"/>
        </w:r>
        <w:r>
          <w:instrText xml:space="preserve"> PAGEREF _Toc31854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635" w:history="1">
        <w:r>
          <w:rPr>
            <w:rFonts w:eastAsia="微软雅黑" w:hint="eastAsia"/>
            <w:snapToGrid/>
            <w:lang w:val="en-US" w:eastAsia="en-US"/>
          </w:rPr>
          <w:t>十二、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行业多元化趋势</w:t>
        </w:r>
        <w:r>
          <w:tab/>
        </w:r>
        <w:r>
          <w:fldChar w:fldCharType="begin"/>
        </w:r>
        <w:r>
          <w:instrText xml:space="preserve"> PAGEREF _Toc28635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858" w:history="1">
        <w:r>
          <w:rPr>
            <w:rFonts w:eastAsia="微软雅黑" w:hint="eastAsia"/>
            <w:snapToGrid/>
            <w:lang w:val="en-US" w:eastAsia="en-US"/>
          </w:rPr>
          <w:t>(一)、宏观机制升级</w:t>
        </w:r>
        <w:r>
          <w:tab/>
        </w:r>
        <w:r>
          <w:fldChar w:fldCharType="begin"/>
        </w:r>
        <w:r>
          <w:instrText xml:space="preserve"> PAGEREF _Toc6858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42" w:history="1">
        <w:r>
          <w:rPr>
            <w:rFonts w:eastAsia="微软雅黑" w:hint="eastAsia"/>
            <w:snapToGrid/>
            <w:lang w:val="en-US" w:eastAsia="zh-CN"/>
          </w:rPr>
          <w:t>(二)、服务模式多元化</w:t>
        </w:r>
        <w:r>
          <w:tab/>
        </w:r>
        <w:r>
          <w:fldChar w:fldCharType="begin"/>
        </w:r>
        <w:r>
          <w:instrText xml:space="preserve"> PAGEREF _Toc2442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562" w:history="1">
        <w:r>
          <w:rPr>
            <w:rFonts w:eastAsia="微软雅黑" w:hint="eastAsia"/>
            <w:snapToGrid/>
            <w:lang w:val="en-US" w:eastAsia="zh-CN"/>
          </w:rPr>
          <w:t>(三)、新的价格战将不可避免</w:t>
        </w:r>
        <w:r>
          <w:tab/>
        </w:r>
        <w:r>
          <w:fldChar w:fldCharType="begin"/>
        </w:r>
        <w:r>
          <w:instrText xml:space="preserve"> PAGEREF _Toc12562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487" w:history="1">
        <w:r>
          <w:rPr>
            <w:rFonts w:eastAsia="微软雅黑" w:hint="eastAsia"/>
            <w:snapToGrid/>
            <w:lang w:val="en-US" w:eastAsia="zh-CN"/>
          </w:rPr>
          <w:t>(四)、社会化特征增强</w:t>
        </w:r>
        <w:r>
          <w:tab/>
        </w:r>
        <w:r>
          <w:fldChar w:fldCharType="begin"/>
        </w:r>
        <w:r>
          <w:instrText xml:space="preserve"> PAGEREF _Toc22487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929" w:history="1">
        <w:r>
          <w:rPr>
            <w:rFonts w:eastAsia="微软雅黑" w:hint="eastAsia"/>
            <w:snapToGrid/>
            <w:lang w:val="en-US" w:eastAsia="zh-CN"/>
          </w:rPr>
          <w:t>(五)、信息化实施力度加大</w:t>
        </w:r>
        <w:r>
          <w:tab/>
        </w:r>
        <w:r>
          <w:fldChar w:fldCharType="begin"/>
        </w:r>
        <w:r>
          <w:instrText xml:space="preserve"> PAGEREF _Toc24929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05" w:history="1">
        <w:r>
          <w:rPr>
            <w:rFonts w:eastAsia="微软雅黑" w:hint="eastAsia"/>
            <w:snapToGrid/>
            <w:lang w:val="en-US" w:eastAsia="zh-CN"/>
          </w:rPr>
          <w:t>(六)、生态化建设进一步开放</w:t>
        </w:r>
        <w:r>
          <w:tab/>
        </w:r>
        <w:r>
          <w:fldChar w:fldCharType="begin"/>
        </w:r>
        <w:r>
          <w:instrText xml:space="preserve"> PAGEREF _Toc2405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657" w:history="1">
        <w:r>
          <w:rPr>
            <w:rFonts w:eastAsia="微软雅黑" w:hint="eastAsia"/>
            <w:snapToGrid/>
            <w:lang w:val="en-US" w:eastAsia="zh-CN"/>
          </w:rPr>
          <w:t>(七)、呈现集群化分布</w:t>
        </w:r>
        <w:r>
          <w:tab/>
        </w:r>
        <w:r>
          <w:fldChar w:fldCharType="begin"/>
        </w:r>
        <w:r>
          <w:instrText xml:space="preserve"> PAGE</w:instrText>
        </w:r>
        <w:r>
          <w:instrText xml:space="preserve">REF _Toc18657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996" w:history="1">
        <w:r>
          <w:rPr>
            <w:rFonts w:eastAsia="微软雅黑" w:hint="eastAsia"/>
            <w:snapToGrid/>
            <w:lang w:val="en-US" w:eastAsia="zh-CN"/>
          </w:rPr>
          <w:t>(八)、各信息化厂商推动</w:t>
        </w:r>
        <w:r>
          <w:rPr>
            <w:rFonts w:eastAsia="微软雅黑" w:hint="eastAsia"/>
            <w:snapToGrid/>
            <w:lang w:val="en-US" w:eastAsia="zh-CN"/>
          </w:rPr>
          <w:t>广东医药</w:t>
        </w:r>
        <w:r>
          <w:rPr>
            <w:rFonts w:eastAsia="微软雅黑" w:hint="eastAsia"/>
            <w:snapToGrid/>
            <w:lang w:val="en-US" w:eastAsia="zh-CN"/>
          </w:rPr>
          <w:t>行业发展</w:t>
        </w:r>
        <w:r>
          <w:tab/>
        </w:r>
        <w:r>
          <w:fldChar w:fldCharType="begin"/>
        </w:r>
        <w:r>
          <w:instrText xml:space="preserve"> PAGEREF _Toc4996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756" w:history="1">
        <w:r>
          <w:rPr>
            <w:rFonts w:eastAsia="微软雅黑" w:hint="eastAsia"/>
            <w:snapToGrid/>
            <w:lang w:val="en-US" w:eastAsia="zh-CN"/>
          </w:rPr>
          <w:t>(九)、政府采购政策加码</w:t>
        </w:r>
        <w:r>
          <w:tab/>
        </w:r>
        <w:r>
          <w:fldChar w:fldCharType="begin"/>
        </w:r>
        <w:r>
          <w:instrText xml:space="preserve"> PAGEREF _Toc18756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177" w:history="1">
        <w:r>
          <w:rPr>
            <w:rFonts w:eastAsia="微软雅黑" w:hint="eastAsia"/>
            <w:snapToGrid/>
            <w:lang w:val="en-US" w:eastAsia="zh-CN"/>
          </w:rPr>
          <w:t>(十)、个性化定制受宠</w:t>
        </w:r>
        <w:r>
          <w:tab/>
        </w:r>
        <w:r>
          <w:fldChar w:fldCharType="begin"/>
        </w:r>
        <w:r>
          <w:instrText xml:space="preserve"> PAGEREF _Toc5177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031" w:history="1">
        <w:r>
          <w:rPr>
            <w:rFonts w:eastAsia="微软雅黑" w:hint="eastAsia"/>
            <w:snapToGrid/>
            <w:lang w:val="en-US" w:eastAsia="zh-CN"/>
          </w:rPr>
          <w:t>(十一)、品牌不断强化</w:t>
        </w:r>
        <w:r>
          <w:tab/>
        </w:r>
        <w:r>
          <w:fldChar w:fldCharType="begin"/>
        </w:r>
        <w:r>
          <w:instrText xml:space="preserve"> PAGEREF _Toc10031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619" w:history="1">
        <w:r>
          <w:rPr>
            <w:rFonts w:eastAsia="微软雅黑" w:hint="eastAsia"/>
            <w:snapToGrid/>
            <w:lang w:val="en-US" w:eastAsia="zh-CN"/>
          </w:rPr>
          <w:t>(十二)、互联网已经成为标配“风生水起“</w:t>
        </w:r>
        <w:r>
          <w:tab/>
        </w:r>
        <w:r>
          <w:fldChar w:fldCharType="begin"/>
        </w:r>
        <w:r>
          <w:instrText xml:space="preserve"> PAGEREF _Toc10619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901" w:history="1">
        <w:r>
          <w:rPr>
            <w:rFonts w:eastAsia="微软雅黑" w:hint="eastAsia"/>
            <w:snapToGrid/>
            <w:lang w:val="en-US" w:eastAsia="zh-CN"/>
          </w:rPr>
          <w:t>(十三)、一体式服务为发展趋势</w:t>
        </w:r>
        <w:r>
          <w:tab/>
        </w:r>
        <w:r>
          <w:fldChar w:fldCharType="begin"/>
        </w:r>
        <w:r>
          <w:instrText xml:space="preserve"> PAGEREF _Toc27901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960" w:history="1">
        <w:r>
          <w:rPr>
            <w:rFonts w:eastAsia="微软雅黑" w:hint="eastAsia"/>
            <w:snapToGrid/>
            <w:lang w:val="en-US" w:eastAsia="zh-CN"/>
          </w:rPr>
          <w:t>(十四)、政策手段的奖惩力度加大</w:t>
        </w:r>
        <w:r>
          <w:tab/>
        </w:r>
        <w:r>
          <w:fldChar w:fldCharType="begin"/>
        </w:r>
        <w:r>
          <w:instrText xml:space="preserve"> PAGEREF _Toc3960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5478" w:history="1">
        <w:r>
          <w:rPr>
            <w:rFonts w:eastAsia="微软雅黑" w:hint="eastAsia"/>
            <w:snapToGrid/>
            <w:lang w:val="en-US" w:eastAsia="en-US"/>
          </w:rPr>
          <w:t>十三、</w:t>
        </w:r>
        <w:r>
          <w:rPr>
            <w:rFonts w:eastAsia="微软雅黑" w:hint="eastAsia"/>
            <w:snapToGrid/>
            <w:lang w:val="en-US" w:eastAsia="en-US"/>
          </w:rPr>
          <w:t>广东医药</w:t>
        </w:r>
        <w:r>
          <w:rPr>
            <w:rFonts w:eastAsia="微软雅黑" w:hint="eastAsia"/>
            <w:snapToGrid/>
            <w:lang w:val="en-US" w:eastAsia="en-US"/>
          </w:rPr>
          <w:t>行业企业战略目标</w:t>
        </w:r>
        <w:r>
          <w:tab/>
        </w:r>
        <w:r>
          <w:fldChar w:fldCharType="begin"/>
        </w:r>
        <w:r>
          <w:instrText xml:space="preserve"> PAGEREF _Toc15478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Normal0"/>
        <w:spacing w:after="260" w:line="360" w:lineRule="auto"/>
        <w:jc w:val="center"/>
        <w:rPr>
          <w:rFonts w:ascii="微软雅黑" w:eastAsia="微软雅黑" w:hAnsi="微软雅黑" w:cs="微软雅黑"/>
          <w:b w:val="0"/>
        </w:rPr>
      </w:pPr>
      <w:r>
        <w:fldChar w:fldCharType="end"/>
      </w:r>
      <w:r>
        <w:rPr>
          <w:rFonts w:ascii="微软雅黑" w:eastAsia="微软雅黑" w:hAnsi="微软雅黑" w:cs="微软雅黑"/>
          <w:b w:val="0"/>
        </w:rPr>
        <w:br/>
      </w:r>
      <w:r>
        <w:rPr>
          <w:rFonts w:ascii="微软雅黑" w:eastAsia="微软雅黑" w:hAnsi="微软雅黑" w:cs="微软雅黑"/>
          <w:b w:val="0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https://d.book118.com/675144134203011034</w:t>
        </w:r>
      </w:hyperlink>
    </w:p>
    <w:p>
      <w:pPr>
        <w:pStyle w:val="Normal0"/>
        <w:spacing w:after="260" w:line="360" w:lineRule="auto"/>
        <w:jc w:val="center"/>
        <w:rPr>
          <w:rFonts w:ascii="微软雅黑" w:eastAsia="微软雅黑" w:hAnsi="微软雅黑" w:cs="微软雅黑"/>
          <w:b w:val="0"/>
        </w:rPr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7514413420301103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