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个性化药物治疗策略的研究进展</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rPr>
          <w:rFonts w:ascii="Microsoft JhengHei"/>
          <w:b/>
          <w:sz w:val="14"/>
        </w:rPr>
      </w:pPr>
    </w:p>
    <w:sdt>
      <w:sdtPr>
        <w:id w:val="380610264"/>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个性化药物治疗概</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基因组学在个性化药物中的应</w:t>
            </w:r>
            <w:r>
              <w:rPr>
                <w:spacing w:val="-10"/>
              </w:rPr>
              <w:t>用</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蛋白质组学与个性化药物关</w:t>
            </w:r>
            <w:r>
              <w:rPr>
                <w:spacing w:val="-10"/>
              </w:rPr>
              <w:t>系</w:t>
            </w:r>
            <w:r>
              <w:rPr>
                <w:rFonts w:ascii="Times New Roman" w:eastAsia="Times New Roman"/>
              </w:rPr>
              <w:tab/>
            </w:r>
            <w:r>
              <w:rPr>
                <w:rFonts w:ascii="Times New Roman" w:eastAsia="Times New Roman"/>
                <w:spacing w:val="-10"/>
              </w:rPr>
              <w:t>8</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代谢组学对个性化药物的影</w:t>
            </w:r>
            <w:r>
              <w:rPr>
                <w:spacing w:val="-10"/>
              </w:rPr>
              <w:t>响</w:t>
            </w:r>
            <w:r>
              <w:rPr>
                <w:rFonts w:ascii="Times New Roman" w:eastAsia="Times New Roman"/>
              </w:rPr>
              <w:tab/>
            </w:r>
            <w:r>
              <w:rPr>
                <w:rFonts w:ascii="Times New Roman" w:eastAsia="Times New Roman"/>
                <w:spacing w:val="-5"/>
              </w:rPr>
              <w:t>11</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临床试验在策略研究中的作</w:t>
            </w:r>
            <w:r>
              <w:rPr>
                <w:spacing w:val="-10"/>
              </w:rPr>
              <w:t>用</w:t>
            </w:r>
            <w:r>
              <w:rPr>
                <w:rFonts w:ascii="Times New Roman" w:eastAsia="Times New Roman"/>
              </w:rPr>
              <w:tab/>
            </w:r>
            <w:r>
              <w:rPr>
                <w:rFonts w:ascii="Times New Roman" w:eastAsia="Times New Roman"/>
                <w:spacing w:val="-5"/>
              </w:rPr>
              <w:t>13</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现有个性化药物的案例分</w:t>
            </w:r>
            <w:r>
              <w:rPr>
                <w:spacing w:val="-10"/>
              </w:rPr>
              <w:t>析</w:t>
            </w:r>
            <w:r>
              <w:rPr>
                <w:rFonts w:ascii="Times New Roman" w:eastAsia="Times New Roman"/>
              </w:rPr>
              <w:tab/>
            </w:r>
            <w:r>
              <w:rPr>
                <w:rFonts w:ascii="Times New Roman" w:eastAsia="Times New Roman"/>
                <w:spacing w:val="-5"/>
              </w:rPr>
              <w:t>16</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未来发展趋势与挑</w:t>
            </w:r>
            <w:r>
              <w:rPr>
                <w:spacing w:val="-10"/>
              </w:rPr>
              <w:t>战</w:t>
            </w:r>
            <w:r>
              <w:rPr>
                <w:rFonts w:ascii="Times New Roman" w:eastAsia="Times New Roman"/>
              </w:rPr>
              <w:tab/>
            </w:r>
            <w:r>
              <w:rPr>
                <w:rFonts w:ascii="Times New Roman" w:eastAsia="Times New Roman"/>
                <w:spacing w:val="-5"/>
              </w:rPr>
              <w:t>20</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结论与展</w:t>
            </w:r>
            <w:r>
              <w:rPr>
                <w:spacing w:val="-10"/>
              </w:rPr>
              <w:t>望</w:t>
            </w:r>
            <w:r>
              <w:rPr>
                <w:rFonts w:ascii="Times New Roman" w:eastAsia="Times New Roman"/>
              </w:rPr>
              <w:tab/>
            </w:r>
            <w:r>
              <w:rPr>
                <w:rFonts w:ascii="Times New Roman" w:eastAsia="Times New Roman"/>
                <w:spacing w:val="-5"/>
              </w:rPr>
              <w:t>25</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个</w:t>
      </w:r>
      <w:r>
        <w:t>性</w:t>
      </w:r>
      <w:r>
        <w:t>化</w:t>
      </w:r>
      <w:r>
        <w:t>药</w:t>
      </w:r>
      <w:r>
        <w:t>物</w:t>
      </w:r>
      <w:r>
        <w:t>治</w:t>
      </w:r>
      <w:r>
        <w:t>疗</w:t>
      </w:r>
      <w:r>
        <w:t>概</w:t>
      </w:r>
      <w:r>
        <w:rPr>
          <w:spacing w:val="-10"/>
        </w:rPr>
        <w:t>述</w:t>
      </w:r>
    </w:p>
    <w:p>
      <w:pPr>
        <w:pStyle w:val="BodyText"/>
        <w:spacing w:before="15" w:after="1"/>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0"/>
        <w:gridCol w:w="554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50" w:type="dxa"/>
          </w:tcPr>
          <w:p>
            <w:pPr>
              <w:pStyle w:val="TableParagraph"/>
              <w:spacing w:before="23"/>
              <w:ind w:right="0"/>
              <w:rPr>
                <w:sz w:val="21"/>
              </w:rPr>
            </w:pPr>
            <w:r>
              <w:rPr>
                <w:spacing w:val="-4"/>
                <w:sz w:val="21"/>
              </w:rPr>
              <w:t>关键词</w:t>
            </w:r>
          </w:p>
        </w:tc>
        <w:tc>
          <w:tcPr>
            <w:tcW w:w="5546" w:type="dxa"/>
          </w:tcPr>
          <w:p>
            <w:pPr>
              <w:pStyle w:val="TableParagraph"/>
              <w:spacing w:before="23"/>
              <w:ind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50" w:type="dxa"/>
          </w:tcPr>
          <w:p>
            <w:pPr>
              <w:pStyle w:val="TableParagraph"/>
              <w:spacing w:before="23"/>
              <w:ind w:right="0"/>
              <w:rPr>
                <w:sz w:val="21"/>
              </w:rPr>
            </w:pPr>
            <w:r>
              <w:rPr>
                <w:spacing w:val="-1"/>
                <w:sz w:val="21"/>
              </w:rPr>
              <w:t>个体差异对药物反应的影响</w:t>
            </w:r>
          </w:p>
        </w:tc>
        <w:tc>
          <w:tcPr>
            <w:tcW w:w="5546" w:type="dxa"/>
          </w:tcPr>
          <w:p>
            <w:pPr>
              <w:pStyle w:val="TableParagraph"/>
              <w:spacing w:before="4"/>
              <w:ind w:left="0" w:right="0"/>
              <w:rPr>
                <w:rFonts w:ascii="Microsoft JhengHei"/>
                <w:b/>
                <w:sz w:val="18"/>
              </w:rPr>
            </w:pPr>
          </w:p>
          <w:p>
            <w:pPr>
              <w:pStyle w:val="TableParagraph"/>
              <w:numPr>
                <w:ilvl w:val="0"/>
                <w:numId w:val="48"/>
              </w:numPr>
              <w:tabs>
                <w:tab w:val="left" w:pos="372"/>
              </w:tabs>
              <w:spacing w:before="0" w:after="0" w:line="278" w:lineRule="auto"/>
              <w:ind w:left="108" w:right="95" w:firstLine="0"/>
              <w:jc w:val="both"/>
              <w:rPr>
                <w:sz w:val="21"/>
              </w:rPr>
            </w:pPr>
            <w:r>
              <w:rPr>
                <w:spacing w:val="-2"/>
                <w:sz w:val="21"/>
              </w:rPr>
              <w:t>遗传因素：遗传多态性是造成个体间药物代谢、药效和</w:t>
            </w:r>
            <w:r>
              <w:rPr>
                <w:spacing w:val="-4"/>
                <w:sz w:val="21"/>
              </w:rPr>
              <w:t>毒副作用差异的主要原因。例如，</w:t>
            </w:r>
            <w:r>
              <w:rPr>
                <w:rFonts w:ascii="Times New Roman" w:eastAsia="Times New Roman"/>
                <w:spacing w:val="-4"/>
                <w:sz w:val="21"/>
              </w:rPr>
              <w:t xml:space="preserve">CYP450 </w:t>
            </w:r>
            <w:r>
              <w:rPr>
                <w:spacing w:val="-4"/>
                <w:sz w:val="21"/>
              </w:rPr>
              <w:t>家族的基因多态</w:t>
            </w:r>
            <w:r>
              <w:rPr>
                <w:spacing w:val="-2"/>
                <w:sz w:val="21"/>
              </w:rPr>
              <w:t>性会影响药物代谢的速度和效率。</w:t>
            </w:r>
          </w:p>
          <w:p>
            <w:pPr>
              <w:pStyle w:val="TableParagraph"/>
              <w:numPr>
                <w:ilvl w:val="0"/>
                <w:numId w:val="48"/>
              </w:numPr>
              <w:tabs>
                <w:tab w:val="left" w:pos="372"/>
              </w:tabs>
              <w:spacing w:before="0" w:after="0" w:line="278" w:lineRule="auto"/>
              <w:ind w:left="108" w:right="96" w:firstLine="0"/>
              <w:jc w:val="both"/>
              <w:rPr>
                <w:sz w:val="21"/>
              </w:rPr>
            </w:pPr>
            <w:r>
              <w:rPr>
                <w:spacing w:val="-2"/>
                <w:sz w:val="21"/>
              </w:rPr>
              <w:t>生理状态：年龄、性别、体重、怀孕、疾病状态等生理</w:t>
            </w:r>
            <w:r>
              <w:rPr>
                <w:spacing w:val="-2"/>
                <w:sz w:val="21"/>
              </w:rPr>
              <w:t>因素均会影响药物的体内分布、代谢和排泄过程，从而影</w:t>
            </w:r>
            <w:r>
              <w:rPr>
                <w:spacing w:val="-2"/>
                <w:sz w:val="21"/>
              </w:rPr>
              <w:t>响药物治疗效果和安全性。</w:t>
            </w:r>
          </w:p>
          <w:p>
            <w:pPr>
              <w:pStyle w:val="TableParagraph"/>
              <w:numPr>
                <w:ilvl w:val="0"/>
                <w:numId w:val="48"/>
              </w:numPr>
              <w:tabs>
                <w:tab w:val="left" w:pos="372"/>
              </w:tabs>
              <w:spacing w:before="0" w:after="0" w:line="278" w:lineRule="auto"/>
              <w:ind w:left="108" w:right="96" w:firstLine="0"/>
              <w:jc w:val="both"/>
              <w:rPr>
                <w:sz w:val="21"/>
              </w:rPr>
            </w:pPr>
            <w:r>
              <w:rPr>
                <w:spacing w:val="-2"/>
                <w:sz w:val="21"/>
              </w:rPr>
              <w:t>环境因素：包括饮食习惯、生活方式、职业暴露等，这</w:t>
            </w:r>
            <w:r>
              <w:rPr>
                <w:spacing w:val="-2"/>
                <w:sz w:val="21"/>
              </w:rPr>
              <w:t>些因素可能通过改变药物代谢酶活性或药物靶点表达水平</w:t>
            </w:r>
            <w:r>
              <w:rPr>
                <w:spacing w:val="-2"/>
                <w:sz w:val="21"/>
              </w:rPr>
              <w:t>来影响药物反应。</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50" w:type="dxa"/>
          </w:tcPr>
          <w:p>
            <w:pPr>
              <w:pStyle w:val="TableParagraph"/>
              <w:spacing w:before="23" w:line="278" w:lineRule="auto"/>
              <w:rPr>
                <w:sz w:val="21"/>
              </w:rPr>
            </w:pPr>
            <w:r>
              <w:rPr>
                <w:spacing w:val="-2"/>
                <w:sz w:val="21"/>
              </w:rPr>
              <w:t>基因组学在个性化药物治疗</w:t>
            </w:r>
            <w:r>
              <w:rPr>
                <w:spacing w:val="-4"/>
                <w:sz w:val="21"/>
              </w:rPr>
              <w:t>中的应用</w:t>
            </w:r>
          </w:p>
        </w:tc>
        <w:tc>
          <w:tcPr>
            <w:tcW w:w="5546" w:type="dxa"/>
          </w:tcPr>
          <w:p>
            <w:pPr>
              <w:pStyle w:val="TableParagraph"/>
              <w:spacing w:before="4"/>
              <w:ind w:left="0" w:right="0"/>
              <w:rPr>
                <w:rFonts w:ascii="Microsoft JhengHei"/>
                <w:b/>
                <w:sz w:val="18"/>
              </w:rPr>
            </w:pPr>
          </w:p>
          <w:p>
            <w:pPr>
              <w:pStyle w:val="TableParagraph"/>
              <w:numPr>
                <w:ilvl w:val="0"/>
                <w:numId w:val="47"/>
              </w:numPr>
              <w:tabs>
                <w:tab w:val="left" w:pos="372"/>
              </w:tabs>
              <w:spacing w:before="0" w:after="0" w:line="278" w:lineRule="auto"/>
              <w:ind w:left="108" w:right="96" w:firstLine="0"/>
              <w:jc w:val="both"/>
              <w:rPr>
                <w:sz w:val="21"/>
              </w:rPr>
            </w:pPr>
            <w:r>
              <w:rPr>
                <w:spacing w:val="-2"/>
                <w:sz w:val="21"/>
              </w:rPr>
              <w:t>基因检测：通过基因测序技术，可以确定患者是否存在</w:t>
            </w:r>
            <w:r>
              <w:rPr>
                <w:spacing w:val="-2"/>
                <w:sz w:val="21"/>
              </w:rPr>
              <w:t>与药物代谢相关的基因变异，为选择适当的药物和剂量提</w:t>
            </w:r>
            <w:r>
              <w:rPr>
                <w:spacing w:val="-4"/>
                <w:sz w:val="21"/>
              </w:rPr>
              <w:t>供依据。</w:t>
            </w:r>
          </w:p>
          <w:p>
            <w:pPr>
              <w:pStyle w:val="TableParagraph"/>
              <w:numPr>
                <w:ilvl w:val="0"/>
                <w:numId w:val="47"/>
              </w:numPr>
              <w:tabs>
                <w:tab w:val="left" w:pos="372"/>
              </w:tabs>
              <w:spacing w:before="0" w:after="0" w:line="278" w:lineRule="auto"/>
              <w:ind w:left="108" w:right="96" w:firstLine="0"/>
              <w:jc w:val="both"/>
              <w:rPr>
                <w:sz w:val="21"/>
              </w:rPr>
            </w:pPr>
            <w:r>
              <w:rPr>
                <w:spacing w:val="-2"/>
                <w:sz w:val="21"/>
              </w:rPr>
              <w:t>药物基因组学：研究特定基因变异如何影响药物反应的</w:t>
            </w:r>
            <w:r>
              <w:rPr>
                <w:spacing w:val="3"/>
                <w:sz w:val="21"/>
              </w:rPr>
              <w:t xml:space="preserve">学科。如 </w:t>
            </w:r>
            <w:r>
              <w:rPr>
                <w:rFonts w:ascii="Times New Roman" w:eastAsia="Times New Roman"/>
                <w:sz w:val="21"/>
              </w:rPr>
              <w:t>CPIC</w:t>
            </w:r>
            <w:r>
              <w:rPr>
                <w:sz w:val="21"/>
              </w:rPr>
              <w:t>（</w:t>
            </w:r>
            <w:r>
              <w:rPr>
                <w:spacing w:val="-26"/>
                <w:sz w:val="21"/>
              </w:rPr>
              <w:t xml:space="preserve"> </w:t>
            </w:r>
            <w:r>
              <w:rPr>
                <w:rFonts w:ascii="Times New Roman" w:eastAsia="Times New Roman"/>
                <w:sz w:val="21"/>
              </w:rPr>
              <w:t>Clinical</w:t>
            </w:r>
            <w:r>
              <w:rPr>
                <w:rFonts w:ascii="Times New Roman" w:eastAsia="Times New Roman"/>
                <w:spacing w:val="-13"/>
                <w:sz w:val="21"/>
              </w:rPr>
              <w:t xml:space="preserve"> </w:t>
            </w:r>
            <w:r>
              <w:rPr>
                <w:rFonts w:ascii="Times New Roman" w:eastAsia="Times New Roman"/>
                <w:sz w:val="21"/>
              </w:rPr>
              <w:t>Pharmacogenetics</w:t>
            </w:r>
            <w:r>
              <w:rPr>
                <w:rFonts w:ascii="Times New Roman" w:eastAsia="Times New Roman"/>
                <w:spacing w:val="-13"/>
                <w:sz w:val="21"/>
              </w:rPr>
              <w:t xml:space="preserve"> </w:t>
            </w:r>
            <w:r>
              <w:rPr>
                <w:rFonts w:ascii="Times New Roman" w:eastAsia="Times New Roman"/>
                <w:sz w:val="21"/>
              </w:rPr>
              <w:t xml:space="preserve">Implementation </w:t>
            </w:r>
            <w:r>
              <w:rPr>
                <w:rFonts w:ascii="Times New Roman" w:eastAsia="Times New Roman"/>
                <w:spacing w:val="-4"/>
                <w:sz w:val="21"/>
              </w:rPr>
              <w:t>Consortium</w:t>
            </w:r>
            <w:r>
              <w:rPr>
                <w:spacing w:val="-4"/>
                <w:sz w:val="21"/>
              </w:rPr>
              <w:t>）提供的药物基因组学指导原则，帮助医生根据</w:t>
            </w:r>
            <w:r>
              <w:rPr>
                <w:spacing w:val="-2"/>
                <w:sz w:val="21"/>
              </w:rPr>
              <w:t>患者的基因信息制定个性化的治疗方案。</w:t>
            </w:r>
          </w:p>
          <w:p>
            <w:pPr>
              <w:pStyle w:val="TableParagraph"/>
              <w:numPr>
                <w:ilvl w:val="0"/>
                <w:numId w:val="47"/>
              </w:numPr>
              <w:tabs>
                <w:tab w:val="left" w:pos="372"/>
              </w:tabs>
              <w:spacing w:before="0" w:after="0" w:line="278" w:lineRule="auto"/>
              <w:ind w:left="108" w:right="96" w:firstLine="0"/>
              <w:jc w:val="both"/>
              <w:rPr>
                <w:sz w:val="21"/>
              </w:rPr>
            </w:pPr>
            <w:r>
              <w:rPr>
                <w:spacing w:val="-2"/>
                <w:sz w:val="21"/>
              </w:rPr>
              <w:t>个体化药物设计：基于基因组学数据，可以设计针对特</w:t>
            </w:r>
            <w:r>
              <w:rPr>
                <w:spacing w:val="-2"/>
                <w:sz w:val="21"/>
              </w:rPr>
              <w:t>定基因变异的新型药物或优化现有药物的结构，以提高疗</w:t>
            </w:r>
            <w:r>
              <w:rPr>
                <w:spacing w:val="-2"/>
                <w:sz w:val="21"/>
              </w:rPr>
              <w:t>效和降低副作用。</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50" w:type="dxa"/>
          </w:tcPr>
          <w:p>
            <w:pPr>
              <w:pStyle w:val="TableParagraph"/>
              <w:spacing w:before="23" w:line="278" w:lineRule="auto"/>
              <w:rPr>
                <w:sz w:val="21"/>
              </w:rPr>
            </w:pPr>
            <w:r>
              <w:rPr>
                <w:spacing w:val="-2"/>
                <w:sz w:val="21"/>
              </w:rPr>
              <w:t>表观遗传学在个性化药物治</w:t>
            </w:r>
            <w:r>
              <w:rPr>
                <w:spacing w:val="-2"/>
                <w:sz w:val="21"/>
              </w:rPr>
              <w:t>疗中的作用</w:t>
            </w:r>
          </w:p>
        </w:tc>
        <w:tc>
          <w:tcPr>
            <w:tcW w:w="5546" w:type="dxa"/>
          </w:tcPr>
          <w:p>
            <w:pPr>
              <w:pStyle w:val="TableParagraph"/>
              <w:spacing w:before="4"/>
              <w:ind w:left="0" w:right="0"/>
              <w:rPr>
                <w:rFonts w:ascii="Microsoft JhengHei"/>
                <w:b/>
                <w:sz w:val="18"/>
              </w:rPr>
            </w:pPr>
          </w:p>
          <w:p>
            <w:pPr>
              <w:pStyle w:val="TableParagraph"/>
              <w:numPr>
                <w:ilvl w:val="0"/>
                <w:numId w:val="46"/>
              </w:numPr>
              <w:tabs>
                <w:tab w:val="left" w:pos="371"/>
              </w:tabs>
              <w:spacing w:before="0" w:after="0" w:line="240" w:lineRule="auto"/>
              <w:ind w:left="370" w:right="0" w:hanging="263"/>
              <w:jc w:val="left"/>
              <w:rPr>
                <w:rFonts w:ascii="Times New Roman" w:eastAsia="Times New Roman"/>
                <w:sz w:val="21"/>
              </w:rPr>
            </w:pPr>
            <w:r>
              <w:rPr>
                <w:spacing w:val="-12"/>
                <w:sz w:val="21"/>
              </w:rPr>
              <w:t>表观遗传变化：</w:t>
            </w:r>
            <w:r>
              <w:rPr>
                <w:rFonts w:ascii="Times New Roman" w:eastAsia="Times New Roman"/>
                <w:spacing w:val="-4"/>
                <w:sz w:val="21"/>
              </w:rPr>
              <w:t>DNA</w:t>
            </w:r>
            <w:r>
              <w:rPr>
                <w:rFonts w:ascii="Times New Roman" w:eastAsia="Times New Roman"/>
                <w:spacing w:val="-3"/>
                <w:sz w:val="21"/>
              </w:rPr>
              <w:t xml:space="preserve"> </w:t>
            </w:r>
            <w:r>
              <w:rPr>
                <w:spacing w:val="-8"/>
                <w:sz w:val="21"/>
              </w:rPr>
              <w:t xml:space="preserve">甲基化、组蛋白修饰、非编码 </w:t>
            </w:r>
            <w:r>
              <w:rPr>
                <w:rFonts w:ascii="Times New Roman" w:eastAsia="Times New Roman"/>
                <w:spacing w:val="-5"/>
                <w:sz w:val="21"/>
              </w:rPr>
              <w:t>RNA</w:t>
            </w:r>
          </w:p>
          <w:p>
            <w:pPr>
              <w:pStyle w:val="TableParagraph"/>
              <w:spacing w:before="43"/>
              <w:ind w:right="0"/>
              <w:rPr>
                <w:sz w:val="21"/>
              </w:rPr>
            </w:pPr>
            <w:r>
              <w:rPr>
                <w:spacing w:val="-1"/>
                <w:sz w:val="21"/>
              </w:rPr>
              <w:t>等表观遗传机制可影响基因表达，从而影响药物反应。</w:t>
            </w:r>
          </w:p>
          <w:p>
            <w:pPr>
              <w:pStyle w:val="TableParagraph"/>
              <w:numPr>
                <w:ilvl w:val="0"/>
                <w:numId w:val="46"/>
              </w:numPr>
              <w:tabs>
                <w:tab w:val="left" w:pos="372"/>
              </w:tabs>
              <w:spacing w:before="43" w:after="0" w:line="278" w:lineRule="auto"/>
              <w:ind w:left="108" w:right="95" w:firstLine="0"/>
              <w:jc w:val="both"/>
              <w:rPr>
                <w:sz w:val="21"/>
              </w:rPr>
            </w:pPr>
            <w:r>
              <w:rPr>
                <w:spacing w:val="-2"/>
                <w:sz w:val="21"/>
              </w:rPr>
              <w:t>表观遗传标志物：某些表观遗传标志物可用于预测药物</w:t>
            </w:r>
            <w:r>
              <w:rPr>
                <w:spacing w:val="-19"/>
                <w:sz w:val="21"/>
              </w:rPr>
              <w:t xml:space="preserve">反应，如 </w:t>
            </w:r>
            <w:r>
              <w:rPr>
                <w:rFonts w:ascii="Times New Roman" w:eastAsia="Times New Roman"/>
                <w:spacing w:val="-2"/>
                <w:sz w:val="21"/>
              </w:rPr>
              <w:t>DNA</w:t>
            </w:r>
            <w:r>
              <w:rPr>
                <w:rFonts w:ascii="Times New Roman" w:eastAsia="Times New Roman"/>
                <w:spacing w:val="-11"/>
                <w:sz w:val="21"/>
              </w:rPr>
              <w:t xml:space="preserve"> </w:t>
            </w:r>
            <w:r>
              <w:rPr>
                <w:spacing w:val="-2"/>
                <w:sz w:val="21"/>
              </w:rPr>
              <w:t>甲基化模式可以预测肿瘤患者对化疗药物的</w:t>
            </w:r>
            <w:r>
              <w:rPr>
                <w:spacing w:val="-4"/>
                <w:sz w:val="21"/>
              </w:rPr>
              <w:t>敏感性。</w:t>
            </w:r>
          </w:p>
          <w:p>
            <w:pPr>
              <w:pStyle w:val="TableParagraph"/>
              <w:numPr>
                <w:ilvl w:val="0"/>
                <w:numId w:val="46"/>
              </w:numPr>
              <w:tabs>
                <w:tab w:val="left" w:pos="372"/>
              </w:tabs>
              <w:spacing w:before="0" w:after="0" w:line="278" w:lineRule="auto"/>
              <w:ind w:left="108" w:right="96" w:firstLine="0"/>
              <w:jc w:val="both"/>
              <w:rPr>
                <w:sz w:val="21"/>
              </w:rPr>
            </w:pPr>
            <w:r>
              <w:rPr>
                <w:spacing w:val="-2"/>
                <w:sz w:val="21"/>
              </w:rPr>
              <w:t>表观遗传疗法：利用表观遗传调控机制开发新的治疗方</w:t>
            </w:r>
            <w:r>
              <w:rPr>
                <w:spacing w:val="-9"/>
                <w:sz w:val="21"/>
              </w:rPr>
              <w:t xml:space="preserve">法，如抑制 </w:t>
            </w:r>
            <w:r>
              <w:rPr>
                <w:rFonts w:ascii="Times New Roman" w:eastAsia="Times New Roman"/>
                <w:spacing w:val="-6"/>
                <w:sz w:val="21"/>
              </w:rPr>
              <w:t>DNMT</w:t>
            </w:r>
            <w:r>
              <w:rPr>
                <w:spacing w:val="-6"/>
                <w:sz w:val="21"/>
              </w:rPr>
              <w:t>（</w:t>
            </w:r>
            <w:r>
              <w:rPr>
                <w:rFonts w:ascii="Times New Roman" w:eastAsia="Times New Roman"/>
                <w:spacing w:val="-6"/>
                <w:sz w:val="21"/>
              </w:rPr>
              <w:t>DNA</w:t>
            </w:r>
            <w:r>
              <w:rPr>
                <w:rFonts w:ascii="Times New Roman" w:eastAsia="Times New Roman"/>
                <w:sz w:val="21"/>
              </w:rPr>
              <w:t xml:space="preserve"> </w:t>
            </w:r>
            <w:r>
              <w:rPr>
                <w:spacing w:val="-6"/>
                <w:sz w:val="21"/>
              </w:rPr>
              <w:t>甲基转移酶）</w:t>
            </w:r>
            <w:r>
              <w:rPr>
                <w:spacing w:val="-14"/>
                <w:sz w:val="21"/>
              </w:rPr>
              <w:t xml:space="preserve">或 </w:t>
            </w:r>
            <w:r>
              <w:rPr>
                <w:rFonts w:ascii="Times New Roman" w:eastAsia="Times New Roman"/>
                <w:spacing w:val="-6"/>
                <w:sz w:val="21"/>
              </w:rPr>
              <w:t>HDAC</w:t>
            </w:r>
            <w:r>
              <w:rPr>
                <w:spacing w:val="-6"/>
                <w:sz w:val="21"/>
              </w:rPr>
              <w:t>（组蛋白</w:t>
            </w:r>
            <w:r>
              <w:rPr>
                <w:spacing w:val="-2"/>
                <w:sz w:val="21"/>
              </w:rPr>
              <w:t>脱乙酰基酶）来调节基因表达，实现个性化治疗。</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50" w:type="dxa"/>
          </w:tcPr>
          <w:p>
            <w:pPr>
              <w:pStyle w:val="TableParagraph"/>
              <w:spacing w:before="23" w:line="278" w:lineRule="auto"/>
              <w:rPr>
                <w:sz w:val="21"/>
              </w:rPr>
            </w:pPr>
            <w:r>
              <w:rPr>
                <w:spacing w:val="-2"/>
                <w:sz w:val="21"/>
              </w:rPr>
              <w:t>生物标志物在个性化药物治</w:t>
            </w:r>
            <w:r>
              <w:rPr>
                <w:spacing w:val="-2"/>
                <w:sz w:val="21"/>
              </w:rPr>
              <w:t>疗中的价值</w:t>
            </w:r>
          </w:p>
        </w:tc>
        <w:tc>
          <w:tcPr>
            <w:tcW w:w="5546" w:type="dxa"/>
          </w:tcPr>
          <w:p>
            <w:pPr>
              <w:pStyle w:val="TableParagraph"/>
              <w:spacing w:before="4"/>
              <w:ind w:left="0" w:right="0"/>
              <w:rPr>
                <w:rFonts w:ascii="Microsoft JhengHei"/>
                <w:b/>
                <w:sz w:val="18"/>
              </w:rPr>
            </w:pPr>
          </w:p>
          <w:p>
            <w:pPr>
              <w:pStyle w:val="TableParagraph"/>
              <w:numPr>
                <w:ilvl w:val="0"/>
                <w:numId w:val="45"/>
              </w:numPr>
              <w:tabs>
                <w:tab w:val="left" w:pos="372"/>
              </w:tabs>
              <w:spacing w:before="0" w:after="0" w:line="278" w:lineRule="auto"/>
              <w:ind w:left="108" w:right="96" w:firstLine="0"/>
              <w:jc w:val="both"/>
              <w:rPr>
                <w:sz w:val="21"/>
              </w:rPr>
            </w:pPr>
            <w:r>
              <w:rPr>
                <w:spacing w:val="-2"/>
                <w:sz w:val="21"/>
              </w:rPr>
              <w:t>预测性生物标志物：用于预测患者对特定药物的反应或</w:t>
            </w:r>
            <w:r>
              <w:rPr>
                <w:spacing w:val="-3"/>
                <w:sz w:val="21"/>
              </w:rPr>
              <w:t xml:space="preserve">疾病进展风险，例如 </w:t>
            </w:r>
            <w:r>
              <w:rPr>
                <w:rFonts w:ascii="Times New Roman" w:eastAsia="Times New Roman"/>
                <w:sz w:val="21"/>
              </w:rPr>
              <w:t>HER2</w:t>
            </w:r>
            <w:r>
              <w:rPr>
                <w:rFonts w:ascii="Times New Roman" w:eastAsia="Times New Roman"/>
                <w:spacing w:val="16"/>
                <w:sz w:val="21"/>
              </w:rPr>
              <w:t xml:space="preserve"> </w:t>
            </w:r>
            <w:r>
              <w:rPr>
                <w:sz w:val="21"/>
              </w:rPr>
              <w:t>在乳腺癌患者中的表达水平可</w:t>
            </w:r>
            <w:r>
              <w:rPr>
                <w:spacing w:val="-2"/>
                <w:sz w:val="21"/>
              </w:rPr>
              <w:t>预测曲妥珠单抗的疗效。</w:t>
            </w:r>
          </w:p>
          <w:p>
            <w:pPr>
              <w:pStyle w:val="TableParagraph"/>
              <w:numPr>
                <w:ilvl w:val="0"/>
                <w:numId w:val="45"/>
              </w:numPr>
              <w:tabs>
                <w:tab w:val="left" w:pos="372"/>
              </w:tabs>
              <w:spacing w:before="0" w:after="0" w:line="278" w:lineRule="auto"/>
              <w:ind w:left="108" w:right="96" w:firstLine="0"/>
              <w:jc w:val="both"/>
              <w:rPr>
                <w:sz w:val="21"/>
              </w:rPr>
            </w:pPr>
            <w:r>
              <w:rPr>
                <w:spacing w:val="-2"/>
                <w:sz w:val="21"/>
              </w:rPr>
              <w:t>效应性生物标志物：反映药物在体内的作用，有助于评</w:t>
            </w:r>
            <w:r>
              <w:rPr>
                <w:spacing w:val="-4"/>
                <w:sz w:val="21"/>
              </w:rPr>
              <w:t xml:space="preserve">估治疗效果和调整用药策略，例如 </w:t>
            </w:r>
            <w:r>
              <w:rPr>
                <w:rFonts w:ascii="Times New Roman" w:eastAsia="Times New Roman"/>
                <w:sz w:val="21"/>
              </w:rPr>
              <w:t>BRAF V600E</w:t>
            </w:r>
            <w:r>
              <w:rPr>
                <w:rFonts w:ascii="Times New Roman" w:eastAsia="Times New Roman"/>
                <w:spacing w:val="-2"/>
                <w:sz w:val="21"/>
              </w:rPr>
              <w:t xml:space="preserve"> </w:t>
            </w:r>
            <w:r>
              <w:rPr>
                <w:sz w:val="21"/>
              </w:rPr>
              <w:t>突变在黑</w:t>
            </w:r>
          </w:p>
          <w:p>
            <w:pPr>
              <w:pStyle w:val="TableParagraph"/>
              <w:spacing w:line="269" w:lineRule="exact"/>
              <w:ind w:right="0"/>
              <w:rPr>
                <w:sz w:val="21"/>
              </w:rPr>
            </w:pPr>
            <w:r>
              <w:rPr>
                <w:spacing w:val="-1"/>
                <w:sz w:val="21"/>
              </w:rPr>
              <w:t>色素瘤患者中可用作达拉非尼和曲美替尼的效应性生物标</w:t>
            </w:r>
          </w:p>
        </w:tc>
      </w:tr>
    </w:tbl>
    <w:p>
      <w:pPr>
        <w:spacing w:after="0" w:line="269" w:lineRule="exact"/>
        <w:rPr>
          <w:sz w:val="21"/>
        </w:rPr>
        <w:sectPr>
          <w:footerReference w:type="default" r:id="rId6"/>
          <w:pgSz w:w="11910" w:h="16840"/>
          <w:pgMar w:top="1500" w:right="1280" w:bottom="1380" w:left="1680" w:header="0" w:footer="1198"/>
          <w:pgNumType w:start="2"/>
          <w:cols w:space="708"/>
        </w:sect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0"/>
        <w:gridCol w:w="554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560"/>
          <w:jc w:val="left"/>
        </w:trPr>
        <w:tc>
          <w:tcPr>
            <w:tcW w:w="2750" w:type="dxa"/>
          </w:tcPr>
          <w:p>
            <w:pPr>
              <w:pStyle w:val="TableParagraph"/>
              <w:ind w:left="0" w:right="0"/>
              <w:rPr>
                <w:rFonts w:ascii="Times New Roman"/>
                <w:sz w:val="22"/>
              </w:rPr>
            </w:pPr>
          </w:p>
        </w:tc>
        <w:tc>
          <w:tcPr>
            <w:tcW w:w="5546" w:type="dxa"/>
          </w:tcPr>
          <w:p>
            <w:pPr>
              <w:pStyle w:val="TableParagraph"/>
              <w:spacing w:before="23"/>
              <w:ind w:right="0"/>
              <w:rPr>
                <w:sz w:val="21"/>
              </w:rPr>
            </w:pPr>
            <w:r>
              <w:rPr>
                <w:spacing w:val="-4"/>
                <w:sz w:val="21"/>
              </w:rPr>
              <w:t>志物。</w:t>
            </w:r>
          </w:p>
          <w:p>
            <w:pPr>
              <w:pStyle w:val="TableParagraph"/>
              <w:spacing w:before="43" w:line="278" w:lineRule="auto"/>
              <w:ind w:right="-72"/>
              <w:rPr>
                <w:sz w:val="21"/>
              </w:rPr>
            </w:pPr>
            <w:r>
              <w:rPr>
                <w:rFonts w:ascii="Times New Roman" w:eastAsia="Times New Roman"/>
                <w:sz w:val="21"/>
              </w:rPr>
              <w:t xml:space="preserve">3.  </w:t>
            </w:r>
            <w:r>
              <w:rPr>
                <w:spacing w:val="-21"/>
                <w:sz w:val="21"/>
              </w:rPr>
              <w:t>安全性生物标志物：揭示药物毒性反应，如肌酸激酶</w:t>
            </w:r>
            <w:r>
              <w:rPr>
                <w:sz w:val="21"/>
              </w:rPr>
              <w:t>（</w:t>
            </w:r>
            <w:r>
              <w:rPr>
                <w:rFonts w:ascii="Times New Roman" w:eastAsia="Times New Roman"/>
                <w:sz w:val="21"/>
              </w:rPr>
              <w:t>CK</w:t>
            </w:r>
            <w:r>
              <w:rPr>
                <w:sz w:val="21"/>
              </w:rPr>
              <w:t>）</w:t>
            </w:r>
            <w:r>
              <w:rPr>
                <w:spacing w:val="2"/>
                <w:sz w:val="21"/>
              </w:rPr>
              <w:t>升高可能是横纹肌溶解症的预警信号，需要及时调整治疗方案。</w:t>
            </w:r>
          </w:p>
        </w:tc>
      </w:tr>
    </w:tbl>
    <w:p>
      <w:pPr>
        <w:sectPr>
          <w:footerReference w:type="default" r:id="rId7"/>
          <w:type w:val="continuous"/>
          <w:pgSz w:w="11910" w:h="16840"/>
          <w:pgMar w:top="1400" w:right="1280" w:bottom="1380" w:left="1680" w:header="0" w:footer="1198"/>
          <w:pgNumType w:start="3"/>
          <w:cols w:space="708"/>
        </w:sect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50"/>
        <w:gridCol w:w="554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0"/>
          <w:jc w:val="left"/>
        </w:trPr>
        <w:tc>
          <w:tcPr>
            <w:tcW w:w="2750" w:type="dxa"/>
          </w:tcPr>
          <w:p>
            <w:pPr>
              <w:pStyle w:val="TableParagraph"/>
              <w:spacing w:before="23" w:line="278" w:lineRule="auto"/>
              <w:rPr>
                <w:sz w:val="21"/>
              </w:rPr>
            </w:pPr>
            <w:r>
              <w:rPr>
                <w:spacing w:val="-2"/>
                <w:sz w:val="21"/>
              </w:rPr>
              <w:t>精准医学模型在个性化药物</w:t>
            </w:r>
            <w:r>
              <w:rPr>
                <w:spacing w:val="-2"/>
                <w:sz w:val="21"/>
              </w:rPr>
              <w:t>治疗中的构建与应用</w:t>
            </w:r>
          </w:p>
        </w:tc>
        <w:tc>
          <w:tcPr>
            <w:tcW w:w="5546" w:type="dxa"/>
          </w:tcPr>
          <w:p>
            <w:pPr>
              <w:pStyle w:val="TableParagraph"/>
              <w:spacing w:before="4"/>
              <w:ind w:left="0" w:right="0"/>
              <w:rPr>
                <w:rFonts w:ascii="Microsoft JhengHei"/>
                <w:b/>
                <w:sz w:val="18"/>
              </w:rPr>
            </w:pPr>
          </w:p>
          <w:p>
            <w:pPr>
              <w:pStyle w:val="TableParagraph"/>
              <w:numPr>
                <w:ilvl w:val="0"/>
                <w:numId w:val="44"/>
              </w:numPr>
              <w:tabs>
                <w:tab w:val="left" w:pos="372"/>
              </w:tabs>
              <w:spacing w:before="0" w:after="0" w:line="278" w:lineRule="auto"/>
              <w:ind w:left="108" w:right="96" w:firstLine="0"/>
              <w:jc w:val="both"/>
              <w:rPr>
                <w:sz w:val="21"/>
              </w:rPr>
            </w:pPr>
            <w:r>
              <w:rPr>
                <w:spacing w:val="-2"/>
                <w:sz w:val="21"/>
              </w:rPr>
              <w:t>多维度数据集成：将临床数据、基因组数据、转录组数</w:t>
            </w:r>
            <w:r>
              <w:rPr>
                <w:spacing w:val="-2"/>
                <w:sz w:val="21"/>
              </w:rPr>
              <w:t>据等多种类型的数据进行整合，构建更全面的患者特征描</w:t>
            </w:r>
            <w:r>
              <w:rPr>
                <w:spacing w:val="-6"/>
                <w:sz w:val="21"/>
              </w:rPr>
              <w:t>述。</w:t>
            </w:r>
          </w:p>
          <w:p>
            <w:pPr>
              <w:pStyle w:val="TableParagraph"/>
              <w:numPr>
                <w:ilvl w:val="0"/>
                <w:numId w:val="44"/>
              </w:numPr>
              <w:tabs>
                <w:tab w:val="left" w:pos="372"/>
              </w:tabs>
              <w:spacing w:before="0" w:after="0" w:line="278" w:lineRule="auto"/>
              <w:ind w:left="108" w:right="-15" w:firstLine="0"/>
              <w:jc w:val="left"/>
              <w:rPr>
                <w:sz w:val="21"/>
              </w:rPr>
            </w:pPr>
            <w:r>
              <w:rPr>
                <w:spacing w:val="-2"/>
                <w:sz w:val="21"/>
              </w:rPr>
              <w:t>数据驱动的模型建立：运用机器学习、深度学习等人工</w:t>
            </w:r>
            <w:r>
              <w:rPr>
                <w:spacing w:val="-2"/>
                <w:sz w:val="21"/>
              </w:rPr>
              <w:t>智能方法，从海量数据中挖掘出决定药物反应的关键因素，</w:t>
            </w:r>
            <w:r>
              <w:rPr>
                <w:spacing w:val="-2"/>
                <w:sz w:val="21"/>
              </w:rPr>
              <w:t>并建立预测模型。</w:t>
            </w:r>
          </w:p>
          <w:p>
            <w:pPr>
              <w:pStyle w:val="TableParagraph"/>
              <w:numPr>
                <w:ilvl w:val="0"/>
                <w:numId w:val="44"/>
              </w:numPr>
              <w:tabs>
                <w:tab w:val="left" w:pos="372"/>
              </w:tabs>
              <w:spacing w:before="0" w:after="0" w:line="278" w:lineRule="auto"/>
              <w:ind w:left="108" w:right="96" w:firstLine="0"/>
              <w:jc w:val="left"/>
              <w:rPr>
                <w:sz w:val="21"/>
              </w:rPr>
            </w:pPr>
            <w:r>
              <w:rPr>
                <w:spacing w:val="-2"/>
                <w:sz w:val="21"/>
              </w:rPr>
              <w:t>模型验证与优化：通过回顾性分析和前瞻性试验，不断</w:t>
            </w:r>
            <w:r>
              <w:rPr>
                <w:spacing w:val="-2"/>
                <w:sz w:val="21"/>
              </w:rPr>
              <w:t>验证和完善模型的预测性能，使其更加适用于临床实践。</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50" w:type="dxa"/>
          </w:tcPr>
          <w:p>
            <w:pPr>
              <w:pStyle w:val="TableParagraph"/>
              <w:spacing w:before="23" w:line="278" w:lineRule="auto"/>
              <w:rPr>
                <w:sz w:val="21"/>
              </w:rPr>
            </w:pPr>
            <w:r>
              <w:rPr>
                <w:spacing w:val="-2"/>
                <w:sz w:val="21"/>
              </w:rPr>
              <w:t>个性化药物治疗面临的挑战</w:t>
            </w:r>
            <w:r>
              <w:rPr>
                <w:spacing w:val="-2"/>
                <w:sz w:val="21"/>
              </w:rPr>
              <w:t>与未来发展趋势</w:t>
            </w:r>
          </w:p>
        </w:tc>
        <w:tc>
          <w:tcPr>
            <w:tcW w:w="5546" w:type="dxa"/>
          </w:tcPr>
          <w:p>
            <w:pPr>
              <w:pStyle w:val="TableParagraph"/>
              <w:spacing w:before="4"/>
              <w:ind w:left="0" w:right="0"/>
              <w:rPr>
                <w:rFonts w:ascii="Microsoft JhengHei"/>
                <w:b/>
                <w:sz w:val="18"/>
              </w:rPr>
            </w:pPr>
          </w:p>
          <w:p>
            <w:pPr>
              <w:pStyle w:val="TableParagraph"/>
              <w:numPr>
                <w:ilvl w:val="0"/>
                <w:numId w:val="43"/>
              </w:numPr>
              <w:tabs>
                <w:tab w:val="left" w:pos="372"/>
              </w:tabs>
              <w:spacing w:before="0" w:after="0" w:line="278" w:lineRule="auto"/>
              <w:ind w:left="108" w:right="96" w:firstLine="0"/>
              <w:jc w:val="left"/>
              <w:rPr>
                <w:sz w:val="21"/>
              </w:rPr>
            </w:pPr>
            <w:r>
              <w:rPr>
                <w:spacing w:val="-2"/>
                <w:sz w:val="21"/>
              </w:rPr>
              <w:t>数据质量问题：现有的生物医学数据普遍存在噪声、缺</w:t>
            </w:r>
            <w:r>
              <w:rPr>
                <w:spacing w:val="-2"/>
                <w:sz w:val="21"/>
              </w:rPr>
              <w:t>失值等问题，这对数据分析和模型建立提出了较高要求。</w:t>
            </w:r>
          </w:p>
          <w:p>
            <w:pPr>
              <w:pStyle w:val="TableParagraph"/>
              <w:numPr>
                <w:ilvl w:val="0"/>
                <w:numId w:val="43"/>
              </w:numPr>
              <w:tabs>
                <w:tab w:val="left" w:pos="372"/>
              </w:tabs>
              <w:spacing w:before="0" w:after="0" w:line="278" w:lineRule="auto"/>
              <w:ind w:left="108" w:right="96" w:firstLine="0"/>
              <w:jc w:val="left"/>
              <w:rPr>
                <w:sz w:val="21"/>
              </w:rPr>
            </w:pPr>
            <w:r>
              <w:rPr>
                <w:spacing w:val="-2"/>
                <w:sz w:val="21"/>
              </w:rPr>
              <w:t>法规与伦理问题：个性化药物治疗涉及个人隐私和遗传</w:t>
            </w:r>
            <w:r>
              <w:rPr>
                <w:spacing w:val="-2"/>
                <w:sz w:val="21"/>
              </w:rPr>
              <w:t>信息保护，需要遵循严格的法规和伦理标准。</w:t>
            </w:r>
          </w:p>
          <w:p>
            <w:pPr>
              <w:pStyle w:val="TableParagraph"/>
              <w:numPr>
                <w:ilvl w:val="0"/>
                <w:numId w:val="43"/>
              </w:numPr>
              <w:tabs>
                <w:tab w:val="left" w:pos="372"/>
              </w:tabs>
              <w:spacing w:before="0" w:after="0" w:line="278" w:lineRule="auto"/>
              <w:ind w:left="108" w:right="95" w:firstLine="0"/>
              <w:jc w:val="left"/>
              <w:rPr>
                <w:sz w:val="21"/>
              </w:rPr>
            </w:pPr>
            <w:r>
              <w:rPr>
                <w:spacing w:val="-2"/>
                <w:sz w:val="21"/>
              </w:rPr>
              <w:t>技术进步与转化研究：随着新技术的发展，如单细胞测</w:t>
            </w:r>
            <w:r>
              <w:rPr>
                <w:sz w:val="21"/>
              </w:rPr>
              <w:t>序、</w:t>
            </w:r>
            <w:r>
              <w:rPr>
                <w:rFonts w:ascii="Times New Roman" w:eastAsia="Times New Roman"/>
                <w:sz w:val="21"/>
              </w:rPr>
              <w:t xml:space="preserve">CRISPR-Cas9 </w:t>
            </w:r>
            <w:r>
              <w:rPr>
                <w:sz w:val="21"/>
              </w:rPr>
              <w:t>等，将有望进一步推动个性化药物治疗</w:t>
            </w:r>
          </w:p>
          <w:p>
            <w:pPr>
              <w:pStyle w:val="TableParagraph"/>
              <w:spacing w:line="269" w:lineRule="exact"/>
              <w:ind w:right="0"/>
              <w:rPr>
                <w:sz w:val="21"/>
              </w:rPr>
            </w:pPr>
            <w:r>
              <w:rPr>
                <w:spacing w:val="-2"/>
                <w:sz w:val="21"/>
              </w:rPr>
              <w:t>的研究与应用。</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50" w:type="dxa"/>
          </w:tcPr>
          <w:p>
            <w:pPr>
              <w:pStyle w:val="TableParagraph"/>
              <w:ind w:left="0" w:right="0"/>
              <w:rPr>
                <w:rFonts w:ascii="Times New Roman"/>
                <w:sz w:val="22"/>
              </w:rPr>
            </w:pPr>
          </w:p>
        </w:tc>
        <w:tc>
          <w:tcPr>
            <w:tcW w:w="5546" w:type="dxa"/>
          </w:tcPr>
          <w:p>
            <w:pPr>
              <w:pStyle w:val="TableParagraph"/>
              <w:ind w:left="0" w:right="0"/>
              <w:rPr>
                <w:rFonts w:ascii="Times New Roman"/>
                <w:sz w:val="22"/>
              </w:rPr>
            </w:pPr>
          </w:p>
        </w:tc>
      </w:tr>
    </w:tbl>
    <w:p>
      <w:pPr>
        <w:pStyle w:val="BodyText"/>
        <w:spacing w:before="5"/>
        <w:rPr>
          <w:rFonts w:ascii="Microsoft JhengHei"/>
          <w:b/>
          <w:sz w:val="5"/>
        </w:rPr>
      </w:pPr>
    </w:p>
    <w:p>
      <w:pPr>
        <w:pStyle w:val="BodyText"/>
        <w:spacing w:before="61" w:line="417" w:lineRule="auto"/>
        <w:ind w:left="120" w:right="518" w:firstLine="560"/>
        <w:jc w:val="both"/>
      </w:pPr>
      <w:r>
        <w:rPr>
          <w:spacing w:val="-6"/>
        </w:rPr>
        <w:t>个性化药物治疗是现代医学领域中一个新兴的热点话题，它是指</w:t>
      </w:r>
      <w:r>
        <w:rPr>
          <w:spacing w:val="-4"/>
        </w:rPr>
        <w:t>根据每个患者的遗传、生理、病理和环境差异，为患者量身定制最适</w:t>
      </w:r>
      <w:r>
        <w:rPr>
          <w:spacing w:val="-11"/>
        </w:rPr>
        <w:t>合他们的药物治疗方案。这种治疗方法旨在通过减少无效或有害的治</w:t>
      </w:r>
      <w:r>
        <w:rPr>
          <w:spacing w:val="-2"/>
        </w:rPr>
        <w:t>疗，并提高治疗效果和患者的生活质量。</w:t>
      </w:r>
    </w:p>
    <w:p>
      <w:pPr>
        <w:pStyle w:val="BodyText"/>
      </w:pPr>
    </w:p>
    <w:p>
      <w:pPr>
        <w:pStyle w:val="BodyText"/>
        <w:spacing w:before="7"/>
        <w:rPr>
          <w:sz w:val="20"/>
        </w:rPr>
      </w:pPr>
    </w:p>
    <w:p>
      <w:pPr>
        <w:pStyle w:val="BodyText"/>
        <w:spacing w:before="1" w:line="417" w:lineRule="auto"/>
        <w:ind w:left="120" w:right="518"/>
        <w:jc w:val="both"/>
      </w:pPr>
      <w:r>
        <w:rPr>
          <w:spacing w:val="-8"/>
        </w:rPr>
        <w:t xml:space="preserve">个性化药物治疗的概念源于 </w:t>
      </w:r>
      <w:r>
        <w:rPr>
          <w:spacing w:val="-6"/>
        </w:rPr>
        <w:t>20</w:t>
      </w:r>
      <w:r>
        <w:rPr>
          <w:spacing w:val="-18"/>
        </w:rPr>
        <w:t xml:space="preserve"> 世纪 </w:t>
      </w:r>
      <w:r>
        <w:rPr>
          <w:spacing w:val="-6"/>
        </w:rPr>
        <w:t>90</w:t>
      </w:r>
      <w:r>
        <w:rPr>
          <w:spacing w:val="-18"/>
        </w:rPr>
        <w:t xml:space="preserve"> 年代初，当时科学家们开始发</w:t>
      </w:r>
      <w:r>
        <w:rPr>
          <w:spacing w:val="-4"/>
        </w:rPr>
        <w:t>现个体之间的基因差异对药物反应的影响。随后的研究表明，许多疾</w:t>
      </w:r>
      <w:r>
        <w:rPr>
          <w:spacing w:val="-4"/>
        </w:rPr>
        <w:t>病的发病机制涉及到基因变异，这些变异可以影响药物的代谢、作用</w:t>
      </w:r>
      <w:r>
        <w:rPr>
          <w:spacing w:val="-4"/>
        </w:rPr>
        <w:t>方式以及副作用的发生。因此，了解患者的具体基因型可以帮助医生</w:t>
      </w:r>
      <w:r>
        <w:rPr>
          <w:spacing w:val="-2"/>
        </w:rPr>
        <w:t>选择最合适的药物和剂量，从而实现更好的治疗效果。</w:t>
      </w:r>
    </w:p>
    <w:p>
      <w:pPr>
        <w:spacing w:after="0" w:line="417" w:lineRule="auto"/>
        <w:jc w:val="both"/>
        <w:sectPr>
          <w:footerReference w:type="default" r:id="rId8"/>
          <w:type w:val="nextPage"/>
          <w:pgSz w:w="11910" w:h="16840"/>
          <w:pgMar w:top="1400" w:right="1280" w:bottom="1380" w:left="1680" w:header="0" w:footer="1198"/>
          <w:pgNumType w:start="4"/>
          <w:cols w:space="708"/>
          <w:titlePg w:val="0"/>
        </w:sectPr>
      </w:pPr>
    </w:p>
    <w:p>
      <w:pPr>
        <w:pStyle w:val="BodyText"/>
        <w:spacing w:before="8"/>
        <w:rPr>
          <w:sz w:val="15"/>
        </w:rPr>
      </w:pPr>
    </w:p>
    <w:p>
      <w:pPr>
        <w:pStyle w:val="BodyText"/>
        <w:spacing w:before="60" w:line="417" w:lineRule="auto"/>
        <w:ind w:left="120" w:right="378"/>
      </w:pPr>
      <w:r>
        <w:rPr>
          <w:spacing w:val="-7"/>
        </w:rPr>
        <w:t>在个性化药物治疗中，药物基因组学扮演着重要的角色。药物基因组</w:t>
      </w:r>
      <w:r>
        <w:rPr>
          <w:spacing w:val="-13"/>
        </w:rPr>
        <w:t>学是研究药物与基因相互作用的科学，它通过对患者基因组的分析来</w:t>
      </w:r>
      <w:r>
        <w:rPr>
          <w:spacing w:val="-17"/>
        </w:rPr>
        <w:t>预测患者对特定药物的反应。例如，对于抗凝血药物华法林，患者基</w:t>
      </w:r>
      <w:r>
        <w:rPr>
          <w:spacing w:val="-2"/>
        </w:rPr>
        <w:t>因组中的</w:t>
      </w:r>
      <w:r>
        <w:t>CYP2C9</w:t>
      </w:r>
      <w:r>
        <w:rPr>
          <w:spacing w:val="-24"/>
        </w:rPr>
        <w:t xml:space="preserve"> 和</w:t>
      </w:r>
      <w:r>
        <w:t>VKORC1</w:t>
      </w:r>
      <w:r>
        <w:rPr>
          <w:spacing w:val="-18"/>
        </w:rPr>
        <w:t xml:space="preserve"> 基因变异会影响药物的代谢和作用，因此，</w:t>
      </w:r>
      <w:r>
        <w:rPr>
          <w:spacing w:val="5"/>
        </w:rPr>
        <w:t>基于这些基因信息的个性化给药策略可以显著降低出血风险并提高疗效。</w:t>
      </w:r>
    </w:p>
    <w:p>
      <w:pPr>
        <w:pStyle w:val="BodyText"/>
      </w:pPr>
    </w:p>
    <w:p>
      <w:pPr>
        <w:pStyle w:val="BodyText"/>
        <w:spacing w:before="8"/>
        <w:rPr>
          <w:sz w:val="20"/>
        </w:rPr>
      </w:pPr>
    </w:p>
    <w:p>
      <w:pPr>
        <w:pStyle w:val="BodyText"/>
        <w:spacing w:line="417" w:lineRule="auto"/>
        <w:ind w:left="120" w:right="518"/>
        <w:jc w:val="both"/>
      </w:pPr>
      <w:r>
        <w:rPr>
          <w:spacing w:val="-4"/>
        </w:rPr>
        <w:t>近年来，随着高通量测序技术的发展，药物基因组学研究得到了快速</w:t>
      </w:r>
      <w:r>
        <w:rPr>
          <w:spacing w:val="-4"/>
        </w:rPr>
        <w:t>发展。现在，我们可以通过全基因组关联研究（GWAS）和外显子组测</w:t>
      </w:r>
      <w:r>
        <w:rPr>
          <w:spacing w:val="-4"/>
        </w:rPr>
        <w:t>序等技术来快速识别与药物反应相关的基因变异。此外，生物信息学</w:t>
      </w:r>
      <w:r>
        <w:rPr>
          <w:spacing w:val="-7"/>
        </w:rPr>
        <w:t>工具也被用于整合和分析大规模基因数据，以揭示药物反应的生物学</w:t>
      </w:r>
      <w:r>
        <w:rPr>
          <w:spacing w:val="-4"/>
        </w:rPr>
        <w:t>机制。</w:t>
      </w:r>
    </w:p>
    <w:p>
      <w:pPr>
        <w:pStyle w:val="BodyText"/>
      </w:pPr>
    </w:p>
    <w:p>
      <w:pPr>
        <w:pStyle w:val="BodyText"/>
        <w:spacing w:before="8"/>
        <w:rPr>
          <w:sz w:val="20"/>
        </w:rPr>
      </w:pPr>
    </w:p>
    <w:p>
      <w:pPr>
        <w:pStyle w:val="BodyText"/>
        <w:spacing w:line="417" w:lineRule="auto"/>
        <w:ind w:left="120" w:right="518"/>
        <w:jc w:val="both"/>
      </w:pPr>
      <w:r>
        <w:rPr>
          <w:spacing w:val="-4"/>
        </w:rPr>
        <w:t>尽管个性化药物治疗具有巨大的潜力，但目前仍然存在一些挑战。首先，由于人体内涉及药物反应的基因众多，确定哪些基因对药物反应</w:t>
      </w:r>
      <w:r>
        <w:rPr>
          <w:spacing w:val="-4"/>
        </w:rPr>
        <w:t>起关键作用仍然是一个难题。其次，虽然药物基因组学研究已经发现</w:t>
      </w:r>
      <w:r>
        <w:rPr>
          <w:spacing w:val="-8"/>
        </w:rPr>
        <w:t>了大量与药物反应相关的基因变异，但这些变异的实际临床应用还需</w:t>
      </w:r>
      <w:r>
        <w:rPr>
          <w:spacing w:val="-4"/>
        </w:rPr>
        <w:t>要进一步验证。最后，个性化药物治疗需要大量的基因数据，如何保</w:t>
      </w:r>
      <w:r>
        <w:rPr>
          <w:spacing w:val="-2"/>
        </w:rPr>
        <w:t>护患者的隐私和数据安全也是一大挑战。</w:t>
      </w:r>
    </w:p>
    <w:p>
      <w:pPr>
        <w:pStyle w:val="BodyText"/>
      </w:pPr>
    </w:p>
    <w:p>
      <w:pPr>
        <w:pStyle w:val="BodyText"/>
        <w:spacing w:before="7"/>
        <w:rPr>
          <w:sz w:val="20"/>
        </w:rPr>
      </w:pPr>
    </w:p>
    <w:p>
      <w:pPr>
        <w:pStyle w:val="BodyText"/>
        <w:spacing w:before="1"/>
        <w:ind w:left="120"/>
      </w:pPr>
      <w:r>
        <w:rPr>
          <w:spacing w:val="-10"/>
        </w:rPr>
        <w:t>尽管面临这些挑战，个性化药物治疗已经在某些疾病领域取得了显著</w:t>
      </w:r>
    </w:p>
    <w:p>
      <w:pPr>
        <w:spacing w:after="0"/>
        <w:sectPr>
          <w:footerReference w:type="default" r:id="rId9"/>
          <w:pgSz w:w="11910" w:h="16840"/>
          <w:pgMar w:top="1920" w:right="1280" w:bottom="1380" w:left="1680" w:header="0" w:footer="1198"/>
          <w:pgNumType w:start="5"/>
          <w:cols w:space="708"/>
        </w:sectPr>
      </w:pPr>
    </w:p>
    <w:p>
      <w:pPr>
        <w:pStyle w:val="BodyText"/>
        <w:spacing w:before="37" w:line="417" w:lineRule="auto"/>
        <w:ind w:left="120" w:right="238"/>
      </w:pPr>
      <w:r>
        <w:t>进展。例如，在乳腺癌治疗中，Herceptin</w:t>
      </w:r>
      <w:r>
        <w:rPr>
          <w:spacing w:val="-5"/>
        </w:rPr>
        <w:t xml:space="preserve"> 是一种针对 </w:t>
      </w:r>
      <w:r>
        <w:t>HER2</w:t>
      </w:r>
      <w:r>
        <w:rPr>
          <w:spacing w:val="-4"/>
        </w:rPr>
        <w:t xml:space="preserve"> 阳性的</w:t>
      </w:r>
      <w:r>
        <w:t xml:space="preserve"> </w:t>
      </w:r>
      <w:r>
        <w:rPr>
          <w:spacing w:val="-4"/>
        </w:rPr>
        <w:t xml:space="preserve">乳腺癌患者的靶向药物，而紫杉醇则适合于 </w:t>
      </w:r>
      <w:r>
        <w:t>HER2</w:t>
      </w:r>
      <w:r>
        <w:rPr>
          <w:spacing w:val="-9"/>
        </w:rPr>
        <w:t xml:space="preserve"> 阴性的乳腺癌患者。</w:t>
      </w:r>
      <w:r>
        <w:t>在肺癌治疗中，EGFR</w:t>
      </w:r>
      <w:r>
        <w:rPr>
          <w:spacing w:val="-7"/>
        </w:rPr>
        <w:t xml:space="preserve"> 突变阳性的非小细胞肺癌患者通常会对酪氨酸</w:t>
      </w:r>
      <w:r>
        <w:t xml:space="preserve"> </w:t>
      </w:r>
      <w:r>
        <w:rPr>
          <w:spacing w:val="-2"/>
        </w:rPr>
        <w:t>激酶抑制剂（如吉非替尼和厄洛替尼）产生良好的响应。这些例子表</w:t>
      </w:r>
      <w:r>
        <w:rPr>
          <w:spacing w:val="-2"/>
        </w:rPr>
        <w:t xml:space="preserve"> 明，个性化的药物治疗能够帮助医生更准确地选择治疗方法，从而提</w:t>
      </w:r>
      <w:r>
        <w:rPr>
          <w:spacing w:val="-2"/>
        </w:rPr>
        <w:t xml:space="preserve"> </w:t>
      </w:r>
      <w:r>
        <w:rPr>
          <w:spacing w:val="-2"/>
        </w:rPr>
        <w:t>高治疗效果。</w:t>
      </w:r>
    </w:p>
    <w:p>
      <w:pPr>
        <w:pStyle w:val="BodyText"/>
      </w:pPr>
    </w:p>
    <w:p>
      <w:pPr>
        <w:pStyle w:val="BodyText"/>
        <w:spacing w:before="7"/>
        <w:rPr>
          <w:sz w:val="20"/>
        </w:rPr>
      </w:pPr>
    </w:p>
    <w:p>
      <w:pPr>
        <w:pStyle w:val="BodyText"/>
        <w:spacing w:line="417" w:lineRule="auto"/>
        <w:ind w:left="120" w:right="238"/>
      </w:pPr>
      <w:r>
        <w:rPr>
          <w:spacing w:val="-2"/>
        </w:rPr>
        <w:t>在未来，随着更多的基因变异被鉴定出来，以及新的药物和疗法的开</w:t>
      </w:r>
      <w:r>
        <w:rPr>
          <w:spacing w:val="-2"/>
        </w:rPr>
        <w:t xml:space="preserve"> 发，个性化药物治疗有望成为一种标准的医疗实践。为了实现这一目</w:t>
      </w:r>
      <w:r>
        <w:rPr>
          <w:spacing w:val="-2"/>
        </w:rPr>
        <w:t xml:space="preserve"> </w:t>
      </w:r>
      <w:r>
        <w:rPr>
          <w:spacing w:val="-2"/>
        </w:rPr>
        <w:t>标，我们需要继续加强药物基因组学研究，提高基因检测的准确性，</w:t>
      </w:r>
      <w:r>
        <w:rPr>
          <w:spacing w:val="-12"/>
        </w:rPr>
        <w:t>优化药物设计和开发流程，以及建立有效的数据共享和隐私保护机制。</w:t>
      </w:r>
    </w:p>
    <w:p>
      <w:pPr>
        <w:pStyle w:val="BodyText"/>
      </w:pPr>
    </w:p>
    <w:p>
      <w:pPr>
        <w:pStyle w:val="BodyText"/>
        <w:spacing w:before="8"/>
        <w:rPr>
          <w:sz w:val="20"/>
        </w:rPr>
      </w:pPr>
    </w:p>
    <w:p>
      <w:pPr>
        <w:pStyle w:val="BodyText"/>
        <w:spacing w:line="417" w:lineRule="auto"/>
        <w:ind w:left="120" w:right="518"/>
        <w:jc w:val="both"/>
      </w:pPr>
      <w:r>
        <w:rPr>
          <w:spacing w:val="-4"/>
        </w:rPr>
        <w:t>总之，个性化药物治疗是一个充满希望的领域，它有潜力改变我们的</w:t>
      </w:r>
      <w:r>
        <w:rPr>
          <w:spacing w:val="-4"/>
        </w:rPr>
        <w:t>医疗服务方式，使我们能够更好地满足患者的需求。尽管仍有许多问</w:t>
      </w:r>
      <w:r>
        <w:rPr>
          <w:spacing w:val="-4"/>
        </w:rPr>
        <w:t>题需要解决，但随着科学技术的进步和个人健康意识的提高，我们可</w:t>
      </w:r>
      <w:r>
        <w:rPr>
          <w:spacing w:val="-2"/>
        </w:rPr>
        <w:t>以期待个性化药物治疗将为我们提供更加精准和高效的治疗方案。</w:t>
      </w:r>
    </w:p>
    <w:p>
      <w:pPr>
        <w:pStyle w:val="BodyText"/>
      </w:pPr>
    </w:p>
    <w:p>
      <w:pPr>
        <w:pStyle w:val="Heading1"/>
        <w:spacing w:before="238"/>
        <w:jc w:val="both"/>
      </w:pPr>
      <w:bookmarkStart w:id="1" w:name="_TOC_250006"/>
      <w:r>
        <w:t>第二部分</w:t>
      </w:r>
      <w:r>
        <w:rPr>
          <w:spacing w:val="217"/>
          <w:w w:val="150"/>
        </w:rPr>
        <w:t xml:space="preserve"> </w:t>
      </w:r>
      <w:bookmarkEnd w:id="1"/>
      <w:r>
        <w:rPr>
          <w:spacing w:val="-1"/>
        </w:rPr>
        <w:t>基因组学在个性化药物中的应用</w:t>
      </w:r>
    </w:p>
    <w:p>
      <w:pPr>
        <w:pStyle w:val="BodyText"/>
        <w:spacing w:before="15" w:after="1"/>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0"/>
        <w:gridCol w:w="553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0" w:type="dxa"/>
          </w:tcPr>
          <w:p>
            <w:pPr>
              <w:pStyle w:val="TableParagraph"/>
              <w:spacing w:before="23"/>
              <w:ind w:right="0"/>
              <w:rPr>
                <w:sz w:val="21"/>
              </w:rPr>
            </w:pPr>
            <w:r>
              <w:rPr>
                <w:spacing w:val="-4"/>
                <w:sz w:val="21"/>
              </w:rPr>
              <w:t>关键词</w:t>
            </w:r>
          </w:p>
        </w:tc>
        <w:tc>
          <w:tcPr>
            <w:tcW w:w="5536" w:type="dxa"/>
          </w:tcPr>
          <w:p>
            <w:pPr>
              <w:pStyle w:val="TableParagraph"/>
              <w:spacing w:before="23"/>
              <w:ind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0" w:type="dxa"/>
          </w:tcPr>
          <w:p>
            <w:pPr>
              <w:pStyle w:val="TableParagraph"/>
              <w:spacing w:before="23"/>
              <w:ind w:right="0"/>
              <w:rPr>
                <w:sz w:val="21"/>
              </w:rPr>
            </w:pPr>
            <w:r>
              <w:rPr>
                <w:spacing w:val="-1"/>
                <w:sz w:val="21"/>
              </w:rPr>
              <w:t>基因组学与药物代谢差异</w:t>
            </w:r>
          </w:p>
        </w:tc>
        <w:tc>
          <w:tcPr>
            <w:tcW w:w="5536" w:type="dxa"/>
          </w:tcPr>
          <w:p>
            <w:pPr>
              <w:pStyle w:val="TableParagraph"/>
              <w:spacing w:before="4"/>
              <w:ind w:left="0" w:right="0"/>
              <w:rPr>
                <w:rFonts w:ascii="Microsoft JhengHei"/>
                <w:b/>
                <w:sz w:val="18"/>
              </w:rPr>
            </w:pPr>
          </w:p>
          <w:p>
            <w:pPr>
              <w:pStyle w:val="TableParagraph"/>
              <w:numPr>
                <w:ilvl w:val="0"/>
                <w:numId w:val="42"/>
              </w:numPr>
              <w:tabs>
                <w:tab w:val="left" w:pos="372"/>
              </w:tabs>
              <w:spacing w:before="0" w:after="0" w:line="278" w:lineRule="auto"/>
              <w:ind w:left="108" w:right="95" w:firstLine="0"/>
              <w:jc w:val="both"/>
              <w:rPr>
                <w:sz w:val="21"/>
              </w:rPr>
            </w:pPr>
            <w:r>
              <w:rPr>
                <w:spacing w:val="-2"/>
                <w:sz w:val="21"/>
              </w:rPr>
              <w:t>基因多态性对药物代谢的影响：不同的基因型可能导致</w:t>
            </w:r>
            <w:r>
              <w:rPr>
                <w:spacing w:val="-2"/>
                <w:sz w:val="21"/>
              </w:rPr>
              <w:t>个体间药物代谢能力的显著差异，从而影响药物的效果和</w:t>
            </w:r>
            <w:r>
              <w:rPr>
                <w:spacing w:val="-2"/>
                <w:sz w:val="21"/>
              </w:rPr>
              <w:t>毒性。例如，</w:t>
            </w:r>
            <w:r>
              <w:rPr>
                <w:rFonts w:ascii="Times New Roman" w:eastAsia="Times New Roman"/>
                <w:spacing w:val="-2"/>
                <w:sz w:val="21"/>
              </w:rPr>
              <w:t>CYP2D6</w:t>
            </w:r>
            <w:r>
              <w:rPr>
                <w:spacing w:val="-2"/>
                <w:sz w:val="21"/>
              </w:rPr>
              <w:t>、</w:t>
            </w:r>
            <w:r>
              <w:rPr>
                <w:rFonts w:ascii="Times New Roman" w:eastAsia="Times New Roman"/>
                <w:spacing w:val="-2"/>
                <w:sz w:val="21"/>
              </w:rPr>
              <w:t>CYP2C9</w:t>
            </w:r>
            <w:r>
              <w:rPr>
                <w:rFonts w:ascii="Times New Roman" w:eastAsia="Times New Roman"/>
                <w:spacing w:val="-12"/>
                <w:sz w:val="21"/>
              </w:rPr>
              <w:t xml:space="preserve"> </w:t>
            </w:r>
            <w:r>
              <w:rPr>
                <w:spacing w:val="-2"/>
                <w:sz w:val="21"/>
              </w:rPr>
              <w:t>等酶编码基因的多态性可</w:t>
            </w:r>
            <w:r>
              <w:rPr>
                <w:spacing w:val="-2"/>
                <w:sz w:val="21"/>
              </w:rPr>
              <w:t>以影响多种药物的代谢。</w:t>
            </w:r>
          </w:p>
          <w:p>
            <w:pPr>
              <w:pStyle w:val="TableParagraph"/>
              <w:numPr>
                <w:ilvl w:val="0"/>
                <w:numId w:val="42"/>
              </w:numPr>
              <w:tabs>
                <w:tab w:val="left" w:pos="372"/>
              </w:tabs>
              <w:spacing w:before="0" w:after="0" w:line="268" w:lineRule="exact"/>
              <w:ind w:left="371" w:right="0" w:hanging="264"/>
              <w:jc w:val="both"/>
              <w:rPr>
                <w:sz w:val="21"/>
              </w:rPr>
            </w:pPr>
            <w:r>
              <w:rPr>
                <w:spacing w:val="-1"/>
                <w:sz w:val="21"/>
              </w:rPr>
              <w:t>基因检测在药物选择中的应用：通过对患者的基因型进</w:t>
            </w:r>
          </w:p>
        </w:tc>
      </w:tr>
    </w:tbl>
    <w:p>
      <w:pPr>
        <w:spacing w:after="0" w:line="268" w:lineRule="exact"/>
        <w:jc w:val="both"/>
        <w:rPr>
          <w:sz w:val="21"/>
        </w:rPr>
        <w:sectPr>
          <w:footerReference w:type="default" r:id="rId10"/>
          <w:pgSz w:w="11910" w:h="16840"/>
          <w:pgMar w:top="1520" w:right="1280" w:bottom="1380" w:left="1680" w:header="0" w:footer="1198"/>
          <w:pgNumType w:start="6"/>
          <w:cols w:space="708"/>
        </w:sect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0"/>
        <w:gridCol w:w="553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560"/>
          <w:jc w:val="left"/>
        </w:trPr>
        <w:tc>
          <w:tcPr>
            <w:tcW w:w="2760" w:type="dxa"/>
          </w:tcPr>
          <w:p>
            <w:pPr>
              <w:pStyle w:val="TableParagraph"/>
              <w:ind w:left="0" w:right="0"/>
              <w:rPr>
                <w:rFonts w:ascii="Times New Roman"/>
                <w:sz w:val="20"/>
              </w:rPr>
            </w:pPr>
          </w:p>
        </w:tc>
        <w:tc>
          <w:tcPr>
            <w:tcW w:w="5536" w:type="dxa"/>
          </w:tcPr>
          <w:p>
            <w:pPr>
              <w:pStyle w:val="TableParagraph"/>
              <w:spacing w:before="23" w:line="278" w:lineRule="auto"/>
              <w:rPr>
                <w:sz w:val="21"/>
              </w:rPr>
            </w:pPr>
            <w:r>
              <w:rPr>
                <w:spacing w:val="-2"/>
                <w:sz w:val="21"/>
              </w:rPr>
              <w:t>行检测，可以预测患者对特定药物的代谢能力和反应，从</w:t>
            </w:r>
            <w:r>
              <w:rPr>
                <w:spacing w:val="-2"/>
                <w:sz w:val="21"/>
              </w:rPr>
              <w:t>而帮助医生选择最适合患者的药物和剂量。</w:t>
            </w:r>
          </w:p>
          <w:p>
            <w:pPr>
              <w:pStyle w:val="TableParagraph"/>
              <w:spacing w:line="278" w:lineRule="auto"/>
              <w:ind w:right="-15"/>
              <w:rPr>
                <w:sz w:val="21"/>
              </w:rPr>
            </w:pPr>
            <w:r>
              <w:rPr>
                <w:rFonts w:ascii="Times New Roman" w:eastAsia="Times New Roman"/>
                <w:spacing w:val="-2"/>
                <w:sz w:val="21"/>
              </w:rPr>
              <w:t>3.</w:t>
            </w:r>
            <w:r>
              <w:rPr>
                <w:rFonts w:ascii="Times New Roman" w:eastAsia="Times New Roman"/>
                <w:spacing w:val="15"/>
                <w:sz w:val="21"/>
              </w:rPr>
              <w:t xml:space="preserve"> </w:t>
            </w:r>
            <w:r>
              <w:rPr>
                <w:spacing w:val="-2"/>
                <w:sz w:val="21"/>
              </w:rPr>
              <w:t>个性化药物治疗的发展趋势：随着基因组学研究的深入，</w:t>
            </w:r>
            <w:r>
              <w:rPr>
                <w:spacing w:val="-2"/>
                <w:sz w:val="21"/>
              </w:rPr>
              <w:t>个性化药物治疗将成为未来医疗领域的重要发展方向。</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60" w:type="dxa"/>
          </w:tcPr>
          <w:p>
            <w:pPr>
              <w:pStyle w:val="TableParagraph"/>
              <w:spacing w:before="23"/>
              <w:ind w:right="0"/>
              <w:rPr>
                <w:sz w:val="21"/>
              </w:rPr>
            </w:pPr>
            <w:r>
              <w:rPr>
                <w:spacing w:val="-1"/>
                <w:sz w:val="21"/>
              </w:rPr>
              <w:t>基因组学与药物疗效预测</w:t>
            </w:r>
          </w:p>
        </w:tc>
        <w:tc>
          <w:tcPr>
            <w:tcW w:w="5536" w:type="dxa"/>
          </w:tcPr>
          <w:p>
            <w:pPr>
              <w:pStyle w:val="TableParagraph"/>
              <w:spacing w:before="4"/>
              <w:ind w:left="0" w:right="0"/>
              <w:rPr>
                <w:rFonts w:ascii="Microsoft JhengHei"/>
                <w:b/>
                <w:sz w:val="18"/>
              </w:rPr>
            </w:pPr>
          </w:p>
          <w:p>
            <w:pPr>
              <w:pStyle w:val="TableParagraph"/>
              <w:numPr>
                <w:ilvl w:val="0"/>
                <w:numId w:val="41"/>
              </w:numPr>
              <w:tabs>
                <w:tab w:val="left" w:pos="372"/>
              </w:tabs>
              <w:spacing w:before="0" w:after="0" w:line="278" w:lineRule="auto"/>
              <w:ind w:left="108" w:right="95" w:firstLine="0"/>
              <w:jc w:val="both"/>
              <w:rPr>
                <w:sz w:val="21"/>
              </w:rPr>
            </w:pPr>
            <w:r>
              <w:rPr>
                <w:spacing w:val="-2"/>
                <w:sz w:val="21"/>
              </w:rPr>
              <w:t>靶点基因与药物疗效的关系：通过研究药物作用的靶点</w:t>
            </w:r>
            <w:r>
              <w:rPr>
                <w:spacing w:val="-24"/>
                <w:sz w:val="21"/>
              </w:rPr>
              <w:t>基因，可以预测患者对特定药物的疗效。例如，</w:t>
            </w:r>
            <w:r>
              <w:rPr>
                <w:rFonts w:ascii="Times New Roman" w:eastAsia="Times New Roman"/>
                <w:spacing w:val="16"/>
                <w:sz w:val="21"/>
              </w:rPr>
              <w:t>EGFR</w:t>
            </w:r>
            <w:r>
              <w:rPr>
                <w:spacing w:val="-100"/>
                <w:sz w:val="21"/>
              </w:rPr>
              <w:t>、</w:t>
            </w:r>
            <w:r>
              <w:rPr>
                <w:rFonts w:ascii="Times New Roman" w:eastAsia="Times New Roman"/>
                <w:spacing w:val="-4"/>
                <w:sz w:val="21"/>
              </w:rPr>
              <w:t>KRAS</w:t>
            </w:r>
            <w:r>
              <w:rPr>
                <w:spacing w:val="-2"/>
                <w:sz w:val="21"/>
              </w:rPr>
              <w:t>等基因突变状态可以用来预测肺癌患者对酪氨酸激酶抑制</w:t>
            </w:r>
            <w:r>
              <w:rPr>
                <w:spacing w:val="-2"/>
                <w:sz w:val="21"/>
              </w:rPr>
              <w:t>剂的疗效。</w:t>
            </w:r>
          </w:p>
          <w:p>
            <w:pPr>
              <w:pStyle w:val="TableParagraph"/>
              <w:numPr>
                <w:ilvl w:val="0"/>
                <w:numId w:val="41"/>
              </w:numPr>
              <w:tabs>
                <w:tab w:val="left" w:pos="372"/>
              </w:tabs>
              <w:spacing w:before="0" w:after="0" w:line="278" w:lineRule="auto"/>
              <w:ind w:left="108" w:right="96" w:firstLine="0"/>
              <w:jc w:val="both"/>
              <w:rPr>
                <w:sz w:val="21"/>
              </w:rPr>
            </w:pPr>
            <w:r>
              <w:rPr>
                <w:spacing w:val="-2"/>
                <w:sz w:val="21"/>
              </w:rPr>
              <w:t>多基因评分在药物疗效预测中的应用：通过综合多个基</w:t>
            </w:r>
            <w:r>
              <w:rPr>
                <w:spacing w:val="-2"/>
                <w:sz w:val="21"/>
              </w:rPr>
              <w:t>因的表达水平或突变状态，可以构建多基因评分模型来预</w:t>
            </w:r>
            <w:r>
              <w:rPr>
                <w:spacing w:val="-2"/>
                <w:sz w:val="21"/>
              </w:rPr>
              <w:t>测患者对特定药物的疗效。</w:t>
            </w:r>
          </w:p>
          <w:p>
            <w:pPr>
              <w:pStyle w:val="TableParagraph"/>
              <w:numPr>
                <w:ilvl w:val="0"/>
                <w:numId w:val="41"/>
              </w:numPr>
              <w:tabs>
                <w:tab w:val="left" w:pos="372"/>
              </w:tabs>
              <w:spacing w:before="0" w:after="0" w:line="278" w:lineRule="auto"/>
              <w:ind w:left="108" w:right="96" w:firstLine="0"/>
              <w:jc w:val="both"/>
              <w:rPr>
                <w:sz w:val="21"/>
              </w:rPr>
            </w:pPr>
            <w:r>
              <w:rPr>
                <w:spacing w:val="-2"/>
                <w:sz w:val="21"/>
              </w:rPr>
              <w:t>药物疗效预测方法的发展趋势：随着基因组学数据的积</w:t>
            </w:r>
            <w:r>
              <w:rPr>
                <w:spacing w:val="-2"/>
                <w:sz w:val="21"/>
              </w:rPr>
              <w:t>累和计算生物学技术的进步，更准确的药物疗效预测方法</w:t>
            </w:r>
            <w:r>
              <w:rPr>
                <w:spacing w:val="-2"/>
                <w:sz w:val="21"/>
              </w:rPr>
              <w:t>将不断涌现。</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0" w:type="dxa"/>
          </w:tcPr>
          <w:p>
            <w:pPr>
              <w:pStyle w:val="TableParagraph"/>
              <w:spacing w:before="23" w:line="278" w:lineRule="auto"/>
              <w:rPr>
                <w:sz w:val="21"/>
              </w:rPr>
            </w:pPr>
            <w:r>
              <w:rPr>
                <w:spacing w:val="-2"/>
                <w:sz w:val="21"/>
              </w:rPr>
              <w:t>基因组学与药物副作用风险</w:t>
            </w:r>
            <w:r>
              <w:rPr>
                <w:spacing w:val="-6"/>
                <w:sz w:val="21"/>
              </w:rPr>
              <w:t>评估</w:t>
            </w:r>
          </w:p>
        </w:tc>
        <w:tc>
          <w:tcPr>
            <w:tcW w:w="5536" w:type="dxa"/>
          </w:tcPr>
          <w:p>
            <w:pPr>
              <w:pStyle w:val="TableParagraph"/>
              <w:spacing w:before="4"/>
              <w:ind w:left="0" w:right="0"/>
              <w:rPr>
                <w:rFonts w:ascii="Microsoft JhengHei"/>
                <w:b/>
                <w:sz w:val="18"/>
              </w:rPr>
            </w:pPr>
          </w:p>
          <w:p>
            <w:pPr>
              <w:pStyle w:val="TableParagraph"/>
              <w:numPr>
                <w:ilvl w:val="0"/>
                <w:numId w:val="40"/>
              </w:numPr>
              <w:tabs>
                <w:tab w:val="left" w:pos="372"/>
              </w:tabs>
              <w:spacing w:before="0" w:after="0" w:line="278" w:lineRule="auto"/>
              <w:ind w:left="108" w:right="96" w:firstLine="0"/>
              <w:jc w:val="both"/>
              <w:rPr>
                <w:sz w:val="21"/>
              </w:rPr>
            </w:pPr>
            <w:r>
              <w:rPr>
                <w:spacing w:val="-2"/>
                <w:sz w:val="21"/>
              </w:rPr>
              <w:t>药物副作用的遗传因素：许多药物副作用的发生与遗传</w:t>
            </w:r>
            <w:r>
              <w:rPr>
                <w:spacing w:val="-5"/>
                <w:sz w:val="21"/>
              </w:rPr>
              <w:t xml:space="preserve">因素有关，例如 </w:t>
            </w:r>
            <w:r>
              <w:rPr>
                <w:rFonts w:ascii="Times New Roman" w:eastAsia="Times New Roman"/>
                <w:spacing w:val="-2"/>
                <w:sz w:val="21"/>
              </w:rPr>
              <w:t>HLA-B*57:01</w:t>
            </w:r>
            <w:r>
              <w:rPr>
                <w:rFonts w:ascii="Times New Roman" w:eastAsia="Times New Roman"/>
                <w:spacing w:val="-6"/>
                <w:sz w:val="21"/>
              </w:rPr>
              <w:t xml:space="preserve"> </w:t>
            </w:r>
            <w:r>
              <w:rPr>
                <w:spacing w:val="-2"/>
                <w:sz w:val="21"/>
              </w:rPr>
              <w:t>与阿巴卡韦引起的严重过敏</w:t>
            </w:r>
            <w:r>
              <w:rPr>
                <w:sz w:val="21"/>
              </w:rPr>
              <w:t>反应、</w:t>
            </w:r>
            <w:r>
              <w:rPr>
                <w:rFonts w:ascii="Times New Roman" w:eastAsia="Times New Roman"/>
                <w:sz w:val="21"/>
              </w:rPr>
              <w:t xml:space="preserve">CYP2C19 </w:t>
            </w:r>
            <w:r>
              <w:rPr>
                <w:sz w:val="21"/>
              </w:rPr>
              <w:t>基因型与普瑞巴林引起的不良反应等。</w:t>
            </w:r>
          </w:p>
          <w:p>
            <w:pPr>
              <w:pStyle w:val="TableParagraph"/>
              <w:numPr>
                <w:ilvl w:val="0"/>
                <w:numId w:val="40"/>
              </w:numPr>
              <w:tabs>
                <w:tab w:val="left" w:pos="372"/>
              </w:tabs>
              <w:spacing w:before="0" w:after="0" w:line="278" w:lineRule="auto"/>
              <w:ind w:left="108" w:right="-15" w:firstLine="0"/>
              <w:jc w:val="left"/>
              <w:rPr>
                <w:sz w:val="21"/>
              </w:rPr>
            </w:pPr>
            <w:r>
              <w:rPr>
                <w:spacing w:val="-2"/>
                <w:sz w:val="21"/>
              </w:rPr>
              <w:t>基因检测在药物副作用预防中的应用：通过对患者的基</w:t>
            </w:r>
            <w:r>
              <w:rPr>
                <w:spacing w:val="-2"/>
                <w:sz w:val="21"/>
              </w:rPr>
              <w:t>因型进行检测，可以预测患者发生特定药物副作用的风险，</w:t>
            </w:r>
            <w:r>
              <w:rPr>
                <w:spacing w:val="-2"/>
                <w:sz w:val="21"/>
              </w:rPr>
              <w:t>从而采取预防措施避免副作用的发生。</w:t>
            </w:r>
          </w:p>
          <w:p>
            <w:pPr>
              <w:pStyle w:val="TableParagraph"/>
              <w:numPr>
                <w:ilvl w:val="0"/>
                <w:numId w:val="40"/>
              </w:numPr>
              <w:tabs>
                <w:tab w:val="left" w:pos="372"/>
              </w:tabs>
              <w:spacing w:before="0" w:after="0" w:line="278" w:lineRule="auto"/>
              <w:ind w:left="108" w:right="96" w:firstLine="0"/>
              <w:jc w:val="both"/>
              <w:rPr>
                <w:sz w:val="21"/>
              </w:rPr>
            </w:pPr>
            <w:r>
              <w:rPr>
                <w:spacing w:val="-2"/>
                <w:sz w:val="21"/>
              </w:rPr>
              <w:t>药物副作用风险评估方法的发展趋势：随着基因组学数</w:t>
            </w:r>
            <w:r>
              <w:rPr>
                <w:spacing w:val="-2"/>
                <w:sz w:val="21"/>
              </w:rPr>
              <w:t>据的积累和计算生物学技术的进步，更准确的药物副作用</w:t>
            </w:r>
            <w:r>
              <w:rPr>
                <w:spacing w:val="-2"/>
                <w:sz w:val="21"/>
              </w:rPr>
              <w:t>风险评估方法将不断涌现。</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0" w:type="dxa"/>
          </w:tcPr>
          <w:p>
            <w:pPr>
              <w:pStyle w:val="TableParagraph"/>
              <w:spacing w:before="23"/>
              <w:ind w:right="0"/>
              <w:rPr>
                <w:sz w:val="21"/>
              </w:rPr>
            </w:pPr>
            <w:r>
              <w:rPr>
                <w:spacing w:val="-2"/>
                <w:sz w:val="21"/>
              </w:rPr>
              <w:t>基因组学与药物研发</w:t>
            </w:r>
          </w:p>
        </w:tc>
        <w:tc>
          <w:tcPr>
            <w:tcW w:w="5536" w:type="dxa"/>
          </w:tcPr>
          <w:p>
            <w:pPr>
              <w:pStyle w:val="TableParagraph"/>
              <w:spacing w:before="4"/>
              <w:ind w:left="0" w:right="0"/>
              <w:rPr>
                <w:rFonts w:ascii="Microsoft JhengHei"/>
                <w:b/>
                <w:sz w:val="18"/>
              </w:rPr>
            </w:pPr>
          </w:p>
          <w:p>
            <w:pPr>
              <w:pStyle w:val="TableParagraph"/>
              <w:numPr>
                <w:ilvl w:val="0"/>
                <w:numId w:val="39"/>
              </w:numPr>
              <w:tabs>
                <w:tab w:val="left" w:pos="372"/>
              </w:tabs>
              <w:spacing w:before="0" w:after="0" w:line="278" w:lineRule="auto"/>
              <w:ind w:left="108" w:right="96" w:firstLine="0"/>
              <w:jc w:val="left"/>
              <w:rPr>
                <w:sz w:val="21"/>
              </w:rPr>
            </w:pPr>
            <w:r>
              <w:rPr>
                <w:spacing w:val="-2"/>
                <w:sz w:val="21"/>
              </w:rPr>
              <w:t>基因组学在药物发现阶段的应用：通过研究疾病相关基</w:t>
            </w:r>
            <w:r>
              <w:rPr>
                <w:spacing w:val="-2"/>
                <w:sz w:val="21"/>
              </w:rPr>
              <w:t>因的功能和调控机制，可以为新药的研发提供候选靶点。</w:t>
            </w:r>
          </w:p>
          <w:p>
            <w:pPr>
              <w:pStyle w:val="TableParagraph"/>
              <w:numPr>
                <w:ilvl w:val="0"/>
                <w:numId w:val="39"/>
              </w:numPr>
              <w:tabs>
                <w:tab w:val="left" w:pos="372"/>
              </w:tabs>
              <w:spacing w:before="0" w:after="0" w:line="278" w:lineRule="auto"/>
              <w:ind w:left="108" w:right="96" w:firstLine="0"/>
              <w:jc w:val="left"/>
              <w:rPr>
                <w:sz w:val="21"/>
              </w:rPr>
            </w:pPr>
            <w:r>
              <w:rPr>
                <w:spacing w:val="-2"/>
                <w:sz w:val="21"/>
              </w:rPr>
              <w:t>基因组学在临床试验设计中的应用：通过对受试者基因</w:t>
            </w:r>
            <w:r>
              <w:rPr>
                <w:spacing w:val="-2"/>
                <w:sz w:val="21"/>
              </w:rPr>
              <w:t>型的分层，可以提高临床试验的成功率和效率。</w:t>
            </w:r>
          </w:p>
          <w:p>
            <w:pPr>
              <w:pStyle w:val="TableParagraph"/>
              <w:numPr>
                <w:ilvl w:val="0"/>
                <w:numId w:val="39"/>
              </w:numPr>
              <w:tabs>
                <w:tab w:val="left" w:pos="372"/>
              </w:tabs>
              <w:spacing w:before="0" w:after="0" w:line="278" w:lineRule="auto"/>
              <w:ind w:left="108" w:right="-15" w:firstLine="0"/>
              <w:jc w:val="left"/>
              <w:rPr>
                <w:sz w:val="21"/>
              </w:rPr>
            </w:pPr>
            <w:r>
              <w:rPr>
                <w:spacing w:val="-2"/>
                <w:sz w:val="21"/>
              </w:rPr>
              <w:t>基因组学在药物开发过程中的作用：通过研究药物的代</w:t>
            </w:r>
            <w:r>
              <w:rPr>
                <w:spacing w:val="-2"/>
                <w:sz w:val="21"/>
              </w:rPr>
              <w:t>谢途径和作用机制，可以帮助优化药物的剂型和给药方式。</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0" w:type="dxa"/>
          </w:tcPr>
          <w:p>
            <w:pPr>
              <w:pStyle w:val="TableParagraph"/>
              <w:spacing w:before="23"/>
              <w:ind w:right="0"/>
              <w:rPr>
                <w:sz w:val="21"/>
              </w:rPr>
            </w:pPr>
            <w:r>
              <w:rPr>
                <w:spacing w:val="-1"/>
                <w:sz w:val="21"/>
              </w:rPr>
              <w:t>基因组学与精准用药策略</w:t>
            </w:r>
          </w:p>
        </w:tc>
        <w:tc>
          <w:tcPr>
            <w:tcW w:w="5536" w:type="dxa"/>
          </w:tcPr>
          <w:p>
            <w:pPr>
              <w:pStyle w:val="TableParagraph"/>
              <w:spacing w:before="4"/>
              <w:ind w:left="0" w:right="0"/>
              <w:rPr>
                <w:rFonts w:ascii="Microsoft JhengHei"/>
                <w:b/>
                <w:sz w:val="18"/>
              </w:rPr>
            </w:pPr>
          </w:p>
          <w:p>
            <w:pPr>
              <w:pStyle w:val="TableParagraph"/>
              <w:numPr>
                <w:ilvl w:val="0"/>
                <w:numId w:val="38"/>
              </w:numPr>
              <w:tabs>
                <w:tab w:val="left" w:pos="372"/>
              </w:tabs>
              <w:spacing w:before="0" w:after="0" w:line="278" w:lineRule="auto"/>
              <w:ind w:left="108" w:right="96" w:firstLine="0"/>
              <w:jc w:val="both"/>
              <w:rPr>
                <w:sz w:val="21"/>
              </w:rPr>
            </w:pPr>
            <w:r>
              <w:rPr>
                <w:spacing w:val="-2"/>
                <w:sz w:val="21"/>
              </w:rPr>
              <w:t>基因检测在精准用药策略制定中的作用：通过对患者的</w:t>
            </w:r>
            <w:r>
              <w:rPr>
                <w:spacing w:val="-2"/>
                <w:sz w:val="21"/>
              </w:rPr>
              <w:t>基因型进行检测，可以制定个性化的药物治疗方案，提高</w:t>
            </w:r>
            <w:r>
              <w:rPr>
                <w:spacing w:val="-2"/>
                <w:sz w:val="21"/>
              </w:rPr>
              <w:t>治疗效果并减少不良反应。</w:t>
            </w:r>
          </w:p>
          <w:p>
            <w:pPr>
              <w:pStyle w:val="TableParagraph"/>
              <w:numPr>
                <w:ilvl w:val="0"/>
                <w:numId w:val="38"/>
              </w:numPr>
              <w:tabs>
                <w:tab w:val="left" w:pos="372"/>
              </w:tabs>
              <w:spacing w:before="0" w:after="0" w:line="278" w:lineRule="auto"/>
              <w:ind w:left="108" w:right="96" w:firstLine="0"/>
              <w:jc w:val="both"/>
              <w:rPr>
                <w:sz w:val="21"/>
              </w:rPr>
            </w:pPr>
            <w:r>
              <w:rPr>
                <w:spacing w:val="-2"/>
                <w:sz w:val="21"/>
              </w:rPr>
              <w:t>基因组学在联合用药策略制定中的作用：通过对不同药</w:t>
            </w:r>
            <w:r>
              <w:rPr>
                <w:spacing w:val="-2"/>
                <w:sz w:val="21"/>
              </w:rPr>
              <w:t>物作用的相关基因进行分析，可以指导联合用药策略的选</w:t>
            </w:r>
            <w:r>
              <w:rPr>
                <w:spacing w:val="-2"/>
                <w:sz w:val="21"/>
              </w:rPr>
              <w:t>择，以获得最佳治疗效果。</w:t>
            </w:r>
          </w:p>
          <w:p>
            <w:pPr>
              <w:pStyle w:val="TableParagraph"/>
              <w:numPr>
                <w:ilvl w:val="0"/>
                <w:numId w:val="38"/>
              </w:numPr>
              <w:tabs>
                <w:tab w:val="left" w:pos="372"/>
              </w:tabs>
              <w:spacing w:before="0" w:after="0" w:line="269" w:lineRule="exact"/>
              <w:ind w:left="371" w:right="0" w:hanging="264"/>
              <w:jc w:val="both"/>
              <w:rPr>
                <w:sz w:val="21"/>
              </w:rPr>
            </w:pPr>
            <w:r>
              <w:rPr>
                <w:spacing w:val="-1"/>
                <w:sz w:val="21"/>
              </w:rPr>
              <w:t>精准用药策略的发展趋势：随着基因组学数据的积累和</w:t>
            </w:r>
          </w:p>
        </w:tc>
      </w:tr>
    </w:tbl>
    <w:p>
      <w:pPr>
        <w:spacing w:after="0" w:line="269" w:lineRule="exact"/>
        <w:jc w:val="both"/>
        <w:rPr>
          <w:sz w:val="21"/>
        </w:rPr>
        <w:sectPr>
          <w:footerReference w:type="default" r:id="rId11"/>
          <w:type w:val="continuous"/>
          <w:pgSz w:w="11910" w:h="16840"/>
          <w:pgMar w:top="1400" w:right="1280" w:bottom="1380" w:left="1680" w:header="0" w:footer="1198"/>
          <w:pgNumType w:start="7"/>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0"/>
        <w:gridCol w:w="5536"/>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2760" w:type="dxa"/>
          </w:tcPr>
          <w:p>
            <w:pPr>
              <w:pStyle w:val="TableParagraph"/>
              <w:ind w:left="0" w:right="0"/>
              <w:rPr>
                <w:rFonts w:ascii="Times New Roman"/>
                <w:sz w:val="26"/>
              </w:rPr>
            </w:pPr>
          </w:p>
        </w:tc>
        <w:tc>
          <w:tcPr>
            <w:tcW w:w="5536" w:type="dxa"/>
          </w:tcPr>
          <w:p>
            <w:pPr>
              <w:pStyle w:val="TableParagraph"/>
              <w:spacing w:before="23" w:line="278" w:lineRule="auto"/>
              <w:rPr>
                <w:sz w:val="21"/>
              </w:rPr>
            </w:pPr>
            <w:r>
              <w:rPr>
                <w:spacing w:val="-2"/>
                <w:sz w:val="21"/>
              </w:rPr>
              <w:t>计算生物学技术的进步，更精确的精准用药策略将不断涌</w:t>
            </w:r>
            <w:r>
              <w:rPr>
                <w:spacing w:val="-6"/>
                <w:sz w:val="21"/>
              </w:rPr>
              <w:t>现。</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0" w:type="dxa"/>
          </w:tcPr>
          <w:p>
            <w:pPr>
              <w:pStyle w:val="TableParagraph"/>
              <w:spacing w:before="23"/>
              <w:ind w:right="0"/>
              <w:rPr>
                <w:sz w:val="21"/>
              </w:rPr>
            </w:pPr>
            <w:r>
              <w:rPr>
                <w:spacing w:val="-1"/>
                <w:sz w:val="21"/>
              </w:rPr>
              <w:t>基因组学与药物治疗监测</w:t>
            </w:r>
          </w:p>
        </w:tc>
        <w:tc>
          <w:tcPr>
            <w:tcW w:w="5536" w:type="dxa"/>
          </w:tcPr>
          <w:p>
            <w:pPr>
              <w:pStyle w:val="TableParagraph"/>
              <w:spacing w:before="4"/>
              <w:ind w:left="0" w:right="0"/>
              <w:rPr>
                <w:rFonts w:ascii="Microsoft JhengHei"/>
                <w:b/>
                <w:sz w:val="18"/>
              </w:rPr>
            </w:pPr>
          </w:p>
          <w:p>
            <w:pPr>
              <w:pStyle w:val="TableParagraph"/>
              <w:numPr>
                <w:ilvl w:val="0"/>
                <w:numId w:val="37"/>
              </w:numPr>
              <w:tabs>
                <w:tab w:val="left" w:pos="372"/>
              </w:tabs>
              <w:spacing w:before="0" w:after="0" w:line="278" w:lineRule="auto"/>
              <w:ind w:left="108" w:right="96" w:firstLine="0"/>
              <w:jc w:val="both"/>
              <w:rPr>
                <w:sz w:val="21"/>
              </w:rPr>
            </w:pPr>
            <w:r>
              <w:rPr>
                <w:spacing w:val="-2"/>
                <w:sz w:val="21"/>
              </w:rPr>
              <w:t>基因检测在药物治疗监测中的作用：通过对患者的基因</w:t>
            </w:r>
            <w:r>
              <w:rPr>
                <w:spacing w:val="-2"/>
                <w:sz w:val="21"/>
              </w:rPr>
              <w:t>型进行动态监测，可以及时调整治疗方案，以确保治疗效</w:t>
            </w:r>
            <w:r>
              <w:rPr>
                <w:spacing w:val="-2"/>
                <w:sz w:val="21"/>
              </w:rPr>
              <w:t>果并减少不良反应。</w:t>
            </w:r>
          </w:p>
          <w:p>
            <w:pPr>
              <w:pStyle w:val="TableParagraph"/>
              <w:numPr>
                <w:ilvl w:val="0"/>
                <w:numId w:val="37"/>
              </w:numPr>
              <w:tabs>
                <w:tab w:val="left" w:pos="372"/>
              </w:tabs>
              <w:spacing w:before="0" w:after="0" w:line="269" w:lineRule="exact"/>
              <w:ind w:left="371" w:right="0" w:hanging="264"/>
              <w:jc w:val="both"/>
              <w:rPr>
                <w:sz w:val="21"/>
              </w:rPr>
            </w:pPr>
            <w:r>
              <w:rPr>
                <w:spacing w:val="-1"/>
                <w:sz w:val="21"/>
              </w:rPr>
              <w:t>基因组学在药物治疗效果评估中的作用：通过对药物作</w:t>
            </w:r>
          </w:p>
          <w:p>
            <w:pPr>
              <w:pStyle w:val="TableParagraph"/>
              <w:spacing w:before="43"/>
              <w:ind w:right="0"/>
              <w:rPr>
                <w:sz w:val="21"/>
              </w:rPr>
            </w:pPr>
            <w:r>
              <w:rPr>
                <w:spacing w:val="-1"/>
                <w:sz w:val="21"/>
              </w:rPr>
              <w:t>用相关基因的表达水平</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0" w:type="dxa"/>
          </w:tcPr>
          <w:p>
            <w:pPr>
              <w:pStyle w:val="TableParagraph"/>
              <w:ind w:left="0" w:right="0"/>
              <w:rPr>
                <w:rFonts w:ascii="Times New Roman"/>
                <w:sz w:val="22"/>
              </w:rPr>
            </w:pPr>
          </w:p>
        </w:tc>
        <w:tc>
          <w:tcPr>
            <w:tcW w:w="5536" w:type="dxa"/>
          </w:tcPr>
          <w:p>
            <w:pPr>
              <w:pStyle w:val="TableParagraph"/>
              <w:ind w:left="0" w:right="0"/>
              <w:rPr>
                <w:rFonts w:ascii="Times New Roman"/>
                <w:sz w:val="22"/>
              </w:rPr>
            </w:pPr>
          </w:p>
        </w:tc>
      </w:tr>
    </w:tbl>
    <w:p>
      <w:pPr>
        <w:pStyle w:val="BodyText"/>
        <w:spacing w:before="6"/>
        <w:rPr>
          <w:rFonts w:ascii="Microsoft JhengHei"/>
          <w:b/>
          <w:sz w:val="5"/>
        </w:rPr>
      </w:pPr>
    </w:p>
    <w:p>
      <w:pPr>
        <w:pStyle w:val="BodyText"/>
        <w:spacing w:before="61"/>
        <w:ind w:left="680"/>
      </w:pPr>
      <w:r>
        <w:rPr>
          <w:spacing w:val="-1"/>
        </w:rPr>
        <w:t>基因组学在个性化药物中的应用</w:t>
      </w:r>
    </w:p>
    <w:p>
      <w:pPr>
        <w:pStyle w:val="BodyText"/>
      </w:pPr>
    </w:p>
    <w:p>
      <w:pPr>
        <w:pStyle w:val="BodyText"/>
        <w:spacing w:before="5"/>
        <w:rPr>
          <w:sz w:val="41"/>
        </w:rPr>
      </w:pPr>
    </w:p>
    <w:p>
      <w:pPr>
        <w:pStyle w:val="BodyText"/>
        <w:spacing w:line="417" w:lineRule="auto"/>
        <w:ind w:left="120" w:right="238"/>
      </w:pPr>
      <w:r>
        <w:rPr>
          <w:spacing w:val="-7"/>
        </w:rPr>
        <w:t>个性化药物治疗策略是指根据患者个体差异，选择最适合的药物和剂</w:t>
      </w:r>
      <w:r>
        <w:rPr>
          <w:spacing w:val="-2"/>
        </w:rPr>
        <w:t xml:space="preserve"> </w:t>
      </w:r>
      <w:r>
        <w:rPr>
          <w:spacing w:val="-2"/>
        </w:rPr>
        <w:t>量进行治疗。这种治疗策略的目标是提高疗效、降低不良反应并改善</w:t>
      </w:r>
      <w:r>
        <w:rPr>
          <w:spacing w:val="-2"/>
        </w:rPr>
        <w:t xml:space="preserve"> </w:t>
      </w:r>
      <w:r>
        <w:rPr>
          <w:spacing w:val="-2"/>
        </w:rPr>
        <w:t>患者的生活质量。随着基因组学的发展，我们已经认识到基因变异与</w:t>
      </w:r>
      <w:r>
        <w:rPr>
          <w:spacing w:val="-2"/>
        </w:rPr>
        <w:t xml:space="preserve"> </w:t>
      </w:r>
      <w:r>
        <w:rPr>
          <w:spacing w:val="-2"/>
        </w:rPr>
        <w:t>疾病之间的关系，并且能够利用这些信息来指导药物的选择和使用。</w:t>
      </w:r>
      <w:r>
        <w:rPr>
          <w:spacing w:val="-2"/>
        </w:rPr>
        <w:t>本文将介绍基因组学在个性化药物中的应用。</w:t>
      </w:r>
    </w:p>
    <w:p>
      <w:pPr>
        <w:pStyle w:val="BodyText"/>
      </w:pPr>
    </w:p>
    <w:p>
      <w:pPr>
        <w:pStyle w:val="BodyText"/>
        <w:spacing w:before="7"/>
        <w:rPr>
          <w:sz w:val="20"/>
        </w:rPr>
      </w:pPr>
    </w:p>
    <w:p>
      <w:pPr>
        <w:pStyle w:val="ListParagraph"/>
        <w:numPr>
          <w:ilvl w:val="0"/>
          <w:numId w:val="36"/>
        </w:numPr>
        <w:tabs>
          <w:tab w:val="left" w:pos="540"/>
        </w:tabs>
        <w:spacing w:before="1" w:after="0" w:line="240" w:lineRule="auto"/>
        <w:ind w:left="540" w:right="0" w:hanging="420"/>
        <w:jc w:val="left"/>
        <w:rPr>
          <w:sz w:val="28"/>
        </w:rPr>
      </w:pPr>
      <w:r>
        <w:rPr>
          <w:spacing w:val="-1"/>
          <w:sz w:val="28"/>
        </w:rPr>
        <w:t>基因组学在药物反应预测中的作用</w:t>
      </w:r>
    </w:p>
    <w:p>
      <w:pPr>
        <w:pStyle w:val="BodyText"/>
        <w:spacing w:before="8"/>
        <w:rPr>
          <w:sz w:val="20"/>
        </w:rPr>
      </w:pPr>
    </w:p>
    <w:p>
      <w:pPr>
        <w:pStyle w:val="BodyText"/>
        <w:spacing w:before="1" w:line="417" w:lineRule="auto"/>
        <w:ind w:left="120" w:right="238"/>
      </w:pPr>
      <w:r>
        <w:rPr>
          <w:spacing w:val="-2"/>
        </w:rPr>
        <w:t>遗传变异可以影响人体对药物的代谢、吸收、分布和排泄等过程，从</w:t>
      </w:r>
      <w:r>
        <w:rPr>
          <w:spacing w:val="-2"/>
        </w:rPr>
        <w:t xml:space="preserve"> </w:t>
      </w:r>
      <w:r>
        <w:rPr>
          <w:spacing w:val="-2"/>
        </w:rPr>
        <w:t>而影响药物的疗效和安全性。通过对患者基因型的分析，我们可以预</w:t>
      </w:r>
      <w:r>
        <w:rPr>
          <w:spacing w:val="-2"/>
        </w:rPr>
        <w:t xml:space="preserve"> </w:t>
      </w:r>
      <w:r>
        <w:t>测他们对特定药物的反应类型。例如，CYP2D6</w:t>
      </w:r>
      <w:r>
        <w:rPr>
          <w:spacing w:val="-7"/>
        </w:rPr>
        <w:t xml:space="preserve"> 是一种重要的药物代</w:t>
      </w:r>
      <w:r>
        <w:t xml:space="preserve"> </w:t>
      </w:r>
      <w:r>
        <w:rPr>
          <w:spacing w:val="-2"/>
        </w:rPr>
        <w:t xml:space="preserve">谢酶，它编码由肝脏产生的 </w:t>
      </w:r>
      <w:r>
        <w:t>P450</w:t>
      </w:r>
      <w:r>
        <w:rPr>
          <w:spacing w:val="-5"/>
        </w:rPr>
        <w:t xml:space="preserve"> 同工酶，参与了许多常用药物的代</w:t>
      </w:r>
      <w:r>
        <w:t xml:space="preserve"> 谢。CYP2D6</w:t>
      </w:r>
      <w:r>
        <w:rPr>
          <w:spacing w:val="-7"/>
        </w:rPr>
        <w:t xml:space="preserve"> 基因的不同等位基因导致了不同的酶活性水平，从而影</w:t>
      </w:r>
      <w:r>
        <w:t xml:space="preserve"> </w:t>
      </w:r>
      <w:r>
        <w:rPr>
          <w:spacing w:val="-2"/>
        </w:rPr>
        <w:t>响了患者对多种药物（如抗抑郁药、镇痛药和心血管药物）的反应。</w:t>
      </w:r>
      <w:r>
        <w:rPr>
          <w:spacing w:val="-13"/>
        </w:rPr>
        <w:t xml:space="preserve">通过检测 </w:t>
      </w:r>
      <w:r>
        <w:t>CYP2D6</w:t>
      </w:r>
      <w:r>
        <w:rPr>
          <w:spacing w:val="-9"/>
        </w:rPr>
        <w:t xml:space="preserve"> 基因型，医生可以更好地了解患者的药物代谢能力，</w:t>
      </w:r>
      <w:r>
        <w:rPr>
          <w:spacing w:val="-2"/>
        </w:rPr>
        <w:t>并据此调整药物剂量或选择其他更合适的药物。</w:t>
      </w:r>
    </w:p>
    <w:p>
      <w:pPr>
        <w:spacing w:after="0" w:line="417" w:lineRule="auto"/>
        <w:sectPr>
          <w:footerReference w:type="default" r:id="rId12"/>
          <w:type w:val="continuous"/>
          <w:pgSz w:w="11910" w:h="16840"/>
          <w:pgMar w:top="1400" w:right="1280" w:bottom="1380" w:left="1680" w:header="0" w:footer="1198"/>
          <w:pgNumType w:start="8"/>
          <w:cols w:space="708"/>
        </w:sectPr>
      </w:pPr>
    </w:p>
    <w:p>
      <w:pPr>
        <w:pStyle w:val="BodyText"/>
        <w:spacing w:before="8"/>
        <w:rPr>
          <w:sz w:val="15"/>
        </w:rPr>
      </w:pPr>
    </w:p>
    <w:p>
      <w:pPr>
        <w:pStyle w:val="ListParagraph"/>
        <w:numPr>
          <w:ilvl w:val="0"/>
          <w:numId w:val="36"/>
        </w:numPr>
        <w:tabs>
          <w:tab w:val="left" w:pos="540"/>
        </w:tabs>
        <w:spacing w:before="60" w:after="0" w:line="240" w:lineRule="auto"/>
        <w:ind w:left="540" w:right="0" w:hanging="420"/>
        <w:jc w:val="both"/>
        <w:rPr>
          <w:sz w:val="28"/>
        </w:rPr>
      </w:pPr>
      <w:r>
        <w:rPr>
          <w:spacing w:val="-1"/>
          <w:sz w:val="28"/>
        </w:rPr>
        <w:t>基因组学在药物研发中的作用</w:t>
      </w:r>
    </w:p>
    <w:p>
      <w:pPr>
        <w:pStyle w:val="BodyText"/>
        <w:spacing w:before="9"/>
        <w:rPr>
          <w:sz w:val="20"/>
        </w:rPr>
      </w:pPr>
    </w:p>
    <w:p>
      <w:pPr>
        <w:pStyle w:val="BodyText"/>
        <w:spacing w:line="417" w:lineRule="auto"/>
        <w:ind w:left="120" w:right="518"/>
        <w:jc w:val="both"/>
      </w:pPr>
      <w:r>
        <w:rPr>
          <w:spacing w:val="-8"/>
        </w:rPr>
        <w:t>基因组学也为药物研发提供了新的途径。通过对大规模人群的基因组</w:t>
      </w:r>
      <w:r>
        <w:rPr>
          <w:spacing w:val="-4"/>
        </w:rPr>
        <w:t>数据进行分析，科学家可以发现与特定疾病相关的遗传变异，并基于</w:t>
      </w:r>
      <w:r>
        <w:rPr>
          <w:spacing w:val="-4"/>
        </w:rPr>
        <w:t>这些信息开发针对这些变异的新药。此外，基因组学还可以帮助我们</w:t>
      </w:r>
      <w:r>
        <w:rPr>
          <w:spacing w:val="-2"/>
        </w:rPr>
        <w:t>理解药物的作用机制和副作用，并为药物优化提供依据。</w:t>
      </w:r>
    </w:p>
    <w:p>
      <w:pPr>
        <w:pStyle w:val="BodyText"/>
      </w:pPr>
    </w:p>
    <w:p>
      <w:pPr>
        <w:pStyle w:val="BodyText"/>
        <w:spacing w:before="8"/>
        <w:rPr>
          <w:sz w:val="20"/>
        </w:rPr>
      </w:pPr>
    </w:p>
    <w:p>
      <w:pPr>
        <w:pStyle w:val="ListParagraph"/>
        <w:numPr>
          <w:ilvl w:val="0"/>
          <w:numId w:val="36"/>
        </w:numPr>
        <w:tabs>
          <w:tab w:val="left" w:pos="540"/>
        </w:tabs>
        <w:spacing w:before="0" w:after="0" w:line="240" w:lineRule="auto"/>
        <w:ind w:left="540" w:right="0" w:hanging="420"/>
        <w:jc w:val="both"/>
        <w:rPr>
          <w:sz w:val="28"/>
        </w:rPr>
      </w:pPr>
      <w:r>
        <w:rPr>
          <w:spacing w:val="-1"/>
          <w:sz w:val="28"/>
        </w:rPr>
        <w:t>基因组学在精准医疗中的作用</w:t>
      </w:r>
    </w:p>
    <w:p>
      <w:pPr>
        <w:pStyle w:val="BodyText"/>
        <w:spacing w:before="9"/>
        <w:rPr>
          <w:sz w:val="20"/>
        </w:rPr>
      </w:pPr>
    </w:p>
    <w:p>
      <w:pPr>
        <w:pStyle w:val="BodyText"/>
        <w:spacing w:line="417" w:lineRule="auto"/>
        <w:ind w:left="120" w:right="518"/>
        <w:jc w:val="both"/>
      </w:pPr>
      <w:r>
        <w:rPr>
          <w:spacing w:val="-6"/>
        </w:rPr>
        <w:t>精准医疗是指根据患者的基因组信息制定个性化的预防、诊断和治疗</w:t>
      </w:r>
      <w:r>
        <w:rPr>
          <w:spacing w:val="-13"/>
        </w:rPr>
        <w:t>方案。基因组学技术的进步使得我们可以快速准确地测定患者的基因</w:t>
      </w:r>
      <w:r>
        <w:rPr>
          <w:spacing w:val="-4"/>
        </w:rPr>
        <w:t>组信息，从而实现精准医疗。例如，在肿瘤治疗中，基因测序可以帮</w:t>
      </w:r>
      <w:r>
        <w:rPr>
          <w:spacing w:val="-2"/>
        </w:rPr>
        <w:t>助我们确定肿瘤的基因突变情况，并据此选择最有效的靶向药物。</w:t>
      </w:r>
    </w:p>
    <w:p>
      <w:pPr>
        <w:pStyle w:val="BodyText"/>
      </w:pPr>
    </w:p>
    <w:p>
      <w:pPr>
        <w:pStyle w:val="BodyText"/>
        <w:spacing w:before="8"/>
        <w:rPr>
          <w:sz w:val="20"/>
        </w:rPr>
      </w:pPr>
    </w:p>
    <w:p>
      <w:pPr>
        <w:pStyle w:val="BodyText"/>
        <w:spacing w:before="1" w:line="417" w:lineRule="auto"/>
        <w:ind w:left="120" w:right="378"/>
      </w:pPr>
      <w:r>
        <w:rPr>
          <w:spacing w:val="-2"/>
        </w:rPr>
        <w:t>综上所述，基因组学在个性化药物中的应用已经成为一种趋势。通过</w:t>
      </w:r>
      <w:r>
        <w:rPr>
          <w:spacing w:val="-2"/>
        </w:rPr>
        <w:t>基因组学技术，我们可以更好地理解患者对药物的反应，以及药物的</w:t>
      </w:r>
      <w:r>
        <w:rPr>
          <w:spacing w:val="-2"/>
        </w:rPr>
        <w:t>作用机制和副作用，并据此制定个性化的治疗方案。然而，基因组学</w:t>
      </w:r>
      <w:r>
        <w:rPr>
          <w:spacing w:val="-17"/>
        </w:rPr>
        <w:t>的应用也面临一些挑战，如隐私保护、伦理问题和技术标准等。因此，</w:t>
      </w:r>
      <w:r>
        <w:rPr>
          <w:spacing w:val="-8"/>
        </w:rPr>
        <w:t>我们需要继续研究和完善基因组学技术，并制定相应的政策和法规来</w:t>
      </w:r>
      <w:r>
        <w:rPr>
          <w:spacing w:val="-2"/>
        </w:rPr>
        <w:t>确保其安全、有效和公正的应用。</w:t>
      </w:r>
    </w:p>
    <w:p>
      <w:pPr>
        <w:pStyle w:val="BodyText"/>
      </w:pPr>
    </w:p>
    <w:p>
      <w:pPr>
        <w:pStyle w:val="Heading1"/>
        <w:tabs>
          <w:tab w:val="left" w:pos="1725"/>
        </w:tabs>
        <w:spacing w:before="236"/>
      </w:pPr>
      <w:bookmarkStart w:id="2" w:name="_TOC_250005"/>
      <w:r>
        <w:t>第</w:t>
      </w:r>
      <w:r>
        <w:t>三</w:t>
      </w:r>
      <w:r>
        <w:t>部</w:t>
      </w:r>
      <w:r>
        <w:rPr>
          <w:spacing w:val="-10"/>
        </w:rPr>
        <w:t>分</w:t>
      </w:r>
      <w:r>
        <w:tab/>
        <w:t>蛋</w:t>
      </w:r>
      <w:r>
        <w:t>白</w:t>
      </w:r>
      <w:r>
        <w:t>质</w:t>
      </w:r>
      <w:r>
        <w:t>组</w:t>
      </w:r>
      <w:r>
        <w:t>学</w:t>
      </w:r>
      <w:r>
        <w:t>与</w:t>
      </w:r>
      <w:r>
        <w:t>个</w:t>
      </w:r>
      <w:r>
        <w:t>性</w:t>
      </w:r>
      <w:r>
        <w:t>化</w:t>
      </w:r>
      <w:r>
        <w:t>药</w:t>
      </w:r>
      <w:r>
        <w:t>物</w:t>
      </w:r>
      <w:r>
        <w:t>关</w:t>
      </w:r>
      <w:bookmarkEnd w:id="2"/>
      <w:r>
        <w:rPr>
          <w:spacing w:val="-10"/>
        </w:rPr>
        <w:t>系</w:t>
      </w:r>
    </w:p>
    <w:p>
      <w:pPr>
        <w:pStyle w:val="BodyText"/>
        <w:spacing w:before="16"/>
        <w:rPr>
          <w:rFonts w:ascii="Microsoft JhengHei"/>
          <w:b/>
          <w:sz w:val="15"/>
        </w:r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ind w:right="0"/>
              <w:rPr>
                <w:sz w:val="21"/>
              </w:rPr>
            </w:pPr>
            <w:r>
              <w:rPr>
                <w:spacing w:val="-4"/>
                <w:sz w:val="21"/>
              </w:rPr>
              <w:t>关键词</w:t>
            </w:r>
          </w:p>
        </w:tc>
        <w:tc>
          <w:tcPr>
            <w:tcW w:w="5519" w:type="dxa"/>
          </w:tcPr>
          <w:p>
            <w:pPr>
              <w:pStyle w:val="TableParagraph"/>
              <w:spacing w:before="23"/>
              <w:ind w:right="0"/>
              <w:rPr>
                <w:sz w:val="21"/>
              </w:rPr>
            </w:pPr>
            <w:r>
              <w:rPr>
                <w:spacing w:val="-3"/>
                <w:sz w:val="21"/>
              </w:rPr>
              <w:t>关键要点</w:t>
            </w:r>
          </w:p>
        </w:tc>
      </w:tr>
    </w:tbl>
    <w:p>
      <w:pPr>
        <w:spacing w:after="0"/>
        <w:rPr>
          <w:sz w:val="21"/>
        </w:rPr>
        <w:sectPr>
          <w:footerReference w:type="default" r:id="rId13"/>
          <w:pgSz w:w="11910" w:h="16840"/>
          <w:pgMar w:top="1920" w:right="1280" w:bottom="1380" w:left="1680" w:header="0" w:footer="1198"/>
          <w:pgNumType w:start="9"/>
          <w:cols w:space="708"/>
        </w:sect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0"/>
          <w:jc w:val="left"/>
        </w:trPr>
        <w:tc>
          <w:tcPr>
            <w:tcW w:w="2777" w:type="dxa"/>
          </w:tcPr>
          <w:p>
            <w:pPr>
              <w:pStyle w:val="TableParagraph"/>
              <w:spacing w:before="23" w:line="278" w:lineRule="auto"/>
              <w:rPr>
                <w:sz w:val="21"/>
              </w:rPr>
            </w:pPr>
            <w:r>
              <w:rPr>
                <w:spacing w:val="-2"/>
                <w:sz w:val="21"/>
              </w:rPr>
              <w:t>【蛋白质组学在个性化药物</w:t>
            </w:r>
            <w:r>
              <w:rPr>
                <w:spacing w:val="-2"/>
                <w:sz w:val="21"/>
              </w:rPr>
              <w:t>中的应用】：</w:t>
            </w:r>
          </w:p>
        </w:tc>
        <w:tc>
          <w:tcPr>
            <w:tcW w:w="5519" w:type="dxa"/>
          </w:tcPr>
          <w:p>
            <w:pPr>
              <w:pStyle w:val="TableParagraph"/>
              <w:spacing w:before="4"/>
              <w:ind w:left="0" w:right="0"/>
              <w:rPr>
                <w:rFonts w:ascii="Microsoft JhengHei"/>
                <w:b/>
                <w:sz w:val="18"/>
              </w:rPr>
            </w:pPr>
          </w:p>
          <w:p>
            <w:pPr>
              <w:pStyle w:val="TableParagraph"/>
              <w:numPr>
                <w:ilvl w:val="0"/>
                <w:numId w:val="35"/>
              </w:numPr>
              <w:tabs>
                <w:tab w:val="left" w:pos="371"/>
              </w:tabs>
              <w:spacing w:before="0" w:after="0" w:line="278" w:lineRule="auto"/>
              <w:ind w:left="108" w:right="96" w:firstLine="0"/>
              <w:jc w:val="both"/>
              <w:rPr>
                <w:sz w:val="21"/>
              </w:rPr>
            </w:pPr>
            <w:r>
              <w:rPr>
                <w:spacing w:val="-2"/>
                <w:sz w:val="21"/>
              </w:rPr>
              <w:t>通过研究个体的蛋白质表达谱，可以更准确地了解疾病</w:t>
            </w:r>
            <w:r>
              <w:rPr>
                <w:spacing w:val="-2"/>
                <w:sz w:val="21"/>
              </w:rPr>
              <w:t>的发病机制和病程进展。</w:t>
            </w:r>
          </w:p>
          <w:p>
            <w:pPr>
              <w:pStyle w:val="TableParagraph"/>
              <w:numPr>
                <w:ilvl w:val="0"/>
                <w:numId w:val="35"/>
              </w:numPr>
              <w:tabs>
                <w:tab w:val="left" w:pos="371"/>
              </w:tabs>
              <w:spacing w:before="0" w:after="0" w:line="278" w:lineRule="auto"/>
              <w:ind w:left="108" w:right="96" w:firstLine="0"/>
              <w:jc w:val="both"/>
              <w:rPr>
                <w:sz w:val="21"/>
              </w:rPr>
            </w:pPr>
            <w:r>
              <w:rPr>
                <w:spacing w:val="-2"/>
                <w:sz w:val="21"/>
              </w:rPr>
              <w:t>蛋白质组学技术可以帮助医生识别出患者对特定药物的</w:t>
            </w:r>
            <w:r>
              <w:rPr>
                <w:spacing w:val="-2"/>
                <w:sz w:val="21"/>
              </w:rPr>
              <w:t>反应差异，从而实现个性化的药物选择和治疗方案制定。</w:t>
            </w:r>
          </w:p>
          <w:p>
            <w:pPr>
              <w:pStyle w:val="TableParagraph"/>
              <w:numPr>
                <w:ilvl w:val="0"/>
                <w:numId w:val="35"/>
              </w:numPr>
              <w:tabs>
                <w:tab w:val="left" w:pos="371"/>
              </w:tabs>
              <w:spacing w:before="0" w:after="0" w:line="278" w:lineRule="auto"/>
              <w:ind w:left="108" w:right="96" w:firstLine="0"/>
              <w:jc w:val="both"/>
              <w:rPr>
                <w:sz w:val="21"/>
              </w:rPr>
            </w:pPr>
            <w:r>
              <w:rPr>
                <w:spacing w:val="-2"/>
                <w:sz w:val="21"/>
              </w:rPr>
              <w:t>在新药研发过程中，蛋白质组学可以提供关于药物作用</w:t>
            </w:r>
            <w:r>
              <w:rPr>
                <w:spacing w:val="-2"/>
                <w:sz w:val="21"/>
              </w:rPr>
              <w:t>机制和潜在副作用的信息，有助于优化药物设计和临床试</w:t>
            </w:r>
            <w:r>
              <w:rPr>
                <w:spacing w:val="-6"/>
                <w:sz w:val="21"/>
              </w:rPr>
              <w:t>验。</w:t>
            </w:r>
          </w:p>
          <w:p>
            <w:pPr>
              <w:pStyle w:val="TableParagraph"/>
              <w:spacing w:line="269" w:lineRule="exact"/>
              <w:ind w:right="0"/>
              <w:rPr>
                <w:sz w:val="21"/>
              </w:rPr>
            </w:pPr>
            <w:r>
              <w:rPr>
                <w:spacing w:val="-1"/>
                <w:sz w:val="21"/>
              </w:rPr>
              <w:t>【蛋白质组学与基因型的相关性】：</w:t>
            </w:r>
          </w:p>
        </w:tc>
      </w:tr>
    </w:tbl>
    <w:p>
      <w:pPr>
        <w:pStyle w:val="BodyText"/>
        <w:spacing w:before="4"/>
        <w:rPr>
          <w:rFonts w:ascii="Microsoft JhengHei"/>
          <w:b/>
          <w:sz w:val="5"/>
        </w:rPr>
      </w:pPr>
    </w:p>
    <w:p>
      <w:pPr>
        <w:pStyle w:val="BodyText"/>
        <w:spacing w:before="61"/>
        <w:ind w:left="680"/>
      </w:pPr>
      <w:r>
        <w:rPr>
          <w:spacing w:val="-1"/>
        </w:rPr>
        <w:t>个性化药物治疗策略的研究进展</w:t>
      </w:r>
    </w:p>
    <w:p>
      <w:pPr>
        <w:pStyle w:val="BodyText"/>
      </w:pPr>
    </w:p>
    <w:p>
      <w:pPr>
        <w:pStyle w:val="BodyText"/>
        <w:spacing w:before="5"/>
        <w:rPr>
          <w:sz w:val="41"/>
        </w:rPr>
      </w:pPr>
    </w:p>
    <w:p>
      <w:pPr>
        <w:pStyle w:val="BodyText"/>
        <w:spacing w:line="417" w:lineRule="auto"/>
        <w:ind w:left="120" w:right="518"/>
        <w:jc w:val="both"/>
      </w:pPr>
      <w:r>
        <w:rPr>
          <w:spacing w:val="-4"/>
        </w:rPr>
        <w:t>随着现代医学的发展，人们对疾病的认识越来越深入，对疾病的治疗</w:t>
      </w:r>
      <w:r>
        <w:rPr>
          <w:spacing w:val="-4"/>
        </w:rPr>
        <w:t>方法也越来越多样化。在这一过程中，个性化药物治疗策略逐渐受到</w:t>
      </w:r>
      <w:r>
        <w:rPr>
          <w:spacing w:val="-4"/>
        </w:rPr>
        <w:t>重视。个性化药物治疗是指根据患者的具体情况，制定针对性的治疗</w:t>
      </w:r>
      <w:r>
        <w:rPr>
          <w:spacing w:val="-2"/>
        </w:rPr>
        <w:t>方案，以期获得最佳的治疗效果和最低的副作用。</w:t>
      </w:r>
    </w:p>
    <w:p>
      <w:pPr>
        <w:pStyle w:val="BodyText"/>
      </w:pPr>
    </w:p>
    <w:p>
      <w:pPr>
        <w:pStyle w:val="BodyText"/>
        <w:spacing w:before="8"/>
        <w:rPr>
          <w:sz w:val="20"/>
        </w:rPr>
      </w:pPr>
    </w:p>
    <w:p>
      <w:pPr>
        <w:pStyle w:val="BodyText"/>
        <w:spacing w:line="417" w:lineRule="auto"/>
        <w:ind w:left="120" w:right="518"/>
        <w:jc w:val="both"/>
      </w:pPr>
      <w:r>
        <w:rPr>
          <w:spacing w:val="-7"/>
        </w:rPr>
        <w:t>蛋白质组学是研究一个生物体内所有蛋白质种类、表达水平及其相互</w:t>
      </w:r>
      <w:r>
        <w:rPr>
          <w:spacing w:val="-4"/>
        </w:rPr>
        <w:t>作用的学科。由于蛋白质是生命活动的主要执行者，因此蛋白质组学</w:t>
      </w:r>
      <w:r>
        <w:rPr>
          <w:spacing w:val="-11"/>
        </w:rPr>
        <w:t>为揭示疾病的发病机制、寻找新的治疗靶点以及开发新的药物提供了</w:t>
      </w:r>
      <w:r>
        <w:rPr>
          <w:spacing w:val="-4"/>
        </w:rPr>
        <w:t>重要的依据。近年来，蛋白质组学技术已经在多个领域得到了广泛的</w:t>
      </w:r>
      <w:r>
        <w:rPr>
          <w:spacing w:val="-2"/>
        </w:rPr>
        <w:t>应用，其中就包括个性化药物治疗。</w:t>
      </w:r>
    </w:p>
    <w:p>
      <w:pPr>
        <w:pStyle w:val="BodyText"/>
      </w:pPr>
    </w:p>
    <w:p>
      <w:pPr>
        <w:pStyle w:val="BodyText"/>
        <w:spacing w:before="8"/>
        <w:rPr>
          <w:sz w:val="20"/>
        </w:rPr>
      </w:pPr>
    </w:p>
    <w:p>
      <w:pPr>
        <w:pStyle w:val="BodyText"/>
        <w:ind w:left="120"/>
        <w:jc w:val="both"/>
      </w:pPr>
      <w:r>
        <w:rPr>
          <w:spacing w:val="-1"/>
        </w:rPr>
        <w:t>一、 蛋白质组学与个性化药物的关系</w:t>
      </w:r>
    </w:p>
    <w:p>
      <w:pPr>
        <w:pStyle w:val="BodyText"/>
      </w:pPr>
    </w:p>
    <w:p>
      <w:pPr>
        <w:pStyle w:val="BodyText"/>
        <w:spacing w:before="5"/>
        <w:rPr>
          <w:sz w:val="41"/>
        </w:rPr>
      </w:pPr>
    </w:p>
    <w:p>
      <w:pPr>
        <w:pStyle w:val="ListParagraph"/>
        <w:numPr>
          <w:ilvl w:val="0"/>
          <w:numId w:val="34"/>
        </w:numPr>
        <w:tabs>
          <w:tab w:val="left" w:pos="540"/>
        </w:tabs>
        <w:spacing w:before="0" w:after="0" w:line="240" w:lineRule="auto"/>
        <w:ind w:left="540" w:right="0" w:hanging="420"/>
        <w:jc w:val="left"/>
        <w:rPr>
          <w:sz w:val="28"/>
        </w:rPr>
      </w:pPr>
      <w:r>
        <w:rPr>
          <w:spacing w:val="-1"/>
          <w:sz w:val="28"/>
        </w:rPr>
        <w:t>个性化药物治疗的分子基础</w:t>
      </w:r>
    </w:p>
    <w:p>
      <w:pPr>
        <w:spacing w:after="0" w:line="240" w:lineRule="auto"/>
        <w:jc w:val="left"/>
        <w:rPr>
          <w:sz w:val="28"/>
        </w:rPr>
        <w:sectPr>
          <w:footerReference w:type="default" r:id="rId14"/>
          <w:type w:val="continuous"/>
          <w:pgSz w:w="11910" w:h="16840"/>
          <w:pgMar w:top="1400" w:right="1280" w:bottom="1380" w:left="1680" w:header="0" w:footer="1198"/>
          <w:pgNumType w:start="10"/>
          <w:cols w:space="708"/>
        </w:sectPr>
      </w:pPr>
    </w:p>
    <w:p>
      <w:pPr>
        <w:pStyle w:val="BodyText"/>
        <w:spacing w:before="37" w:line="417" w:lineRule="auto"/>
        <w:ind w:left="120" w:right="285"/>
      </w:pPr>
      <w:r>
        <w:rPr>
          <w:spacing w:val="-4"/>
        </w:rPr>
        <w:t>个性化药物治疗的核心是针对患者的个体差异进行治疗。这种差异主</w:t>
      </w:r>
      <w:r>
        <w:rPr>
          <w:spacing w:val="-11"/>
        </w:rPr>
        <w:t>要体现在基因、蛋白质和代谢产物等多个层面上。蛋白质作为基因表</w:t>
      </w:r>
      <w:r>
        <w:rPr>
          <w:spacing w:val="-14"/>
        </w:rPr>
        <w:t>达的直接产物，其表达量、活性、互作等特性直接影响着细胞的功能</w:t>
      </w:r>
      <w:r>
        <w:rPr>
          <w:spacing w:val="-16"/>
        </w:rPr>
        <w:t>和生理状态。通过蛋白质组学技术可以系统地分析蛋白质的表达变化，</w:t>
      </w:r>
      <w:r>
        <w:rPr>
          <w:spacing w:val="-5"/>
        </w:rPr>
        <w:t>从而揭示疾病的发生发展过程中的关键蛋白，进而为药物设计提供依据。</w:t>
      </w:r>
    </w:p>
    <w:p>
      <w:pPr>
        <w:pStyle w:val="BodyText"/>
      </w:pPr>
    </w:p>
    <w:p>
      <w:pPr>
        <w:pStyle w:val="BodyText"/>
        <w:spacing w:before="7"/>
        <w:rPr>
          <w:sz w:val="20"/>
        </w:rPr>
      </w:pPr>
    </w:p>
    <w:p>
      <w:pPr>
        <w:pStyle w:val="ListParagraph"/>
        <w:numPr>
          <w:ilvl w:val="0"/>
          <w:numId w:val="34"/>
        </w:numPr>
        <w:tabs>
          <w:tab w:val="left" w:pos="540"/>
        </w:tabs>
        <w:spacing w:before="0" w:after="0" w:line="240" w:lineRule="auto"/>
        <w:ind w:left="540" w:right="0" w:hanging="420"/>
        <w:jc w:val="left"/>
        <w:rPr>
          <w:sz w:val="28"/>
        </w:rPr>
      </w:pPr>
      <w:r>
        <w:rPr>
          <w:spacing w:val="-1"/>
          <w:sz w:val="28"/>
        </w:rPr>
        <w:t>蛋白质组学在药物筛选和评价中的应用</w:t>
      </w:r>
    </w:p>
    <w:p>
      <w:pPr>
        <w:pStyle w:val="BodyText"/>
      </w:pPr>
    </w:p>
    <w:p>
      <w:pPr>
        <w:pStyle w:val="BodyText"/>
        <w:spacing w:before="5"/>
        <w:rPr>
          <w:sz w:val="41"/>
        </w:rPr>
      </w:pPr>
    </w:p>
    <w:p>
      <w:pPr>
        <w:pStyle w:val="BodyText"/>
        <w:spacing w:line="417" w:lineRule="auto"/>
        <w:ind w:left="120" w:right="518"/>
        <w:jc w:val="both"/>
      </w:pPr>
      <w:r>
        <w:rPr>
          <w:spacing w:val="-6"/>
        </w:rPr>
        <w:t>传统的药物筛选方法主要依赖于体外实验和动物模型，这些方法往往</w:t>
      </w:r>
      <w:r>
        <w:rPr>
          <w:spacing w:val="-4"/>
        </w:rPr>
        <w:t>存在耗时长、成本高、成功率低等问题。而蛋白质组学技术可以从全</w:t>
      </w:r>
      <w:r>
        <w:rPr>
          <w:spacing w:val="-4"/>
        </w:rPr>
        <w:t>局的角度出发，快速地鉴定出大量的药物作用靶点，并且能够预测药</w:t>
      </w:r>
      <w:r>
        <w:rPr>
          <w:spacing w:val="-4"/>
        </w:rPr>
        <w:t>物的作用机制和毒性效应。此外，蛋白质组学还可以用于药物疗效的</w:t>
      </w:r>
      <w:r>
        <w:rPr>
          <w:spacing w:val="-4"/>
        </w:rPr>
        <w:t>评价，通过对治疗前后的蛋白质表达变化进行比较，可以评估药物的</w:t>
      </w:r>
      <w:r>
        <w:rPr>
          <w:spacing w:val="-2"/>
        </w:rPr>
        <w:t>治疗效果和潜在的不良反应。</w:t>
      </w:r>
    </w:p>
    <w:p>
      <w:pPr>
        <w:pStyle w:val="BodyText"/>
      </w:pPr>
    </w:p>
    <w:p>
      <w:pPr>
        <w:pStyle w:val="BodyText"/>
        <w:spacing w:before="8"/>
        <w:rPr>
          <w:sz w:val="20"/>
        </w:rPr>
      </w:pPr>
    </w:p>
    <w:p>
      <w:pPr>
        <w:pStyle w:val="ListParagraph"/>
        <w:numPr>
          <w:ilvl w:val="0"/>
          <w:numId w:val="34"/>
        </w:numPr>
        <w:tabs>
          <w:tab w:val="left" w:pos="540"/>
        </w:tabs>
        <w:spacing w:before="0" w:after="0" w:line="240" w:lineRule="auto"/>
        <w:ind w:left="540" w:right="0" w:hanging="420"/>
        <w:jc w:val="left"/>
        <w:rPr>
          <w:sz w:val="28"/>
        </w:rPr>
      </w:pPr>
      <w:r>
        <w:rPr>
          <w:spacing w:val="-1"/>
          <w:sz w:val="28"/>
        </w:rPr>
        <w:t>蛋白质组学在药物毒性和副作用研究中的应用</w:t>
      </w:r>
    </w:p>
    <w:p>
      <w:pPr>
        <w:pStyle w:val="BodyText"/>
      </w:pPr>
    </w:p>
    <w:p>
      <w:pPr>
        <w:pStyle w:val="BodyText"/>
        <w:spacing w:before="5"/>
        <w:rPr>
          <w:sz w:val="41"/>
        </w:rPr>
      </w:pPr>
    </w:p>
    <w:p>
      <w:pPr>
        <w:pStyle w:val="BodyText"/>
        <w:spacing w:line="417" w:lineRule="auto"/>
        <w:ind w:left="120" w:right="518"/>
        <w:jc w:val="both"/>
      </w:pPr>
      <w:r>
        <w:rPr>
          <w:spacing w:val="-6"/>
        </w:rPr>
        <w:t>药物的毒性和副作用是影响个性化药物治疗的重要因素。传统的毒性</w:t>
      </w:r>
      <w:r>
        <w:rPr>
          <w:spacing w:val="-7"/>
        </w:rPr>
        <w:t>测试方法通常只能检测到单一的毒性指标，无法全面评估药物的安全</w:t>
      </w:r>
      <w:r>
        <w:rPr>
          <w:spacing w:val="-13"/>
        </w:rPr>
        <w:t>性。而蛋白质组学可以通过大规模地检测和分析药物引起的蛋白质表</w:t>
      </w:r>
      <w:r>
        <w:rPr>
          <w:spacing w:val="-5"/>
        </w:rPr>
        <w:t>达变化，揭示药物毒性的发生机制和潜在的保护因子，从而有助于减</w:t>
      </w:r>
    </w:p>
    <w:p>
      <w:pPr>
        <w:spacing w:after="0" w:line="417" w:lineRule="auto"/>
        <w:jc w:val="both"/>
        <w:sectPr>
          <w:footerReference w:type="default" r:id="rId15"/>
          <w:pgSz w:w="11910" w:h="16840"/>
          <w:pgMar w:top="1520" w:right="1280" w:bottom="1380" w:left="1680" w:header="0" w:footer="1198"/>
          <w:pgNumType w:start="11"/>
          <w:cols w:space="708"/>
        </w:sectPr>
      </w:pPr>
    </w:p>
    <w:p>
      <w:pPr>
        <w:pStyle w:val="BodyText"/>
        <w:spacing w:before="37"/>
        <w:ind w:left="120"/>
      </w:pPr>
      <w:r>
        <w:rPr>
          <w:spacing w:val="-1"/>
        </w:rPr>
        <w:t>少药物的副作用和提高药物的安全性。</w:t>
      </w:r>
    </w:p>
    <w:p>
      <w:pPr>
        <w:pStyle w:val="BodyText"/>
      </w:pPr>
    </w:p>
    <w:p>
      <w:pPr>
        <w:pStyle w:val="BodyText"/>
        <w:spacing w:before="5"/>
        <w:rPr>
          <w:sz w:val="41"/>
        </w:rPr>
      </w:pPr>
    </w:p>
    <w:p>
      <w:pPr>
        <w:pStyle w:val="BodyText"/>
        <w:ind w:left="120"/>
      </w:pPr>
      <w:r>
        <w:rPr>
          <w:spacing w:val="-2"/>
        </w:rPr>
        <w:t>二、 蛋白</w:t>
      </w:r>
    </w:p>
    <w:p>
      <w:pPr>
        <w:pStyle w:val="BodyText"/>
      </w:pPr>
    </w:p>
    <w:p>
      <w:pPr>
        <w:pStyle w:val="BodyText"/>
        <w:spacing w:before="3"/>
        <w:rPr>
          <w:sz w:val="39"/>
        </w:rPr>
      </w:pPr>
    </w:p>
    <w:p>
      <w:pPr>
        <w:pStyle w:val="Heading1"/>
        <w:tabs>
          <w:tab w:val="left" w:pos="1725"/>
        </w:tabs>
        <w:spacing w:before="1"/>
      </w:pPr>
      <w:bookmarkStart w:id="3" w:name="_TOC_250004"/>
      <w:r>
        <w:t>第</w:t>
      </w:r>
      <w:r>
        <w:t>四</w:t>
      </w:r>
      <w:r>
        <w:t>部</w:t>
      </w:r>
      <w:r>
        <w:rPr>
          <w:spacing w:val="-10"/>
        </w:rPr>
        <w:t>分</w:t>
      </w:r>
      <w:r>
        <w:tab/>
        <w:t>代</w:t>
      </w:r>
      <w:r>
        <w:t>谢</w:t>
      </w:r>
      <w:r>
        <w:t>组</w:t>
      </w:r>
      <w:r>
        <w:t>学</w:t>
      </w:r>
      <w:r>
        <w:t>对</w:t>
      </w:r>
      <w:r>
        <w:t>个</w:t>
      </w:r>
      <w:r>
        <w:t>性</w:t>
      </w:r>
      <w:r>
        <w:t>化</w:t>
      </w:r>
      <w:r>
        <w:t>药</w:t>
      </w:r>
      <w:r>
        <w:t>物</w:t>
      </w:r>
      <w:r>
        <w:t>的</w:t>
      </w:r>
      <w:r>
        <w:t>影</w:t>
      </w:r>
      <w:bookmarkEnd w:id="3"/>
      <w:r>
        <w:rPr>
          <w:spacing w:val="-10"/>
        </w:rPr>
        <w:t>响</w:t>
      </w:r>
    </w:p>
    <w:p>
      <w:pPr>
        <w:pStyle w:val="BodyText"/>
        <w:spacing w:before="15"/>
        <w:rPr>
          <w:rFonts w:ascii="Microsoft JhengHei"/>
          <w:b/>
          <w:sz w:val="15"/>
        </w:rPr>
      </w:pPr>
    </w:p>
    <w:tbl>
      <w:tblPr>
        <w:tblStyle w:val="TableNormal7"/>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right="0"/>
              <w:rPr>
                <w:sz w:val="21"/>
              </w:rPr>
            </w:pPr>
            <w:r>
              <w:rPr>
                <w:spacing w:val="-4"/>
                <w:sz w:val="21"/>
              </w:rPr>
              <w:t>关键词</w:t>
            </w:r>
          </w:p>
        </w:tc>
        <w:tc>
          <w:tcPr>
            <w:tcW w:w="5527" w:type="dxa"/>
          </w:tcPr>
          <w:p>
            <w:pPr>
              <w:pStyle w:val="TableParagraph"/>
              <w:spacing w:before="23"/>
              <w:ind w:left="107"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line="278" w:lineRule="auto"/>
              <w:rPr>
                <w:sz w:val="21"/>
              </w:rPr>
            </w:pPr>
            <w:r>
              <w:rPr>
                <w:spacing w:val="-2"/>
                <w:sz w:val="21"/>
              </w:rPr>
              <w:t>代谢组学在药物反应预测中</w:t>
            </w:r>
            <w:r>
              <w:rPr>
                <w:spacing w:val="-4"/>
                <w:sz w:val="21"/>
              </w:rPr>
              <w:t>的应用</w:t>
            </w:r>
          </w:p>
        </w:tc>
        <w:tc>
          <w:tcPr>
            <w:tcW w:w="5527" w:type="dxa"/>
          </w:tcPr>
          <w:p>
            <w:pPr>
              <w:pStyle w:val="TableParagraph"/>
              <w:spacing w:before="4"/>
              <w:ind w:left="0" w:right="0"/>
              <w:rPr>
                <w:rFonts w:ascii="Microsoft JhengHei"/>
                <w:b/>
                <w:sz w:val="18"/>
              </w:rPr>
            </w:pPr>
          </w:p>
          <w:p>
            <w:pPr>
              <w:pStyle w:val="TableParagraph"/>
              <w:numPr>
                <w:ilvl w:val="0"/>
                <w:numId w:val="33"/>
              </w:numPr>
              <w:tabs>
                <w:tab w:val="left" w:pos="371"/>
              </w:tabs>
              <w:spacing w:before="0" w:after="0" w:line="278" w:lineRule="auto"/>
              <w:ind w:left="107" w:right="96" w:firstLine="0"/>
              <w:jc w:val="left"/>
              <w:rPr>
                <w:sz w:val="21"/>
              </w:rPr>
            </w:pPr>
            <w:r>
              <w:rPr>
                <w:spacing w:val="-2"/>
                <w:sz w:val="21"/>
              </w:rPr>
              <w:t>通过分析个体的代谢物谱，代谢组学可以揭示患者对特</w:t>
            </w:r>
            <w:r>
              <w:rPr>
                <w:spacing w:val="-2"/>
                <w:sz w:val="21"/>
              </w:rPr>
              <w:t>定药物的反应差异。</w:t>
            </w:r>
          </w:p>
          <w:p>
            <w:pPr>
              <w:pStyle w:val="TableParagraph"/>
              <w:numPr>
                <w:ilvl w:val="0"/>
                <w:numId w:val="33"/>
              </w:numPr>
              <w:tabs>
                <w:tab w:val="left" w:pos="371"/>
              </w:tabs>
              <w:spacing w:before="0" w:after="0" w:line="278" w:lineRule="auto"/>
              <w:ind w:left="107" w:right="96" w:firstLine="0"/>
              <w:jc w:val="left"/>
              <w:rPr>
                <w:sz w:val="21"/>
              </w:rPr>
            </w:pPr>
            <w:r>
              <w:rPr>
                <w:spacing w:val="-2"/>
                <w:sz w:val="21"/>
              </w:rPr>
              <w:t>利用代谢组学技术，科学家已经成功地预测了多种药物</w:t>
            </w:r>
            <w:r>
              <w:rPr>
                <w:spacing w:val="-2"/>
                <w:sz w:val="21"/>
              </w:rPr>
              <w:t>的治疗效果和副作用，包括抗抑郁药、抗癌药等。</w:t>
            </w:r>
          </w:p>
          <w:p>
            <w:pPr>
              <w:pStyle w:val="TableParagraph"/>
              <w:numPr>
                <w:ilvl w:val="0"/>
                <w:numId w:val="33"/>
              </w:numPr>
              <w:tabs>
                <w:tab w:val="left" w:pos="371"/>
              </w:tabs>
              <w:spacing w:before="0" w:after="0" w:line="278" w:lineRule="auto"/>
              <w:ind w:left="107" w:right="96" w:firstLine="0"/>
              <w:jc w:val="left"/>
              <w:rPr>
                <w:sz w:val="21"/>
              </w:rPr>
            </w:pPr>
            <w:r>
              <w:rPr>
                <w:spacing w:val="-2"/>
                <w:sz w:val="21"/>
              </w:rPr>
              <w:t>随着技术的进步和数据的积累，代谢组学在药物反应预</w:t>
            </w:r>
            <w:r>
              <w:rPr>
                <w:spacing w:val="-2"/>
                <w:sz w:val="21"/>
              </w:rPr>
              <w:t>测方面的应用将更加广泛。</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line="278" w:lineRule="auto"/>
              <w:rPr>
                <w:sz w:val="21"/>
              </w:rPr>
            </w:pPr>
            <w:r>
              <w:rPr>
                <w:spacing w:val="-2"/>
                <w:sz w:val="21"/>
              </w:rPr>
              <w:t>代谢组学与药物毒性的关联</w:t>
            </w:r>
            <w:r>
              <w:rPr>
                <w:spacing w:val="-6"/>
                <w:sz w:val="21"/>
              </w:rPr>
              <w:t>研究</w:t>
            </w:r>
          </w:p>
        </w:tc>
        <w:tc>
          <w:tcPr>
            <w:tcW w:w="5527" w:type="dxa"/>
          </w:tcPr>
          <w:p>
            <w:pPr>
              <w:pStyle w:val="TableParagraph"/>
              <w:spacing w:before="4"/>
              <w:ind w:left="0" w:right="0"/>
              <w:rPr>
                <w:rFonts w:ascii="Microsoft JhengHei"/>
                <w:b/>
                <w:sz w:val="18"/>
              </w:rPr>
            </w:pPr>
          </w:p>
          <w:p>
            <w:pPr>
              <w:pStyle w:val="TableParagraph"/>
              <w:numPr>
                <w:ilvl w:val="0"/>
                <w:numId w:val="32"/>
              </w:numPr>
              <w:tabs>
                <w:tab w:val="left" w:pos="371"/>
              </w:tabs>
              <w:spacing w:before="0" w:after="0" w:line="278" w:lineRule="auto"/>
              <w:ind w:left="107" w:right="96" w:firstLine="0"/>
              <w:jc w:val="left"/>
              <w:rPr>
                <w:sz w:val="21"/>
              </w:rPr>
            </w:pPr>
            <w:r>
              <w:rPr>
                <w:spacing w:val="-2"/>
                <w:sz w:val="21"/>
              </w:rPr>
              <w:t>代谢组学可以揭示药物毒性产生的机制，有助于发现新</w:t>
            </w:r>
            <w:r>
              <w:rPr>
                <w:spacing w:val="-2"/>
                <w:sz w:val="21"/>
              </w:rPr>
              <w:t>的药物副作用并优化药物设计。</w:t>
            </w:r>
          </w:p>
          <w:p>
            <w:pPr>
              <w:pStyle w:val="TableParagraph"/>
              <w:numPr>
                <w:ilvl w:val="0"/>
                <w:numId w:val="32"/>
              </w:numPr>
              <w:tabs>
                <w:tab w:val="left" w:pos="371"/>
              </w:tabs>
              <w:spacing w:before="0" w:after="0" w:line="278" w:lineRule="auto"/>
              <w:ind w:left="107" w:right="96" w:firstLine="0"/>
              <w:jc w:val="left"/>
              <w:rPr>
                <w:sz w:val="21"/>
              </w:rPr>
            </w:pPr>
            <w:r>
              <w:rPr>
                <w:spacing w:val="-2"/>
                <w:sz w:val="21"/>
              </w:rPr>
              <w:t>通过对不同药物诱导的代谢变化进行比较，可以了解不</w:t>
            </w:r>
            <w:r>
              <w:rPr>
                <w:spacing w:val="-2"/>
                <w:sz w:val="21"/>
              </w:rPr>
              <w:t>同药物对代谢网络的影响程度和方式。</w:t>
            </w:r>
          </w:p>
          <w:p>
            <w:pPr>
              <w:pStyle w:val="TableParagraph"/>
              <w:numPr>
                <w:ilvl w:val="0"/>
                <w:numId w:val="32"/>
              </w:numPr>
              <w:tabs>
                <w:tab w:val="left" w:pos="371"/>
              </w:tabs>
              <w:spacing w:before="0" w:after="0" w:line="278" w:lineRule="auto"/>
              <w:ind w:left="107" w:right="96" w:firstLine="0"/>
              <w:jc w:val="left"/>
              <w:rPr>
                <w:sz w:val="21"/>
              </w:rPr>
            </w:pPr>
            <w:r>
              <w:rPr>
                <w:spacing w:val="-2"/>
                <w:sz w:val="21"/>
              </w:rPr>
              <w:t>代谢组学的数据可以帮助研究人员更好地理解药物的毒</w:t>
            </w:r>
            <w:r>
              <w:rPr>
                <w:spacing w:val="-2"/>
                <w:sz w:val="21"/>
              </w:rPr>
              <w:t>性和安全性，并为临床用药提供重要参考。</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line="278" w:lineRule="auto"/>
              <w:rPr>
                <w:sz w:val="21"/>
              </w:rPr>
            </w:pPr>
            <w:r>
              <w:rPr>
                <w:spacing w:val="-2"/>
                <w:sz w:val="21"/>
              </w:rPr>
              <w:t>基于代谢组学的个性化药物</w:t>
            </w:r>
            <w:r>
              <w:rPr>
                <w:spacing w:val="-6"/>
                <w:sz w:val="21"/>
              </w:rPr>
              <w:t>筛选</w:t>
            </w:r>
          </w:p>
        </w:tc>
        <w:tc>
          <w:tcPr>
            <w:tcW w:w="5527" w:type="dxa"/>
          </w:tcPr>
          <w:p>
            <w:pPr>
              <w:pStyle w:val="TableParagraph"/>
              <w:spacing w:before="4"/>
              <w:ind w:left="0" w:right="0"/>
              <w:rPr>
                <w:rFonts w:ascii="Microsoft JhengHei"/>
                <w:b/>
                <w:sz w:val="18"/>
              </w:rPr>
            </w:pPr>
          </w:p>
          <w:p>
            <w:pPr>
              <w:pStyle w:val="TableParagraph"/>
              <w:numPr>
                <w:ilvl w:val="0"/>
                <w:numId w:val="31"/>
              </w:numPr>
              <w:tabs>
                <w:tab w:val="left" w:pos="371"/>
              </w:tabs>
              <w:spacing w:before="0" w:after="0" w:line="278" w:lineRule="auto"/>
              <w:ind w:left="107" w:right="96" w:firstLine="0"/>
              <w:jc w:val="left"/>
              <w:rPr>
                <w:sz w:val="21"/>
              </w:rPr>
            </w:pPr>
            <w:r>
              <w:rPr>
                <w:spacing w:val="-2"/>
                <w:sz w:val="21"/>
              </w:rPr>
              <w:t>代谢组学可以揭示个体间的代谢差异，从而帮助筛选出</w:t>
            </w:r>
            <w:r>
              <w:rPr>
                <w:spacing w:val="-2"/>
                <w:sz w:val="21"/>
              </w:rPr>
              <w:t>针对特定患者的个性化药物。</w:t>
            </w:r>
          </w:p>
          <w:p>
            <w:pPr>
              <w:pStyle w:val="TableParagraph"/>
              <w:numPr>
                <w:ilvl w:val="0"/>
                <w:numId w:val="31"/>
              </w:numPr>
              <w:tabs>
                <w:tab w:val="left" w:pos="371"/>
              </w:tabs>
              <w:spacing w:before="0" w:after="0" w:line="278" w:lineRule="auto"/>
              <w:ind w:left="107" w:right="96" w:firstLine="0"/>
              <w:jc w:val="left"/>
              <w:rPr>
                <w:sz w:val="21"/>
              </w:rPr>
            </w:pPr>
            <w:r>
              <w:rPr>
                <w:spacing w:val="-2"/>
                <w:sz w:val="21"/>
              </w:rPr>
              <w:t>利用代谢组学数据，可以建立模型预测患者对药物的反</w:t>
            </w:r>
            <w:r>
              <w:rPr>
                <w:spacing w:val="-2"/>
                <w:sz w:val="21"/>
              </w:rPr>
              <w:t>应，以提高药物治疗的成功率。</w:t>
            </w:r>
          </w:p>
          <w:p>
            <w:pPr>
              <w:pStyle w:val="TableParagraph"/>
              <w:numPr>
                <w:ilvl w:val="0"/>
                <w:numId w:val="31"/>
              </w:numPr>
              <w:tabs>
                <w:tab w:val="left" w:pos="371"/>
              </w:tabs>
              <w:spacing w:before="0" w:after="0" w:line="278" w:lineRule="auto"/>
              <w:ind w:left="107" w:right="96" w:firstLine="0"/>
              <w:jc w:val="left"/>
              <w:rPr>
                <w:sz w:val="21"/>
              </w:rPr>
            </w:pPr>
            <w:r>
              <w:rPr>
                <w:spacing w:val="-2"/>
                <w:sz w:val="21"/>
              </w:rPr>
              <w:t>基于代谢组学的个性化药物筛选有望减少无效治疗和不</w:t>
            </w:r>
            <w:r>
              <w:rPr>
                <w:spacing w:val="-2"/>
                <w:sz w:val="21"/>
              </w:rPr>
              <w:t>良反应，改善患者的预后。</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line="278" w:lineRule="auto"/>
              <w:rPr>
                <w:sz w:val="21"/>
              </w:rPr>
            </w:pPr>
            <w:r>
              <w:rPr>
                <w:spacing w:val="-2"/>
                <w:sz w:val="21"/>
              </w:rPr>
              <w:t>代谢组学与药物代谢酶的关</w:t>
            </w:r>
            <w:r>
              <w:rPr>
                <w:spacing w:val="-4"/>
                <w:sz w:val="21"/>
              </w:rPr>
              <w:t>系研究</w:t>
            </w:r>
          </w:p>
        </w:tc>
        <w:tc>
          <w:tcPr>
            <w:tcW w:w="5527" w:type="dxa"/>
          </w:tcPr>
          <w:p>
            <w:pPr>
              <w:pStyle w:val="TableParagraph"/>
              <w:spacing w:before="4"/>
              <w:ind w:left="0" w:right="0"/>
              <w:rPr>
                <w:rFonts w:ascii="Microsoft JhengHei"/>
                <w:b/>
                <w:sz w:val="18"/>
              </w:rPr>
            </w:pPr>
          </w:p>
          <w:p>
            <w:pPr>
              <w:pStyle w:val="TableParagraph"/>
              <w:numPr>
                <w:ilvl w:val="0"/>
                <w:numId w:val="30"/>
              </w:numPr>
              <w:tabs>
                <w:tab w:val="left" w:pos="371"/>
              </w:tabs>
              <w:spacing w:before="0" w:after="0" w:line="278" w:lineRule="auto"/>
              <w:ind w:left="107" w:right="96" w:firstLine="0"/>
              <w:jc w:val="left"/>
              <w:rPr>
                <w:sz w:val="21"/>
              </w:rPr>
            </w:pPr>
            <w:r>
              <w:rPr>
                <w:spacing w:val="-2"/>
                <w:sz w:val="21"/>
              </w:rPr>
              <w:t>代谢组学可以帮助研究药物代谢酶的活性变化，从而更</w:t>
            </w:r>
            <w:r>
              <w:rPr>
                <w:spacing w:val="-2"/>
                <w:sz w:val="21"/>
              </w:rPr>
              <w:t>好地理解药物的代谢过程。</w:t>
            </w:r>
          </w:p>
          <w:p>
            <w:pPr>
              <w:pStyle w:val="TableParagraph"/>
              <w:numPr>
                <w:ilvl w:val="0"/>
                <w:numId w:val="30"/>
              </w:numPr>
              <w:tabs>
                <w:tab w:val="left" w:pos="371"/>
              </w:tabs>
              <w:spacing w:before="0" w:after="0" w:line="278" w:lineRule="auto"/>
              <w:ind w:left="107" w:right="96" w:firstLine="0"/>
              <w:jc w:val="left"/>
              <w:rPr>
                <w:sz w:val="21"/>
              </w:rPr>
            </w:pPr>
            <w:r>
              <w:rPr>
                <w:spacing w:val="-2"/>
                <w:sz w:val="21"/>
              </w:rPr>
              <w:t>通过分析药物代谢酶相关的代谢物谱，可以揭示药物代</w:t>
            </w:r>
            <w:r>
              <w:rPr>
                <w:spacing w:val="-2"/>
                <w:sz w:val="21"/>
              </w:rPr>
              <w:t>谢酶在疾病发生和发展中的作用。</w:t>
            </w:r>
          </w:p>
          <w:p>
            <w:pPr>
              <w:pStyle w:val="TableParagraph"/>
              <w:numPr>
                <w:ilvl w:val="0"/>
                <w:numId w:val="30"/>
              </w:numPr>
              <w:tabs>
                <w:tab w:val="left" w:pos="371"/>
              </w:tabs>
              <w:spacing w:before="0" w:after="0" w:line="278" w:lineRule="auto"/>
              <w:ind w:left="107" w:right="96" w:firstLine="0"/>
              <w:jc w:val="left"/>
              <w:rPr>
                <w:sz w:val="21"/>
              </w:rPr>
            </w:pPr>
            <w:r>
              <w:rPr>
                <w:spacing w:val="-2"/>
                <w:sz w:val="21"/>
              </w:rPr>
              <w:t>这些研究成果有助于指导药物的合理使用，降低药物的</w:t>
            </w:r>
            <w:r>
              <w:rPr>
                <w:spacing w:val="-2"/>
                <w:sz w:val="21"/>
              </w:rPr>
              <w:t>副作用和提高疗效。</w:t>
            </w:r>
          </w:p>
        </w:tc>
      </w:tr>
    </w:tbl>
    <w:p>
      <w:pPr>
        <w:spacing w:after="0" w:line="278" w:lineRule="auto"/>
        <w:jc w:val="left"/>
        <w:rPr>
          <w:sz w:val="21"/>
        </w:rPr>
        <w:sectPr>
          <w:footerReference w:type="default" r:id="rId16"/>
          <w:pgSz w:w="11910" w:h="16840"/>
          <w:pgMar w:top="1520" w:right="1280" w:bottom="1380" w:left="1680" w:header="0" w:footer="1198"/>
          <w:pgNumType w:start="12"/>
          <w:cols w:space="708"/>
        </w:sectPr>
      </w:pPr>
    </w:p>
    <w:tbl>
      <w:tblPr>
        <w:tblStyle w:val="TableNormal8"/>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line="278" w:lineRule="auto"/>
              <w:rPr>
                <w:sz w:val="21"/>
              </w:rPr>
            </w:pPr>
            <w:r>
              <w:rPr>
                <w:spacing w:val="-2"/>
                <w:sz w:val="21"/>
              </w:rPr>
              <w:t>代谢组学与药物相互作用的</w:t>
            </w:r>
            <w:r>
              <w:rPr>
                <w:spacing w:val="-6"/>
                <w:sz w:val="21"/>
              </w:rPr>
              <w:t>研究</w:t>
            </w:r>
          </w:p>
        </w:tc>
        <w:tc>
          <w:tcPr>
            <w:tcW w:w="5527" w:type="dxa"/>
          </w:tcPr>
          <w:p>
            <w:pPr>
              <w:pStyle w:val="TableParagraph"/>
              <w:spacing w:before="4"/>
              <w:ind w:left="0" w:right="0"/>
              <w:rPr>
                <w:rFonts w:ascii="Microsoft JhengHei"/>
                <w:b/>
                <w:sz w:val="18"/>
              </w:rPr>
            </w:pPr>
          </w:p>
          <w:p>
            <w:pPr>
              <w:pStyle w:val="TableParagraph"/>
              <w:numPr>
                <w:ilvl w:val="0"/>
                <w:numId w:val="29"/>
              </w:numPr>
              <w:tabs>
                <w:tab w:val="left" w:pos="371"/>
              </w:tabs>
              <w:spacing w:before="0" w:after="0" w:line="278" w:lineRule="auto"/>
              <w:ind w:left="107" w:right="96" w:firstLine="0"/>
              <w:jc w:val="left"/>
              <w:rPr>
                <w:sz w:val="21"/>
              </w:rPr>
            </w:pPr>
            <w:r>
              <w:rPr>
                <w:spacing w:val="-2"/>
                <w:sz w:val="21"/>
              </w:rPr>
              <w:t>代谢组学可以揭示药物之间的相互作用及其对代谢网络</w:t>
            </w:r>
            <w:r>
              <w:rPr>
                <w:spacing w:val="-4"/>
                <w:sz w:val="21"/>
              </w:rPr>
              <w:t>的影响。</w:t>
            </w:r>
          </w:p>
          <w:p>
            <w:pPr>
              <w:pStyle w:val="TableParagraph"/>
              <w:numPr>
                <w:ilvl w:val="0"/>
                <w:numId w:val="29"/>
              </w:numPr>
              <w:tabs>
                <w:tab w:val="left" w:pos="371"/>
              </w:tabs>
              <w:spacing w:before="0" w:after="0" w:line="278" w:lineRule="auto"/>
              <w:ind w:left="107" w:right="96" w:firstLine="0"/>
              <w:jc w:val="left"/>
              <w:rPr>
                <w:sz w:val="21"/>
              </w:rPr>
            </w:pPr>
            <w:r>
              <w:rPr>
                <w:spacing w:val="-2"/>
                <w:sz w:val="21"/>
              </w:rPr>
              <w:t>通过对药物相互作用的代谢表征，可以更好地理解和预</w:t>
            </w:r>
            <w:r>
              <w:rPr>
                <w:spacing w:val="-2"/>
                <w:sz w:val="21"/>
              </w:rPr>
              <w:t>测药物组合的治疗效果和潜在风险。</w:t>
            </w:r>
          </w:p>
          <w:p>
            <w:pPr>
              <w:pStyle w:val="TableParagraph"/>
              <w:numPr>
                <w:ilvl w:val="0"/>
                <w:numId w:val="29"/>
              </w:numPr>
              <w:tabs>
                <w:tab w:val="left" w:pos="371"/>
              </w:tabs>
              <w:spacing w:before="0" w:after="0" w:line="278" w:lineRule="auto"/>
              <w:ind w:left="107" w:right="-116" w:firstLine="0"/>
              <w:jc w:val="left"/>
              <w:rPr>
                <w:sz w:val="21"/>
              </w:rPr>
            </w:pPr>
            <w:r>
              <w:rPr>
                <w:spacing w:val="-2"/>
                <w:sz w:val="21"/>
              </w:rPr>
              <w:t>这些研究结果有助于指导临床医生选择合适的药物组合，</w:t>
            </w:r>
            <w:r>
              <w:rPr>
                <w:spacing w:val="-2"/>
                <w:sz w:val="21"/>
              </w:rPr>
              <w:t>提高治疗效果并降低不良反应。</w:t>
            </w:r>
          </w:p>
        </w:tc>
      </w:tr>
      <w:tr>
        <w:tblPrEx>
          <w:tblW w:w="0" w:type="auto"/>
          <w:jc w:val="left"/>
          <w:tblInd w:w="130" w:type="dxa"/>
          <w:tblLayout w:type="fixed"/>
          <w:tblCellMar>
            <w:top w:w="0" w:type="dxa"/>
            <w:left w:w="0" w:type="dxa"/>
            <w:bottom w:w="0" w:type="dxa"/>
            <w:right w:w="0" w:type="dxa"/>
          </w:tblCellMar>
          <w:tblLook w:val="01E0"/>
        </w:tblPrEx>
        <w:trPr>
          <w:trHeight w:val="2183"/>
          <w:jc w:val="left"/>
        </w:trPr>
        <w:tc>
          <w:tcPr>
            <w:tcW w:w="2769" w:type="dxa"/>
          </w:tcPr>
          <w:p>
            <w:pPr>
              <w:pStyle w:val="TableParagraph"/>
              <w:spacing w:before="23" w:line="278" w:lineRule="auto"/>
              <w:rPr>
                <w:sz w:val="21"/>
              </w:rPr>
            </w:pPr>
            <w:r>
              <w:rPr>
                <w:spacing w:val="-2"/>
                <w:sz w:val="21"/>
              </w:rPr>
              <w:t>代谢组学在药物研发中的应</w:t>
            </w:r>
            <w:r>
              <w:rPr>
                <w:spacing w:val="-10"/>
                <w:sz w:val="21"/>
              </w:rPr>
              <w:t>用</w:t>
            </w:r>
          </w:p>
        </w:tc>
        <w:tc>
          <w:tcPr>
            <w:tcW w:w="5527" w:type="dxa"/>
          </w:tcPr>
          <w:p>
            <w:pPr>
              <w:pStyle w:val="TableParagraph"/>
              <w:spacing w:before="4"/>
              <w:ind w:left="0" w:right="0"/>
              <w:rPr>
                <w:rFonts w:ascii="Microsoft JhengHei"/>
                <w:b/>
                <w:sz w:val="18"/>
              </w:rPr>
            </w:pPr>
          </w:p>
          <w:p>
            <w:pPr>
              <w:pStyle w:val="TableParagraph"/>
              <w:numPr>
                <w:ilvl w:val="0"/>
                <w:numId w:val="28"/>
              </w:numPr>
              <w:tabs>
                <w:tab w:val="left" w:pos="371"/>
              </w:tabs>
              <w:spacing w:before="0" w:after="0" w:line="278" w:lineRule="auto"/>
              <w:ind w:left="107" w:right="96" w:firstLine="0"/>
              <w:jc w:val="left"/>
              <w:rPr>
                <w:sz w:val="21"/>
              </w:rPr>
            </w:pPr>
            <w:r>
              <w:rPr>
                <w:spacing w:val="-2"/>
                <w:sz w:val="21"/>
              </w:rPr>
              <w:t>代谢组学可以在药物研发的早期阶段提供关于药物生物</w:t>
            </w:r>
            <w:r>
              <w:rPr>
                <w:spacing w:val="-2"/>
                <w:sz w:val="21"/>
              </w:rPr>
              <w:t>学效应的信息，有助于候选药物的选择。</w:t>
            </w:r>
          </w:p>
          <w:p>
            <w:pPr>
              <w:pStyle w:val="TableParagraph"/>
              <w:numPr>
                <w:ilvl w:val="0"/>
                <w:numId w:val="28"/>
              </w:numPr>
              <w:tabs>
                <w:tab w:val="left" w:pos="371"/>
              </w:tabs>
              <w:spacing w:before="0" w:after="0" w:line="278" w:lineRule="auto"/>
              <w:ind w:left="107" w:right="96" w:firstLine="0"/>
              <w:jc w:val="left"/>
              <w:rPr>
                <w:sz w:val="21"/>
              </w:rPr>
            </w:pPr>
            <w:r>
              <w:rPr>
                <w:spacing w:val="-2"/>
                <w:sz w:val="21"/>
              </w:rPr>
              <w:t>通过代谢组学方法，可以评估药物在体内分布、生物转</w:t>
            </w:r>
            <w:r>
              <w:rPr>
                <w:spacing w:val="-2"/>
                <w:sz w:val="21"/>
              </w:rPr>
              <w:t>化和排泄等方面的效果，为药物设计提供有价值的信息。</w:t>
            </w:r>
          </w:p>
          <w:p>
            <w:pPr>
              <w:pStyle w:val="TableParagraph"/>
              <w:numPr>
                <w:ilvl w:val="0"/>
                <w:numId w:val="28"/>
              </w:numPr>
              <w:tabs>
                <w:tab w:val="left" w:pos="371"/>
              </w:tabs>
              <w:spacing w:before="0" w:after="0" w:line="269" w:lineRule="exact"/>
              <w:ind w:left="370" w:right="0" w:hanging="264"/>
              <w:jc w:val="left"/>
              <w:rPr>
                <w:sz w:val="21"/>
              </w:rPr>
            </w:pPr>
            <w:r>
              <w:rPr>
                <w:spacing w:val="-1"/>
                <w:sz w:val="21"/>
              </w:rPr>
              <w:t>随着技术的发展，代谢组学将在药物研发过程中发挥越</w:t>
            </w:r>
          </w:p>
          <w:p>
            <w:pPr>
              <w:pStyle w:val="TableParagraph"/>
              <w:spacing w:before="43"/>
              <w:ind w:left="107" w:right="0"/>
              <w:rPr>
                <w:sz w:val="21"/>
              </w:rPr>
            </w:pPr>
            <w:r>
              <w:rPr>
                <w:spacing w:val="-1"/>
                <w:sz w:val="21"/>
              </w:rPr>
              <w:t>来越重要的作用，推动新药的研发进程。</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ight="0"/>
              <w:rPr>
                <w:rFonts w:ascii="Times New Roman"/>
                <w:sz w:val="22"/>
              </w:rPr>
            </w:pPr>
          </w:p>
        </w:tc>
        <w:tc>
          <w:tcPr>
            <w:tcW w:w="5527" w:type="dxa"/>
          </w:tcPr>
          <w:p>
            <w:pPr>
              <w:pStyle w:val="TableParagraph"/>
              <w:ind w:left="0" w:right="0"/>
              <w:rPr>
                <w:rFonts w:ascii="Times New Roman"/>
                <w:sz w:val="22"/>
              </w:rPr>
            </w:pPr>
          </w:p>
        </w:tc>
      </w:tr>
    </w:tbl>
    <w:p>
      <w:pPr>
        <w:pStyle w:val="BodyText"/>
        <w:spacing w:before="5"/>
        <w:rPr>
          <w:rFonts w:ascii="Microsoft JhengHei"/>
          <w:b/>
          <w:sz w:val="5"/>
        </w:rPr>
      </w:pPr>
    </w:p>
    <w:p>
      <w:pPr>
        <w:pStyle w:val="BodyText"/>
        <w:spacing w:before="61" w:line="417" w:lineRule="auto"/>
        <w:ind w:left="120" w:right="285" w:firstLine="560"/>
      </w:pPr>
      <w:r>
        <w:rPr>
          <w:spacing w:val="-4"/>
        </w:rPr>
        <w:t>代谢组学是研究生物体内各种代谢物组成和变化的学科，它为个</w:t>
      </w:r>
      <w:r>
        <w:rPr>
          <w:spacing w:val="-12"/>
        </w:rPr>
        <w:t>性化药物治疗提供了重要的理论基础和实验手段。通过代谢组学技术，</w:t>
      </w:r>
      <w:r>
        <w:rPr>
          <w:spacing w:val="-9"/>
        </w:rPr>
        <w:t>可以全面、系统地分析人体内的代谢物组成和变化，揭示疾病的发病机制和个体对药物的反应差异。</w:t>
      </w:r>
    </w:p>
    <w:p>
      <w:pPr>
        <w:pStyle w:val="BodyText"/>
      </w:pPr>
    </w:p>
    <w:p>
      <w:pPr>
        <w:pStyle w:val="BodyText"/>
        <w:spacing w:before="7"/>
        <w:rPr>
          <w:sz w:val="20"/>
        </w:rPr>
      </w:pPr>
    </w:p>
    <w:p>
      <w:pPr>
        <w:pStyle w:val="BodyText"/>
        <w:spacing w:before="1"/>
        <w:ind w:left="120"/>
      </w:pPr>
      <w:r>
        <w:rPr>
          <w:spacing w:val="-1"/>
        </w:rPr>
        <w:t>在个性化药物治疗中，代谢组学主要应用于以下几个方面：</w:t>
      </w:r>
    </w:p>
    <w:p>
      <w:pPr>
        <w:pStyle w:val="BodyText"/>
      </w:pPr>
    </w:p>
    <w:p>
      <w:pPr>
        <w:pStyle w:val="BodyText"/>
        <w:spacing w:before="5"/>
        <w:rPr>
          <w:sz w:val="41"/>
        </w:rPr>
      </w:pPr>
    </w:p>
    <w:p>
      <w:pPr>
        <w:pStyle w:val="ListParagraph"/>
        <w:numPr>
          <w:ilvl w:val="0"/>
          <w:numId w:val="27"/>
        </w:numPr>
        <w:tabs>
          <w:tab w:val="left" w:pos="542"/>
        </w:tabs>
        <w:spacing w:before="0" w:after="0" w:line="417" w:lineRule="auto"/>
        <w:ind w:left="120" w:right="518" w:firstLine="0"/>
        <w:jc w:val="both"/>
        <w:rPr>
          <w:sz w:val="28"/>
        </w:rPr>
      </w:pPr>
      <w:r>
        <w:rPr>
          <w:spacing w:val="-2"/>
          <w:sz w:val="28"/>
        </w:rPr>
        <w:t>疾病诊断与预后评估：代谢组学可以通过比较健康人群和疾病患</w:t>
      </w:r>
      <w:r>
        <w:rPr>
          <w:spacing w:val="-4"/>
          <w:sz w:val="28"/>
        </w:rPr>
        <w:t>者的代谢物组成差异，发现疾病特异性的代谢标志物，用于疾病的早</w:t>
      </w:r>
      <w:r>
        <w:rPr>
          <w:spacing w:val="-4"/>
          <w:sz w:val="28"/>
        </w:rPr>
        <w:t>期诊断和预后评估。例如，在癌症研究中，代谢组学已经成功发现了</w:t>
      </w:r>
      <w:r>
        <w:rPr>
          <w:spacing w:val="-4"/>
          <w:sz w:val="28"/>
        </w:rPr>
        <w:t>多种癌症的代谢标志物，如乳腺癌的胆碱代谢异常、肺癌的糖类代谢</w:t>
      </w:r>
      <w:r>
        <w:rPr>
          <w:spacing w:val="-4"/>
          <w:sz w:val="28"/>
        </w:rPr>
        <w:t>异常等。</w:t>
      </w:r>
    </w:p>
    <w:p>
      <w:pPr>
        <w:pStyle w:val="BodyText"/>
      </w:pPr>
    </w:p>
    <w:p>
      <w:pPr>
        <w:pStyle w:val="BodyText"/>
        <w:spacing w:before="8"/>
        <w:rPr>
          <w:sz w:val="20"/>
        </w:rPr>
      </w:pPr>
    </w:p>
    <w:p>
      <w:pPr>
        <w:pStyle w:val="ListParagraph"/>
        <w:numPr>
          <w:ilvl w:val="0"/>
          <w:numId w:val="27"/>
        </w:numPr>
        <w:tabs>
          <w:tab w:val="left" w:pos="542"/>
        </w:tabs>
        <w:spacing w:before="0" w:after="0" w:line="240" w:lineRule="auto"/>
        <w:ind w:left="541" w:right="0" w:hanging="422"/>
        <w:jc w:val="both"/>
        <w:rPr>
          <w:sz w:val="28"/>
        </w:rPr>
      </w:pPr>
      <w:r>
        <w:rPr>
          <w:spacing w:val="-1"/>
          <w:sz w:val="28"/>
        </w:rPr>
        <w:t>药物效应评价：代谢组学可以从整体上反映药物在体内的作用效</w:t>
      </w:r>
    </w:p>
    <w:p>
      <w:pPr>
        <w:spacing w:after="0" w:line="240" w:lineRule="auto"/>
        <w:jc w:val="both"/>
        <w:rPr>
          <w:sz w:val="28"/>
        </w:rPr>
        <w:sectPr>
          <w:footerReference w:type="default" r:id="rId17"/>
          <w:type w:val="continuous"/>
          <w:pgSz w:w="11910" w:h="16840"/>
          <w:pgMar w:top="1400" w:right="1280" w:bottom="1380" w:left="1680" w:header="0" w:footer="1198"/>
          <w:pgNumType w:start="13"/>
          <w:cols w:space="708"/>
        </w:sectPr>
      </w:pPr>
    </w:p>
    <w:p>
      <w:pPr>
        <w:pStyle w:val="BodyText"/>
        <w:spacing w:before="37" w:line="417" w:lineRule="auto"/>
        <w:ind w:left="120" w:right="518"/>
        <w:jc w:val="both"/>
      </w:pPr>
      <w:r>
        <w:rPr>
          <w:spacing w:val="-4"/>
        </w:rPr>
        <w:t>果，通过对药物处理前后的代谢物变化进行分析，可以评估药物的作</w:t>
      </w:r>
      <w:r>
        <w:rPr>
          <w:spacing w:val="-4"/>
        </w:rPr>
        <w:t>用效果和副作用。例如，研究发现，使用抗抑郁药氟西汀治疗抑郁症</w:t>
      </w:r>
      <w:r>
        <w:rPr>
          <w:spacing w:val="-4"/>
        </w:rPr>
        <w:t>的患者，其血浆中的色氨酸和酪胺水平显著降低，这可能与药物改善</w:t>
      </w:r>
      <w:r>
        <w:rPr>
          <w:spacing w:val="-2"/>
        </w:rPr>
        <w:t>抑郁症状有关。</w:t>
      </w:r>
    </w:p>
    <w:p>
      <w:pPr>
        <w:pStyle w:val="BodyText"/>
      </w:pPr>
    </w:p>
    <w:p>
      <w:pPr>
        <w:pStyle w:val="BodyText"/>
        <w:spacing w:before="7"/>
        <w:rPr>
          <w:sz w:val="20"/>
        </w:rPr>
      </w:pPr>
    </w:p>
    <w:p>
      <w:pPr>
        <w:pStyle w:val="ListParagraph"/>
        <w:numPr>
          <w:ilvl w:val="0"/>
          <w:numId w:val="27"/>
        </w:numPr>
        <w:tabs>
          <w:tab w:val="left" w:pos="542"/>
        </w:tabs>
        <w:spacing w:before="1" w:after="0" w:line="417" w:lineRule="auto"/>
        <w:ind w:left="120" w:right="518" w:firstLine="0"/>
        <w:jc w:val="both"/>
        <w:rPr>
          <w:sz w:val="28"/>
        </w:rPr>
      </w:pPr>
      <w:r>
        <w:rPr>
          <w:spacing w:val="-2"/>
          <w:sz w:val="28"/>
        </w:rPr>
        <w:t>个体化药物选择：代谢组学可以根据个体的代谢特征，选择最适</w:t>
      </w:r>
      <w:r>
        <w:rPr>
          <w:spacing w:val="-4"/>
          <w:sz w:val="28"/>
        </w:rPr>
        <w:t>合的药物和剂量。例如，在肿瘤化疗中，代谢组学可以预测患者对某</w:t>
      </w:r>
      <w:r>
        <w:rPr>
          <w:spacing w:val="-9"/>
          <w:sz w:val="28"/>
        </w:rPr>
        <w:t>种化疗药物的敏感性或耐受性，从而指导临床医生制定个性化的化疗</w:t>
      </w:r>
      <w:r>
        <w:rPr>
          <w:spacing w:val="-4"/>
          <w:sz w:val="28"/>
        </w:rPr>
        <w:t>方案。</w:t>
      </w:r>
    </w:p>
    <w:p>
      <w:pPr>
        <w:pStyle w:val="BodyText"/>
      </w:pPr>
    </w:p>
    <w:p>
      <w:pPr>
        <w:pStyle w:val="BodyText"/>
        <w:spacing w:before="8"/>
        <w:rPr>
          <w:sz w:val="20"/>
        </w:rPr>
      </w:pPr>
    </w:p>
    <w:p>
      <w:pPr>
        <w:pStyle w:val="ListParagraph"/>
        <w:numPr>
          <w:ilvl w:val="0"/>
          <w:numId w:val="27"/>
        </w:numPr>
        <w:tabs>
          <w:tab w:val="left" w:pos="542"/>
        </w:tabs>
        <w:spacing w:before="0" w:after="0" w:line="417" w:lineRule="auto"/>
        <w:ind w:left="120" w:right="518" w:firstLine="0"/>
        <w:jc w:val="both"/>
        <w:rPr>
          <w:sz w:val="28"/>
        </w:rPr>
      </w:pPr>
      <w:r>
        <w:rPr>
          <w:spacing w:val="-2"/>
          <w:sz w:val="28"/>
        </w:rPr>
        <w:t>药物研发：代谢组学可以帮助研究人员了解药物的作用机制和代</w:t>
      </w:r>
      <w:r>
        <w:rPr>
          <w:spacing w:val="-4"/>
          <w:sz w:val="28"/>
        </w:rPr>
        <w:t>谢途径，为新药的研发提供新的思路和方法。例如，通过对药物代谢</w:t>
      </w:r>
      <w:r>
        <w:rPr>
          <w:spacing w:val="-4"/>
          <w:sz w:val="28"/>
        </w:rPr>
        <w:t>产物的分析，可以了解药物在体内的生物转化过程，为优化药物设计</w:t>
      </w:r>
      <w:r>
        <w:rPr>
          <w:spacing w:val="-2"/>
          <w:sz w:val="28"/>
        </w:rPr>
        <w:t>提供依据。</w:t>
      </w:r>
    </w:p>
    <w:p>
      <w:pPr>
        <w:pStyle w:val="BodyText"/>
      </w:pPr>
    </w:p>
    <w:p>
      <w:pPr>
        <w:pStyle w:val="BodyText"/>
        <w:spacing w:before="8"/>
        <w:rPr>
          <w:sz w:val="20"/>
        </w:rPr>
      </w:pPr>
    </w:p>
    <w:p>
      <w:pPr>
        <w:pStyle w:val="BodyText"/>
        <w:spacing w:line="417" w:lineRule="auto"/>
        <w:ind w:left="120" w:right="518"/>
        <w:jc w:val="both"/>
      </w:pPr>
      <w:r>
        <w:rPr>
          <w:spacing w:val="-4"/>
        </w:rPr>
        <w:t>总的来说，代谢组学为个性化药物治疗提供了重要的技术支持，使得</w:t>
      </w:r>
      <w:r>
        <w:rPr>
          <w:spacing w:val="-4"/>
        </w:rPr>
        <w:t>药物治疗更加精准、有效。未来，随着代谢组学技术的不断发展和完</w:t>
      </w:r>
      <w:r>
        <w:rPr>
          <w:spacing w:val="-2"/>
        </w:rPr>
        <w:t>善，相信其在个性化药物治疗中的应用将会更加广泛和深入。</w:t>
      </w:r>
    </w:p>
    <w:p>
      <w:pPr>
        <w:pStyle w:val="BodyText"/>
      </w:pPr>
    </w:p>
    <w:p>
      <w:pPr>
        <w:pStyle w:val="Heading1"/>
        <w:spacing w:before="237"/>
        <w:jc w:val="both"/>
      </w:pPr>
      <w:bookmarkStart w:id="4" w:name="_TOC_250003"/>
      <w:r>
        <w:t>第五部分</w:t>
      </w:r>
      <w:r>
        <w:rPr>
          <w:spacing w:val="216"/>
          <w:w w:val="150"/>
        </w:rPr>
        <w:t xml:space="preserve"> </w:t>
      </w:r>
      <w:bookmarkEnd w:id="4"/>
      <w:r>
        <w:rPr>
          <w:spacing w:val="-1"/>
        </w:rPr>
        <w:t>临床试验在策略研究中的作用</w:t>
      </w:r>
    </w:p>
    <w:p>
      <w:pPr>
        <w:pStyle w:val="BodyText"/>
        <w:spacing w:before="16"/>
        <w:rPr>
          <w:rFonts w:ascii="Microsoft JhengHei"/>
          <w:b/>
          <w:sz w:val="15"/>
        </w:rPr>
      </w:pPr>
    </w:p>
    <w:tbl>
      <w:tblPr>
        <w:tblStyle w:val="TableNormal9"/>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right="0"/>
              <w:rPr>
                <w:sz w:val="21"/>
              </w:rPr>
            </w:pPr>
            <w:r>
              <w:rPr>
                <w:spacing w:val="-4"/>
                <w:sz w:val="21"/>
              </w:rPr>
              <w:t>关键词</w:t>
            </w:r>
          </w:p>
        </w:tc>
        <w:tc>
          <w:tcPr>
            <w:tcW w:w="5527" w:type="dxa"/>
          </w:tcPr>
          <w:p>
            <w:pPr>
              <w:pStyle w:val="TableParagraph"/>
              <w:spacing w:before="23"/>
              <w:ind w:left="107" w:right="0"/>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624"/>
          <w:jc w:val="left"/>
        </w:trPr>
        <w:tc>
          <w:tcPr>
            <w:tcW w:w="2769" w:type="dxa"/>
          </w:tcPr>
          <w:p>
            <w:pPr>
              <w:pStyle w:val="TableParagraph"/>
              <w:spacing w:before="23"/>
              <w:ind w:right="0"/>
              <w:rPr>
                <w:sz w:val="21"/>
              </w:rPr>
            </w:pPr>
            <w:r>
              <w:rPr>
                <w:spacing w:val="-1"/>
                <w:sz w:val="21"/>
              </w:rPr>
              <w:t>临床试验设计在策略研究中</w:t>
            </w:r>
          </w:p>
          <w:p>
            <w:pPr>
              <w:pStyle w:val="TableParagraph"/>
              <w:spacing w:before="43"/>
              <w:ind w:right="0"/>
              <w:rPr>
                <w:sz w:val="21"/>
              </w:rPr>
            </w:pPr>
            <w:r>
              <w:rPr>
                <w:spacing w:val="-2"/>
                <w:sz w:val="21"/>
              </w:rPr>
              <w:t>的关键作用</w:t>
            </w:r>
          </w:p>
        </w:tc>
        <w:tc>
          <w:tcPr>
            <w:tcW w:w="5527" w:type="dxa"/>
          </w:tcPr>
          <w:p>
            <w:pPr>
              <w:pStyle w:val="TableParagraph"/>
              <w:spacing w:before="4"/>
              <w:ind w:left="0" w:right="0"/>
              <w:rPr>
                <w:rFonts w:ascii="Microsoft JhengHei"/>
                <w:b/>
                <w:sz w:val="18"/>
              </w:rPr>
            </w:pPr>
          </w:p>
          <w:p>
            <w:pPr>
              <w:pStyle w:val="TableParagraph"/>
              <w:ind w:left="107" w:right="0"/>
              <w:rPr>
                <w:sz w:val="21"/>
              </w:rPr>
            </w:pPr>
            <w:r>
              <w:rPr>
                <w:rFonts w:ascii="Times New Roman" w:eastAsia="Times New Roman"/>
                <w:sz w:val="21"/>
              </w:rPr>
              <w:t>1.</w:t>
            </w:r>
            <w:r>
              <w:rPr>
                <w:rFonts w:ascii="Times New Roman" w:eastAsia="Times New Roman"/>
                <w:spacing w:val="52"/>
                <w:sz w:val="21"/>
              </w:rPr>
              <w:t xml:space="preserve"> </w:t>
            </w:r>
            <w:r>
              <w:rPr>
                <w:spacing w:val="-1"/>
                <w:sz w:val="21"/>
              </w:rPr>
              <w:t>精确样本选择：临床试验设计需要考虑患者群体的多样</w:t>
            </w:r>
          </w:p>
        </w:tc>
      </w:tr>
    </w:tbl>
    <w:p>
      <w:pPr>
        <w:spacing w:after="0"/>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https://d.book118.com/675220304321011120</w:t>
        </w:r>
      </w:hyperlink>
    </w:p>
    <w:p>
      <w:pPr>
        <w:spacing w:after="0"/>
        <w:rPr>
          <w:sz w:val="21"/>
        </w:rPr>
      </w:pPr>
    </w:p>
    <w:sectPr>
      <w:footerReference w:type="default" r:id="rId19"/>
      <w:pgSz w:w="11910" w:h="16840"/>
      <w:pgMar w:top="1520" w:right="1280" w:bottom="1380" w:left="1680" w:header="0" w:footer="1198"/>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29</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9.05pt;height:12pt;margin-top:770.98pt;margin-left:284.4pt;mso-position-horizontal-relative:page;mso-position-vertical-relative:page;position:absolute;z-index:-25164595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05pt;height:12pt;margin-top:770.98pt;margin-left:284.4pt;mso-position-horizontal-relative:page;mso-position-vertical-relative:page;position:absolute;z-index:-25164492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14</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3D2F29"/>
    <w:multiLevelType w:val="hybridMultilevel"/>
    <w:tmpl w:val="00000000"/>
    <w:lvl w:ilvl="0">
      <w:start w:val="1"/>
      <w:numFmt w:val="decimal"/>
      <w:lvlText w:val="%1."/>
      <w:lvlJc w:val="left"/>
      <w:pPr>
        <w:ind w:left="575" w:hanging="456"/>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416" w:hanging="456"/>
      </w:pPr>
      <w:rPr>
        <w:rFonts w:hint="default"/>
        <w:lang w:val="en-US" w:eastAsia="zh-CN" w:bidi="ar-SA"/>
      </w:rPr>
    </w:lvl>
    <w:lvl w:ilvl="2">
      <w:start w:val="0"/>
      <w:numFmt w:val="bullet"/>
      <w:lvlText w:val="•"/>
      <w:lvlJc w:val="left"/>
      <w:pPr>
        <w:ind w:left="2253" w:hanging="456"/>
      </w:pPr>
      <w:rPr>
        <w:rFonts w:hint="default"/>
        <w:lang w:val="en-US" w:eastAsia="zh-CN" w:bidi="ar-SA"/>
      </w:rPr>
    </w:lvl>
    <w:lvl w:ilvl="3">
      <w:start w:val="0"/>
      <w:numFmt w:val="bullet"/>
      <w:lvlText w:val="•"/>
      <w:lvlJc w:val="left"/>
      <w:pPr>
        <w:ind w:left="3089" w:hanging="456"/>
      </w:pPr>
      <w:rPr>
        <w:rFonts w:hint="default"/>
        <w:lang w:val="en-US" w:eastAsia="zh-CN" w:bidi="ar-SA"/>
      </w:rPr>
    </w:lvl>
    <w:lvl w:ilvl="4">
      <w:start w:val="0"/>
      <w:numFmt w:val="bullet"/>
      <w:lvlText w:val="•"/>
      <w:lvlJc w:val="left"/>
      <w:pPr>
        <w:ind w:left="3926" w:hanging="456"/>
      </w:pPr>
      <w:rPr>
        <w:rFonts w:hint="default"/>
        <w:lang w:val="en-US" w:eastAsia="zh-CN" w:bidi="ar-SA"/>
      </w:rPr>
    </w:lvl>
    <w:lvl w:ilvl="5">
      <w:start w:val="0"/>
      <w:numFmt w:val="bullet"/>
      <w:lvlText w:val="•"/>
      <w:lvlJc w:val="left"/>
      <w:pPr>
        <w:ind w:left="4763" w:hanging="456"/>
      </w:pPr>
      <w:rPr>
        <w:rFonts w:hint="default"/>
        <w:lang w:val="en-US" w:eastAsia="zh-CN" w:bidi="ar-SA"/>
      </w:rPr>
    </w:lvl>
    <w:lvl w:ilvl="6">
      <w:start w:val="0"/>
      <w:numFmt w:val="bullet"/>
      <w:lvlText w:val="•"/>
      <w:lvlJc w:val="left"/>
      <w:pPr>
        <w:ind w:left="5599" w:hanging="456"/>
      </w:pPr>
      <w:rPr>
        <w:rFonts w:hint="default"/>
        <w:lang w:val="en-US" w:eastAsia="zh-CN" w:bidi="ar-SA"/>
      </w:rPr>
    </w:lvl>
    <w:lvl w:ilvl="7">
      <w:start w:val="0"/>
      <w:numFmt w:val="bullet"/>
      <w:lvlText w:val="•"/>
      <w:lvlJc w:val="left"/>
      <w:pPr>
        <w:ind w:left="6436" w:hanging="456"/>
      </w:pPr>
      <w:rPr>
        <w:rFonts w:hint="default"/>
        <w:lang w:val="en-US" w:eastAsia="zh-CN" w:bidi="ar-SA"/>
      </w:rPr>
    </w:lvl>
    <w:lvl w:ilvl="8">
      <w:start w:val="0"/>
      <w:numFmt w:val="bullet"/>
      <w:lvlText w:val="•"/>
      <w:lvlJc w:val="left"/>
      <w:pPr>
        <w:ind w:left="7272" w:hanging="456"/>
      </w:pPr>
      <w:rPr>
        <w:rFonts w:hint="default"/>
        <w:lang w:val="en-US" w:eastAsia="zh-CN" w:bidi="ar-SA"/>
      </w:rPr>
    </w:lvl>
  </w:abstractNum>
  <w:abstractNum w:abstractNumId="1">
    <w:nsid w:val="01791B94"/>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2" w:hanging="263"/>
      </w:pPr>
      <w:rPr>
        <w:rFonts w:hint="default"/>
        <w:lang w:val="en-US" w:eastAsia="zh-CN" w:bidi="ar-SA"/>
      </w:rPr>
    </w:lvl>
    <w:lvl w:ilvl="8">
      <w:start w:val="0"/>
      <w:numFmt w:val="bullet"/>
      <w:lvlText w:val="•"/>
      <w:lvlJc w:val="left"/>
      <w:pPr>
        <w:ind w:left="4434" w:hanging="263"/>
      </w:pPr>
      <w:rPr>
        <w:rFonts w:hint="default"/>
        <w:lang w:val="en-US" w:eastAsia="zh-CN" w:bidi="ar-SA"/>
      </w:rPr>
    </w:lvl>
  </w:abstractNum>
  <w:abstractNum w:abstractNumId="2">
    <w:nsid w:val="022A2E51"/>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7"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4" w:hanging="264"/>
      </w:pPr>
      <w:rPr>
        <w:rFonts w:hint="default"/>
        <w:lang w:val="en-US" w:eastAsia="zh-CN" w:bidi="ar-SA"/>
      </w:rPr>
    </w:lvl>
    <w:lvl w:ilvl="5">
      <w:start w:val="0"/>
      <w:numFmt w:val="bullet"/>
      <w:lvlText w:val="•"/>
      <w:lvlJc w:val="left"/>
      <w:pPr>
        <w:ind w:left="2818" w:hanging="264"/>
      </w:pPr>
      <w:rPr>
        <w:rFonts w:hint="default"/>
        <w:lang w:val="en-US" w:eastAsia="zh-CN" w:bidi="ar-SA"/>
      </w:rPr>
    </w:lvl>
    <w:lvl w:ilvl="6">
      <w:start w:val="0"/>
      <w:numFmt w:val="bullet"/>
      <w:lvlText w:val="•"/>
      <w:lvlJc w:val="left"/>
      <w:pPr>
        <w:ind w:left="3361" w:hanging="264"/>
      </w:pPr>
      <w:rPr>
        <w:rFonts w:hint="default"/>
        <w:lang w:val="en-US" w:eastAsia="zh-CN" w:bidi="ar-SA"/>
      </w:rPr>
    </w:lvl>
    <w:lvl w:ilvl="7">
      <w:start w:val="0"/>
      <w:numFmt w:val="bullet"/>
      <w:lvlText w:val="•"/>
      <w:lvlJc w:val="left"/>
      <w:pPr>
        <w:ind w:left="3905" w:hanging="264"/>
      </w:pPr>
      <w:rPr>
        <w:rFonts w:hint="default"/>
        <w:lang w:val="en-US" w:eastAsia="zh-CN" w:bidi="ar-SA"/>
      </w:rPr>
    </w:lvl>
    <w:lvl w:ilvl="8">
      <w:start w:val="0"/>
      <w:numFmt w:val="bullet"/>
      <w:lvlText w:val="•"/>
      <w:lvlJc w:val="left"/>
      <w:pPr>
        <w:ind w:left="4448" w:hanging="264"/>
      </w:pPr>
      <w:rPr>
        <w:rFonts w:hint="default"/>
        <w:lang w:val="en-US" w:eastAsia="zh-CN" w:bidi="ar-SA"/>
      </w:rPr>
    </w:lvl>
  </w:abstractNum>
  <w:abstractNum w:abstractNumId="3">
    <w:nsid w:val="0699C41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
    <w:nsid w:val="0788C89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
    <w:nsid w:val="07B34D8C"/>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1"/>
      <w:numFmt w:val="decimal"/>
      <w:lvlText w:val="%1.%2"/>
      <w:lvlJc w:val="left"/>
      <w:pPr>
        <w:ind w:left="680" w:hanging="560"/>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598" w:hanging="560"/>
      </w:pPr>
      <w:rPr>
        <w:rFonts w:hint="default"/>
        <w:lang w:val="en-US" w:eastAsia="zh-CN" w:bidi="ar-SA"/>
      </w:rPr>
    </w:lvl>
    <w:lvl w:ilvl="3">
      <w:start w:val="0"/>
      <w:numFmt w:val="bullet"/>
      <w:lvlText w:val="•"/>
      <w:lvlJc w:val="left"/>
      <w:pPr>
        <w:ind w:left="2516" w:hanging="560"/>
      </w:pPr>
      <w:rPr>
        <w:rFonts w:hint="default"/>
        <w:lang w:val="en-US" w:eastAsia="zh-CN" w:bidi="ar-SA"/>
      </w:rPr>
    </w:lvl>
    <w:lvl w:ilvl="4">
      <w:start w:val="0"/>
      <w:numFmt w:val="bullet"/>
      <w:lvlText w:val="•"/>
      <w:lvlJc w:val="left"/>
      <w:pPr>
        <w:ind w:left="3435" w:hanging="560"/>
      </w:pPr>
      <w:rPr>
        <w:rFonts w:hint="default"/>
        <w:lang w:val="en-US" w:eastAsia="zh-CN" w:bidi="ar-SA"/>
      </w:rPr>
    </w:lvl>
    <w:lvl w:ilvl="5">
      <w:start w:val="0"/>
      <w:numFmt w:val="bullet"/>
      <w:lvlText w:val="•"/>
      <w:lvlJc w:val="left"/>
      <w:pPr>
        <w:ind w:left="4353" w:hanging="560"/>
      </w:pPr>
      <w:rPr>
        <w:rFonts w:hint="default"/>
        <w:lang w:val="en-US" w:eastAsia="zh-CN" w:bidi="ar-SA"/>
      </w:rPr>
    </w:lvl>
    <w:lvl w:ilvl="6">
      <w:start w:val="0"/>
      <w:numFmt w:val="bullet"/>
      <w:lvlText w:val="•"/>
      <w:lvlJc w:val="left"/>
      <w:pPr>
        <w:ind w:left="5272" w:hanging="560"/>
      </w:pPr>
      <w:rPr>
        <w:rFonts w:hint="default"/>
        <w:lang w:val="en-US" w:eastAsia="zh-CN" w:bidi="ar-SA"/>
      </w:rPr>
    </w:lvl>
    <w:lvl w:ilvl="7">
      <w:start w:val="0"/>
      <w:numFmt w:val="bullet"/>
      <w:lvlText w:val="•"/>
      <w:lvlJc w:val="left"/>
      <w:pPr>
        <w:ind w:left="6190" w:hanging="560"/>
      </w:pPr>
      <w:rPr>
        <w:rFonts w:hint="default"/>
        <w:lang w:val="en-US" w:eastAsia="zh-CN" w:bidi="ar-SA"/>
      </w:rPr>
    </w:lvl>
    <w:lvl w:ilvl="8">
      <w:start w:val="0"/>
      <w:numFmt w:val="bullet"/>
      <w:lvlText w:val="•"/>
      <w:lvlJc w:val="left"/>
      <w:pPr>
        <w:ind w:left="7109" w:hanging="560"/>
      </w:pPr>
      <w:rPr>
        <w:rFonts w:hint="default"/>
        <w:lang w:val="en-US" w:eastAsia="zh-CN" w:bidi="ar-SA"/>
      </w:rPr>
    </w:lvl>
  </w:abstractNum>
  <w:abstractNum w:abstractNumId="6">
    <w:nsid w:val="08EFEE1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2" w:hanging="263"/>
      </w:pPr>
      <w:rPr>
        <w:rFonts w:hint="default"/>
        <w:lang w:val="en-US" w:eastAsia="zh-CN" w:bidi="ar-SA"/>
      </w:rPr>
    </w:lvl>
    <w:lvl w:ilvl="8">
      <w:start w:val="0"/>
      <w:numFmt w:val="bullet"/>
      <w:lvlText w:val="•"/>
      <w:lvlJc w:val="left"/>
      <w:pPr>
        <w:ind w:left="4434" w:hanging="263"/>
      </w:pPr>
      <w:rPr>
        <w:rFonts w:hint="default"/>
        <w:lang w:val="en-US" w:eastAsia="zh-CN" w:bidi="ar-SA"/>
      </w:rPr>
    </w:lvl>
  </w:abstractNum>
  <w:abstractNum w:abstractNumId="7">
    <w:nsid w:val="0D8278D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2" w:hanging="263"/>
      </w:pPr>
      <w:rPr>
        <w:rFonts w:hint="default"/>
        <w:lang w:val="en-US" w:eastAsia="zh-CN" w:bidi="ar-SA"/>
      </w:rPr>
    </w:lvl>
    <w:lvl w:ilvl="8">
      <w:start w:val="0"/>
      <w:numFmt w:val="bullet"/>
      <w:lvlText w:val="•"/>
      <w:lvlJc w:val="left"/>
      <w:pPr>
        <w:ind w:left="4434" w:hanging="263"/>
      </w:pPr>
      <w:rPr>
        <w:rFonts w:hint="default"/>
        <w:lang w:val="en-US" w:eastAsia="zh-CN" w:bidi="ar-SA"/>
      </w:rPr>
    </w:lvl>
  </w:abstractNum>
  <w:abstractNum w:abstractNumId="8">
    <w:nsid w:val="10C6735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9">
    <w:nsid w:val="13E8DB28"/>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0">
    <w:nsid w:val="19FD112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1">
    <w:nsid w:val="1A6C240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2">
    <w:nsid w:val="1B581688"/>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3">
    <w:nsid w:val="1E8DD48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4">
    <w:nsid w:val="21392E97"/>
    <w:multiLevelType w:val="hybridMultilevel"/>
    <w:tmpl w:val="00000000"/>
    <w:lvl w:ilvl="0">
      <w:start w:val="1"/>
      <w:numFmt w:val="decimal"/>
      <w:lvlText w:val="%1."/>
      <w:lvlJc w:val="left"/>
      <w:pPr>
        <w:ind w:left="108" w:hanging="267"/>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7"/>
      </w:pPr>
      <w:rPr>
        <w:rFonts w:hint="default"/>
        <w:lang w:val="en-US" w:eastAsia="zh-CN" w:bidi="ar-SA"/>
      </w:rPr>
    </w:lvl>
    <w:lvl w:ilvl="2">
      <w:start w:val="0"/>
      <w:numFmt w:val="bullet"/>
      <w:lvlText w:val="•"/>
      <w:lvlJc w:val="left"/>
      <w:pPr>
        <w:ind w:left="1184" w:hanging="267"/>
      </w:pPr>
      <w:rPr>
        <w:rFonts w:hint="default"/>
        <w:lang w:val="en-US" w:eastAsia="zh-CN" w:bidi="ar-SA"/>
      </w:rPr>
    </w:lvl>
    <w:lvl w:ilvl="3">
      <w:start w:val="0"/>
      <w:numFmt w:val="bullet"/>
      <w:lvlText w:val="•"/>
      <w:lvlJc w:val="left"/>
      <w:pPr>
        <w:ind w:left="1727" w:hanging="267"/>
      </w:pPr>
      <w:rPr>
        <w:rFonts w:hint="default"/>
        <w:lang w:val="en-US" w:eastAsia="zh-CN" w:bidi="ar-SA"/>
      </w:rPr>
    </w:lvl>
    <w:lvl w:ilvl="4">
      <w:start w:val="0"/>
      <w:numFmt w:val="bullet"/>
      <w:lvlText w:val="•"/>
      <w:lvlJc w:val="left"/>
      <w:pPr>
        <w:ind w:left="2269" w:hanging="267"/>
      </w:pPr>
      <w:rPr>
        <w:rFonts w:hint="default"/>
        <w:lang w:val="en-US" w:eastAsia="zh-CN" w:bidi="ar-SA"/>
      </w:rPr>
    </w:lvl>
    <w:lvl w:ilvl="5">
      <w:start w:val="0"/>
      <w:numFmt w:val="bullet"/>
      <w:lvlText w:val="•"/>
      <w:lvlJc w:val="left"/>
      <w:pPr>
        <w:ind w:left="2812" w:hanging="267"/>
      </w:pPr>
      <w:rPr>
        <w:rFonts w:hint="default"/>
        <w:lang w:val="en-US" w:eastAsia="zh-CN" w:bidi="ar-SA"/>
      </w:rPr>
    </w:lvl>
    <w:lvl w:ilvl="6">
      <w:start w:val="0"/>
      <w:numFmt w:val="bullet"/>
      <w:lvlText w:val="•"/>
      <w:lvlJc w:val="left"/>
      <w:pPr>
        <w:ind w:left="3354" w:hanging="267"/>
      </w:pPr>
      <w:rPr>
        <w:rFonts w:hint="default"/>
        <w:lang w:val="en-US" w:eastAsia="zh-CN" w:bidi="ar-SA"/>
      </w:rPr>
    </w:lvl>
    <w:lvl w:ilvl="7">
      <w:start w:val="0"/>
      <w:numFmt w:val="bullet"/>
      <w:lvlText w:val="•"/>
      <w:lvlJc w:val="left"/>
      <w:pPr>
        <w:ind w:left="3896" w:hanging="267"/>
      </w:pPr>
      <w:rPr>
        <w:rFonts w:hint="default"/>
        <w:lang w:val="en-US" w:eastAsia="zh-CN" w:bidi="ar-SA"/>
      </w:rPr>
    </w:lvl>
    <w:lvl w:ilvl="8">
      <w:start w:val="0"/>
      <w:numFmt w:val="bullet"/>
      <w:lvlText w:val="•"/>
      <w:lvlJc w:val="left"/>
      <w:pPr>
        <w:ind w:left="4439" w:hanging="267"/>
      </w:pPr>
      <w:rPr>
        <w:rFonts w:hint="default"/>
        <w:lang w:val="en-US" w:eastAsia="zh-CN" w:bidi="ar-SA"/>
      </w:rPr>
    </w:lvl>
  </w:abstractNum>
  <w:abstractNum w:abstractNumId="15">
    <w:nsid w:val="297EE0B4"/>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16">
    <w:nsid w:val="3884BA64"/>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17">
    <w:nsid w:val="3D49B584"/>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5" w:hanging="263"/>
      </w:pPr>
      <w:rPr>
        <w:rFonts w:hint="default"/>
        <w:lang w:val="en-US" w:eastAsia="zh-CN" w:bidi="ar-SA"/>
      </w:rPr>
    </w:lvl>
    <w:lvl w:ilvl="2">
      <w:start w:val="0"/>
      <w:numFmt w:val="bullet"/>
      <w:lvlText w:val="•"/>
      <w:lvlJc w:val="left"/>
      <w:pPr>
        <w:ind w:left="1411" w:hanging="263"/>
      </w:pPr>
      <w:rPr>
        <w:rFonts w:hint="default"/>
        <w:lang w:val="en-US" w:eastAsia="zh-CN" w:bidi="ar-SA"/>
      </w:rPr>
    </w:lvl>
    <w:lvl w:ilvl="3">
      <w:start w:val="0"/>
      <w:numFmt w:val="bullet"/>
      <w:lvlText w:val="•"/>
      <w:lvlJc w:val="left"/>
      <w:pPr>
        <w:ind w:left="1926" w:hanging="263"/>
      </w:pPr>
      <w:rPr>
        <w:rFonts w:hint="default"/>
        <w:lang w:val="en-US" w:eastAsia="zh-CN" w:bidi="ar-SA"/>
      </w:rPr>
    </w:lvl>
    <w:lvl w:ilvl="4">
      <w:start w:val="0"/>
      <w:numFmt w:val="bullet"/>
      <w:lvlText w:val="•"/>
      <w:lvlJc w:val="left"/>
      <w:pPr>
        <w:ind w:left="2442" w:hanging="263"/>
      </w:pPr>
      <w:rPr>
        <w:rFonts w:hint="default"/>
        <w:lang w:val="en-US" w:eastAsia="zh-CN" w:bidi="ar-SA"/>
      </w:rPr>
    </w:lvl>
    <w:lvl w:ilvl="5">
      <w:start w:val="0"/>
      <w:numFmt w:val="bullet"/>
      <w:lvlText w:val="•"/>
      <w:lvlJc w:val="left"/>
      <w:pPr>
        <w:ind w:left="2958" w:hanging="263"/>
      </w:pPr>
      <w:rPr>
        <w:rFonts w:hint="default"/>
        <w:lang w:val="en-US" w:eastAsia="zh-CN" w:bidi="ar-SA"/>
      </w:rPr>
    </w:lvl>
    <w:lvl w:ilvl="6">
      <w:start w:val="0"/>
      <w:numFmt w:val="bullet"/>
      <w:lvlText w:val="•"/>
      <w:lvlJc w:val="left"/>
      <w:pPr>
        <w:ind w:left="3473" w:hanging="263"/>
      </w:pPr>
      <w:rPr>
        <w:rFonts w:hint="default"/>
        <w:lang w:val="en-US" w:eastAsia="zh-CN" w:bidi="ar-SA"/>
      </w:rPr>
    </w:lvl>
    <w:lvl w:ilvl="7">
      <w:start w:val="0"/>
      <w:numFmt w:val="bullet"/>
      <w:lvlText w:val="•"/>
      <w:lvlJc w:val="left"/>
      <w:pPr>
        <w:ind w:left="3989" w:hanging="263"/>
      </w:pPr>
      <w:rPr>
        <w:rFonts w:hint="default"/>
        <w:lang w:val="en-US" w:eastAsia="zh-CN" w:bidi="ar-SA"/>
      </w:rPr>
    </w:lvl>
    <w:lvl w:ilvl="8">
      <w:start w:val="0"/>
      <w:numFmt w:val="bullet"/>
      <w:lvlText w:val="•"/>
      <w:lvlJc w:val="left"/>
      <w:pPr>
        <w:ind w:left="4504" w:hanging="263"/>
      </w:pPr>
      <w:rPr>
        <w:rFonts w:hint="default"/>
        <w:lang w:val="en-US" w:eastAsia="zh-CN" w:bidi="ar-SA"/>
      </w:rPr>
    </w:lvl>
  </w:abstractNum>
  <w:abstractNum w:abstractNumId="18">
    <w:nsid w:val="3DA6F6E7"/>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19">
    <w:nsid w:val="444553BD"/>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20">
    <w:nsid w:val="468026D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1">
    <w:nsid w:val="47699EAB"/>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2">
    <w:nsid w:val="47F9AA51"/>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7"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4" w:hanging="264"/>
      </w:pPr>
      <w:rPr>
        <w:rFonts w:hint="default"/>
        <w:lang w:val="en-US" w:eastAsia="zh-CN" w:bidi="ar-SA"/>
      </w:rPr>
    </w:lvl>
    <w:lvl w:ilvl="5">
      <w:start w:val="0"/>
      <w:numFmt w:val="bullet"/>
      <w:lvlText w:val="•"/>
      <w:lvlJc w:val="left"/>
      <w:pPr>
        <w:ind w:left="2818" w:hanging="264"/>
      </w:pPr>
      <w:rPr>
        <w:rFonts w:hint="default"/>
        <w:lang w:val="en-US" w:eastAsia="zh-CN" w:bidi="ar-SA"/>
      </w:rPr>
    </w:lvl>
    <w:lvl w:ilvl="6">
      <w:start w:val="0"/>
      <w:numFmt w:val="bullet"/>
      <w:lvlText w:val="•"/>
      <w:lvlJc w:val="left"/>
      <w:pPr>
        <w:ind w:left="3361" w:hanging="264"/>
      </w:pPr>
      <w:rPr>
        <w:rFonts w:hint="default"/>
        <w:lang w:val="en-US" w:eastAsia="zh-CN" w:bidi="ar-SA"/>
      </w:rPr>
    </w:lvl>
    <w:lvl w:ilvl="7">
      <w:start w:val="0"/>
      <w:numFmt w:val="bullet"/>
      <w:lvlText w:val="•"/>
      <w:lvlJc w:val="left"/>
      <w:pPr>
        <w:ind w:left="3905" w:hanging="264"/>
      </w:pPr>
      <w:rPr>
        <w:rFonts w:hint="default"/>
        <w:lang w:val="en-US" w:eastAsia="zh-CN" w:bidi="ar-SA"/>
      </w:rPr>
    </w:lvl>
    <w:lvl w:ilvl="8">
      <w:start w:val="0"/>
      <w:numFmt w:val="bullet"/>
      <w:lvlText w:val="•"/>
      <w:lvlJc w:val="left"/>
      <w:pPr>
        <w:ind w:left="4448" w:hanging="264"/>
      </w:pPr>
      <w:rPr>
        <w:rFonts w:hint="default"/>
        <w:lang w:val="en-US" w:eastAsia="zh-CN" w:bidi="ar-SA"/>
      </w:rPr>
    </w:lvl>
  </w:abstractNum>
  <w:abstractNum w:abstractNumId="23">
    <w:nsid w:val="49294228"/>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24">
    <w:nsid w:val="4B5A6F6E"/>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7"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4" w:hanging="264"/>
      </w:pPr>
      <w:rPr>
        <w:rFonts w:hint="default"/>
        <w:lang w:val="en-US" w:eastAsia="zh-CN" w:bidi="ar-SA"/>
      </w:rPr>
    </w:lvl>
    <w:lvl w:ilvl="5">
      <w:start w:val="0"/>
      <w:numFmt w:val="bullet"/>
      <w:lvlText w:val="•"/>
      <w:lvlJc w:val="left"/>
      <w:pPr>
        <w:ind w:left="2818" w:hanging="264"/>
      </w:pPr>
      <w:rPr>
        <w:rFonts w:hint="default"/>
        <w:lang w:val="en-US" w:eastAsia="zh-CN" w:bidi="ar-SA"/>
      </w:rPr>
    </w:lvl>
    <w:lvl w:ilvl="6">
      <w:start w:val="0"/>
      <w:numFmt w:val="bullet"/>
      <w:lvlText w:val="•"/>
      <w:lvlJc w:val="left"/>
      <w:pPr>
        <w:ind w:left="3361" w:hanging="264"/>
      </w:pPr>
      <w:rPr>
        <w:rFonts w:hint="default"/>
        <w:lang w:val="en-US" w:eastAsia="zh-CN" w:bidi="ar-SA"/>
      </w:rPr>
    </w:lvl>
    <w:lvl w:ilvl="7">
      <w:start w:val="0"/>
      <w:numFmt w:val="bullet"/>
      <w:lvlText w:val="•"/>
      <w:lvlJc w:val="left"/>
      <w:pPr>
        <w:ind w:left="3905" w:hanging="264"/>
      </w:pPr>
      <w:rPr>
        <w:rFonts w:hint="default"/>
        <w:lang w:val="en-US" w:eastAsia="zh-CN" w:bidi="ar-SA"/>
      </w:rPr>
    </w:lvl>
    <w:lvl w:ilvl="8">
      <w:start w:val="0"/>
      <w:numFmt w:val="bullet"/>
      <w:lvlText w:val="•"/>
      <w:lvlJc w:val="left"/>
      <w:pPr>
        <w:ind w:left="4448" w:hanging="264"/>
      </w:pPr>
      <w:rPr>
        <w:rFonts w:hint="default"/>
        <w:lang w:val="en-US" w:eastAsia="zh-CN" w:bidi="ar-SA"/>
      </w:rPr>
    </w:lvl>
  </w:abstractNum>
  <w:abstractNum w:abstractNumId="25">
    <w:nsid w:val="4C7B5E6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6">
    <w:nsid w:val="4D8844D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7">
    <w:nsid w:val="51AA782C"/>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28">
    <w:nsid w:val="52E09FF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7"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4" w:hanging="264"/>
      </w:pPr>
      <w:rPr>
        <w:rFonts w:hint="default"/>
        <w:lang w:val="en-US" w:eastAsia="zh-CN" w:bidi="ar-SA"/>
      </w:rPr>
    </w:lvl>
    <w:lvl w:ilvl="5">
      <w:start w:val="0"/>
      <w:numFmt w:val="bullet"/>
      <w:lvlText w:val="•"/>
      <w:lvlJc w:val="left"/>
      <w:pPr>
        <w:ind w:left="2818" w:hanging="264"/>
      </w:pPr>
      <w:rPr>
        <w:rFonts w:hint="default"/>
        <w:lang w:val="en-US" w:eastAsia="zh-CN" w:bidi="ar-SA"/>
      </w:rPr>
    </w:lvl>
    <w:lvl w:ilvl="6">
      <w:start w:val="0"/>
      <w:numFmt w:val="bullet"/>
      <w:lvlText w:val="•"/>
      <w:lvlJc w:val="left"/>
      <w:pPr>
        <w:ind w:left="3361" w:hanging="264"/>
      </w:pPr>
      <w:rPr>
        <w:rFonts w:hint="default"/>
        <w:lang w:val="en-US" w:eastAsia="zh-CN" w:bidi="ar-SA"/>
      </w:rPr>
    </w:lvl>
    <w:lvl w:ilvl="7">
      <w:start w:val="0"/>
      <w:numFmt w:val="bullet"/>
      <w:lvlText w:val="•"/>
      <w:lvlJc w:val="left"/>
      <w:pPr>
        <w:ind w:left="3905" w:hanging="264"/>
      </w:pPr>
      <w:rPr>
        <w:rFonts w:hint="default"/>
        <w:lang w:val="en-US" w:eastAsia="zh-CN" w:bidi="ar-SA"/>
      </w:rPr>
    </w:lvl>
    <w:lvl w:ilvl="8">
      <w:start w:val="0"/>
      <w:numFmt w:val="bullet"/>
      <w:lvlText w:val="•"/>
      <w:lvlJc w:val="left"/>
      <w:pPr>
        <w:ind w:left="4448" w:hanging="264"/>
      </w:pPr>
      <w:rPr>
        <w:rFonts w:hint="default"/>
        <w:lang w:val="en-US" w:eastAsia="zh-CN" w:bidi="ar-SA"/>
      </w:rPr>
    </w:lvl>
  </w:abstractNum>
  <w:abstractNum w:abstractNumId="29">
    <w:nsid w:val="54EAFD4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2" w:hanging="263"/>
      </w:pPr>
      <w:rPr>
        <w:rFonts w:hint="default"/>
        <w:lang w:val="en-US" w:eastAsia="zh-CN" w:bidi="ar-SA"/>
      </w:rPr>
    </w:lvl>
    <w:lvl w:ilvl="8">
      <w:start w:val="0"/>
      <w:numFmt w:val="bullet"/>
      <w:lvlText w:val="•"/>
      <w:lvlJc w:val="left"/>
      <w:pPr>
        <w:ind w:left="4434" w:hanging="263"/>
      </w:pPr>
      <w:rPr>
        <w:rFonts w:hint="default"/>
        <w:lang w:val="en-US" w:eastAsia="zh-CN" w:bidi="ar-SA"/>
      </w:rPr>
    </w:lvl>
  </w:abstractNum>
  <w:abstractNum w:abstractNumId="30">
    <w:nsid w:val="55595C6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31">
    <w:nsid w:val="559ADCEE"/>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2">
    <w:nsid w:val="56E6C4B6"/>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33">
    <w:nsid w:val="593D32E4"/>
    <w:multiLevelType w:val="hybridMultilevel"/>
    <w:tmpl w:val="00000000"/>
    <w:lvl w:ilvl="0">
      <w:start w:val="1"/>
      <w:numFmt w:val="decimal"/>
      <w:lvlText w:val="%1."/>
      <w:lvlJc w:val="left"/>
      <w:pPr>
        <w:ind w:left="108" w:hanging="267"/>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7"/>
      </w:pPr>
      <w:rPr>
        <w:rFonts w:hint="default"/>
        <w:lang w:val="en-US" w:eastAsia="zh-CN" w:bidi="ar-SA"/>
      </w:rPr>
    </w:lvl>
    <w:lvl w:ilvl="2">
      <w:start w:val="0"/>
      <w:numFmt w:val="bullet"/>
      <w:lvlText w:val="•"/>
      <w:lvlJc w:val="left"/>
      <w:pPr>
        <w:ind w:left="1183" w:hanging="267"/>
      </w:pPr>
      <w:rPr>
        <w:rFonts w:hint="default"/>
        <w:lang w:val="en-US" w:eastAsia="zh-CN" w:bidi="ar-SA"/>
      </w:rPr>
    </w:lvl>
    <w:lvl w:ilvl="3">
      <w:start w:val="0"/>
      <w:numFmt w:val="bullet"/>
      <w:lvlText w:val="•"/>
      <w:lvlJc w:val="left"/>
      <w:pPr>
        <w:ind w:left="1725" w:hanging="267"/>
      </w:pPr>
      <w:rPr>
        <w:rFonts w:hint="default"/>
        <w:lang w:val="en-US" w:eastAsia="zh-CN" w:bidi="ar-SA"/>
      </w:rPr>
    </w:lvl>
    <w:lvl w:ilvl="4">
      <w:start w:val="0"/>
      <w:numFmt w:val="bullet"/>
      <w:lvlText w:val="•"/>
      <w:lvlJc w:val="left"/>
      <w:pPr>
        <w:ind w:left="2267" w:hanging="267"/>
      </w:pPr>
      <w:rPr>
        <w:rFonts w:hint="default"/>
        <w:lang w:val="en-US" w:eastAsia="zh-CN" w:bidi="ar-SA"/>
      </w:rPr>
    </w:lvl>
    <w:lvl w:ilvl="5">
      <w:start w:val="0"/>
      <w:numFmt w:val="bullet"/>
      <w:lvlText w:val="•"/>
      <w:lvlJc w:val="left"/>
      <w:pPr>
        <w:ind w:left="2809" w:hanging="267"/>
      </w:pPr>
      <w:rPr>
        <w:rFonts w:hint="default"/>
        <w:lang w:val="en-US" w:eastAsia="zh-CN" w:bidi="ar-SA"/>
      </w:rPr>
    </w:lvl>
    <w:lvl w:ilvl="6">
      <w:start w:val="0"/>
      <w:numFmt w:val="bullet"/>
      <w:lvlText w:val="•"/>
      <w:lvlJc w:val="left"/>
      <w:pPr>
        <w:ind w:left="3350" w:hanging="267"/>
      </w:pPr>
      <w:rPr>
        <w:rFonts w:hint="default"/>
        <w:lang w:val="en-US" w:eastAsia="zh-CN" w:bidi="ar-SA"/>
      </w:rPr>
    </w:lvl>
    <w:lvl w:ilvl="7">
      <w:start w:val="0"/>
      <w:numFmt w:val="bullet"/>
      <w:lvlText w:val="•"/>
      <w:lvlJc w:val="left"/>
      <w:pPr>
        <w:ind w:left="3892" w:hanging="267"/>
      </w:pPr>
      <w:rPr>
        <w:rFonts w:hint="default"/>
        <w:lang w:val="en-US" w:eastAsia="zh-CN" w:bidi="ar-SA"/>
      </w:rPr>
    </w:lvl>
    <w:lvl w:ilvl="8">
      <w:start w:val="0"/>
      <w:numFmt w:val="bullet"/>
      <w:lvlText w:val="•"/>
      <w:lvlJc w:val="left"/>
      <w:pPr>
        <w:ind w:left="4434" w:hanging="267"/>
      </w:pPr>
      <w:rPr>
        <w:rFonts w:hint="default"/>
        <w:lang w:val="en-US" w:eastAsia="zh-CN" w:bidi="ar-SA"/>
      </w:rPr>
    </w:lvl>
  </w:abstractNum>
  <w:abstractNum w:abstractNumId="34">
    <w:nsid w:val="5BAFA61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5">
    <w:nsid w:val="5F7BD161"/>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2" w:hanging="264"/>
      </w:pPr>
      <w:rPr>
        <w:rFonts w:hint="default"/>
        <w:lang w:val="en-US" w:eastAsia="zh-CN" w:bidi="ar-SA"/>
      </w:rPr>
    </w:lvl>
    <w:lvl w:ilvl="6">
      <w:start w:val="0"/>
      <w:numFmt w:val="bullet"/>
      <w:lvlText w:val="•"/>
      <w:lvlJc w:val="left"/>
      <w:pPr>
        <w:ind w:left="3354"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9" w:hanging="264"/>
      </w:pPr>
      <w:rPr>
        <w:rFonts w:hint="default"/>
        <w:lang w:val="en-US" w:eastAsia="zh-CN" w:bidi="ar-SA"/>
      </w:rPr>
    </w:lvl>
  </w:abstractNum>
  <w:abstractNum w:abstractNumId="36">
    <w:nsid w:val="63E9388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7">
    <w:nsid w:val="695BFB5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8">
    <w:nsid w:val="6A8804D7"/>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3" w:hanging="264"/>
      </w:pPr>
      <w:rPr>
        <w:rFonts w:hint="default"/>
        <w:lang w:val="en-US" w:eastAsia="zh-CN" w:bidi="ar-SA"/>
      </w:rPr>
    </w:lvl>
    <w:lvl w:ilvl="2">
      <w:start w:val="0"/>
      <w:numFmt w:val="bullet"/>
      <w:lvlText w:val="•"/>
      <w:lvlJc w:val="left"/>
      <w:pPr>
        <w:ind w:left="1187" w:hanging="264"/>
      </w:pPr>
      <w:rPr>
        <w:rFonts w:hint="default"/>
        <w:lang w:val="en-US" w:eastAsia="zh-CN" w:bidi="ar-SA"/>
      </w:rPr>
    </w:lvl>
    <w:lvl w:ilvl="3">
      <w:start w:val="0"/>
      <w:numFmt w:val="bullet"/>
      <w:lvlText w:val="•"/>
      <w:lvlJc w:val="left"/>
      <w:pPr>
        <w:ind w:left="1730" w:hanging="264"/>
      </w:pPr>
      <w:rPr>
        <w:rFonts w:hint="default"/>
        <w:lang w:val="en-US" w:eastAsia="zh-CN" w:bidi="ar-SA"/>
      </w:rPr>
    </w:lvl>
    <w:lvl w:ilvl="4">
      <w:start w:val="0"/>
      <w:numFmt w:val="bullet"/>
      <w:lvlText w:val="•"/>
      <w:lvlJc w:val="left"/>
      <w:pPr>
        <w:ind w:left="2274" w:hanging="264"/>
      </w:pPr>
      <w:rPr>
        <w:rFonts w:hint="default"/>
        <w:lang w:val="en-US" w:eastAsia="zh-CN" w:bidi="ar-SA"/>
      </w:rPr>
    </w:lvl>
    <w:lvl w:ilvl="5">
      <w:start w:val="0"/>
      <w:numFmt w:val="bullet"/>
      <w:lvlText w:val="•"/>
      <w:lvlJc w:val="left"/>
      <w:pPr>
        <w:ind w:left="2818" w:hanging="264"/>
      </w:pPr>
      <w:rPr>
        <w:rFonts w:hint="default"/>
        <w:lang w:val="en-US" w:eastAsia="zh-CN" w:bidi="ar-SA"/>
      </w:rPr>
    </w:lvl>
    <w:lvl w:ilvl="6">
      <w:start w:val="0"/>
      <w:numFmt w:val="bullet"/>
      <w:lvlText w:val="•"/>
      <w:lvlJc w:val="left"/>
      <w:pPr>
        <w:ind w:left="3361" w:hanging="264"/>
      </w:pPr>
      <w:rPr>
        <w:rFonts w:hint="default"/>
        <w:lang w:val="en-US" w:eastAsia="zh-CN" w:bidi="ar-SA"/>
      </w:rPr>
    </w:lvl>
    <w:lvl w:ilvl="7">
      <w:start w:val="0"/>
      <w:numFmt w:val="bullet"/>
      <w:lvlText w:val="•"/>
      <w:lvlJc w:val="left"/>
      <w:pPr>
        <w:ind w:left="3905" w:hanging="264"/>
      </w:pPr>
      <w:rPr>
        <w:rFonts w:hint="default"/>
        <w:lang w:val="en-US" w:eastAsia="zh-CN" w:bidi="ar-SA"/>
      </w:rPr>
    </w:lvl>
    <w:lvl w:ilvl="8">
      <w:start w:val="0"/>
      <w:numFmt w:val="bullet"/>
      <w:lvlText w:val="•"/>
      <w:lvlJc w:val="left"/>
      <w:pPr>
        <w:ind w:left="4448" w:hanging="264"/>
      </w:pPr>
      <w:rPr>
        <w:rFonts w:hint="default"/>
        <w:lang w:val="en-US" w:eastAsia="zh-CN" w:bidi="ar-SA"/>
      </w:rPr>
    </w:lvl>
  </w:abstractNum>
  <w:abstractNum w:abstractNumId="39">
    <w:nsid w:val="6AB8C56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2" w:hanging="263"/>
      </w:pPr>
      <w:rPr>
        <w:rFonts w:hint="default"/>
        <w:lang w:val="en-US" w:eastAsia="zh-CN" w:bidi="ar-SA"/>
      </w:rPr>
    </w:lvl>
    <w:lvl w:ilvl="8">
      <w:start w:val="0"/>
      <w:numFmt w:val="bullet"/>
      <w:lvlText w:val="•"/>
      <w:lvlJc w:val="left"/>
      <w:pPr>
        <w:ind w:left="4434" w:hanging="263"/>
      </w:pPr>
      <w:rPr>
        <w:rFonts w:hint="default"/>
        <w:lang w:val="en-US" w:eastAsia="zh-CN" w:bidi="ar-SA"/>
      </w:rPr>
    </w:lvl>
  </w:abstractNum>
  <w:abstractNum w:abstractNumId="40">
    <w:nsid w:val="6B84124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1">
    <w:nsid w:val="6E70719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2">
    <w:nsid w:val="7052CE19"/>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43">
    <w:nsid w:val="755BC0C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4">
    <w:nsid w:val="7728E971"/>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45">
    <w:nsid w:val="784E938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6">
    <w:nsid w:val="7977C6A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7">
    <w:nsid w:val="79AC64C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2" w:hanging="263"/>
      </w:pPr>
      <w:rPr>
        <w:rFonts w:hint="default"/>
        <w:lang w:val="en-US" w:eastAsia="zh-CN" w:bidi="ar-SA"/>
      </w:rPr>
    </w:lvl>
    <w:lvl w:ilvl="8">
      <w:start w:val="0"/>
      <w:numFmt w:val="bullet"/>
      <w:lvlText w:val="•"/>
      <w:lvlJc w:val="left"/>
      <w:pPr>
        <w:ind w:left="4434" w:hanging="263"/>
      </w:pPr>
      <w:rPr>
        <w:rFonts w:hint="default"/>
        <w:lang w:val="en-US" w:eastAsia="zh-CN" w:bidi="ar-SA"/>
      </w:rPr>
    </w:lvl>
  </w:abstractNum>
  <w:num w:numId="1">
    <w:abstractNumId w:val="20"/>
  </w:num>
  <w:num w:numId="2">
    <w:abstractNumId w:val="25"/>
  </w:num>
  <w:num w:numId="3">
    <w:abstractNumId w:val="34"/>
  </w:num>
  <w:num w:numId="4">
    <w:abstractNumId w:val="10"/>
  </w:num>
  <w:num w:numId="5">
    <w:abstractNumId w:val="37"/>
  </w:num>
  <w:num w:numId="6">
    <w:abstractNumId w:val="4"/>
  </w:num>
  <w:num w:numId="7">
    <w:abstractNumId w:val="5"/>
  </w:num>
  <w:num w:numId="8">
    <w:abstractNumId w:val="29"/>
  </w:num>
  <w:num w:numId="9">
    <w:abstractNumId w:val="1"/>
  </w:num>
  <w:num w:numId="10">
    <w:abstractNumId w:val="39"/>
  </w:num>
  <w:num w:numId="11">
    <w:abstractNumId w:val="47"/>
  </w:num>
  <w:num w:numId="12">
    <w:abstractNumId w:val="33"/>
  </w:num>
  <w:num w:numId="13">
    <w:abstractNumId w:val="6"/>
  </w:num>
  <w:num w:numId="14">
    <w:abstractNumId w:val="7"/>
  </w:num>
  <w:num w:numId="15">
    <w:abstractNumId w:val="0"/>
  </w:num>
  <w:num w:numId="16">
    <w:abstractNumId w:val="14"/>
  </w:num>
  <w:num w:numId="17">
    <w:abstractNumId w:val="35"/>
  </w:num>
  <w:num w:numId="18">
    <w:abstractNumId w:val="16"/>
  </w:num>
  <w:num w:numId="19">
    <w:abstractNumId w:val="19"/>
  </w:num>
  <w:num w:numId="20">
    <w:abstractNumId w:val="31"/>
  </w:num>
  <w:num w:numId="21">
    <w:abstractNumId w:val="9"/>
  </w:num>
  <w:num w:numId="22">
    <w:abstractNumId w:val="41"/>
  </w:num>
  <w:num w:numId="23">
    <w:abstractNumId w:val="13"/>
  </w:num>
  <w:num w:numId="24">
    <w:abstractNumId w:val="43"/>
  </w:num>
  <w:num w:numId="25">
    <w:abstractNumId w:val="26"/>
  </w:num>
  <w:num w:numId="26">
    <w:abstractNumId w:val="21"/>
  </w:num>
  <w:num w:numId="27">
    <w:abstractNumId w:val="11"/>
  </w:num>
  <w:num w:numId="28">
    <w:abstractNumId w:val="8"/>
  </w:num>
  <w:num w:numId="29">
    <w:abstractNumId w:val="40"/>
  </w:num>
  <w:num w:numId="30">
    <w:abstractNumId w:val="46"/>
  </w:num>
  <w:num w:numId="31">
    <w:abstractNumId w:val="3"/>
  </w:num>
  <w:num w:numId="32">
    <w:abstractNumId w:val="45"/>
  </w:num>
  <w:num w:numId="33">
    <w:abstractNumId w:val="36"/>
  </w:num>
  <w:num w:numId="34">
    <w:abstractNumId w:val="12"/>
  </w:num>
  <w:num w:numId="35">
    <w:abstractNumId w:val="30"/>
  </w:num>
  <w:num w:numId="36">
    <w:abstractNumId w:val="23"/>
  </w:num>
  <w:num w:numId="37">
    <w:abstractNumId w:val="44"/>
  </w:num>
  <w:num w:numId="38">
    <w:abstractNumId w:val="42"/>
  </w:num>
  <w:num w:numId="39">
    <w:abstractNumId w:val="32"/>
  </w:num>
  <w:num w:numId="40">
    <w:abstractNumId w:val="15"/>
  </w:num>
  <w:num w:numId="41">
    <w:abstractNumId w:val="27"/>
  </w:num>
  <w:num w:numId="42">
    <w:abstractNumId w:val="18"/>
  </w:num>
  <w:num w:numId="43">
    <w:abstractNumId w:val="24"/>
  </w:num>
  <w:num w:numId="44">
    <w:abstractNumId w:val="28"/>
  </w:num>
  <w:num w:numId="45">
    <w:abstractNumId w:val="2"/>
  </w:num>
  <w:num w:numId="46">
    <w:abstractNumId w:val="17"/>
  </w:num>
  <w:num w:numId="47">
    <w:abstractNumId w:val="38"/>
  </w:num>
  <w:num w:numId="4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1742" w:right="2141"/>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540" w:hanging="420"/>
    </w:pPr>
    <w:rPr>
      <w:rFonts w:ascii="仿宋" w:eastAsia="仿宋" w:hAnsi="仿宋" w:cs="仿宋"/>
      <w:lang w:val="en-US" w:eastAsia="zh-CN" w:bidi="ar-SA"/>
    </w:rPr>
  </w:style>
  <w:style w:type="paragraph" w:customStyle="1" w:styleId="TableParagraph">
    <w:name w:val="Table Paragraph"/>
    <w:basedOn w:val="Normal"/>
    <w:uiPriority w:val="1"/>
    <w:qFormat/>
    <w:pPr>
      <w:ind w:left="108" w:right="96"/>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hyperlink" Target="https://d.book118.com/675220304321011120" TargetMode="Externa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2024-03-05T05:33:18Z</dcterms:created>
  <dcterms:modified xsi:type="dcterms:W3CDTF">2024-03-05T05:33:18Z</dcterms:modified>
</cp:coreProperties>
</file>