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 w:history="1">
        <w:r>
          <w:rPr>
            <w:rFonts w:ascii="仿宋" w:eastAsia="仿宋" w:hAnsi="仿宋" w:cs="仿宋" w:hint="eastAsia"/>
            <w:lang w:eastAsia="zh-CN"/>
          </w:rPr>
          <w:t>序言</w:t>
        </w:r>
        <w:r>
          <w:tab/>
        </w:r>
        <w:r>
          <w:fldChar w:fldCharType="begin"/>
        </w:r>
        <w:r>
          <w:instrText xml:space="preserve"> PAGEREF _Toc3201 \h </w:instrText>
        </w:r>
        <w:r>
          <w:fldChar w:fldCharType="separate"/>
        </w:r>
        <w:r>
          <w:t>3</w:t>
        </w:r>
        <w:r>
          <w:fldChar w:fldCharType="end"/>
        </w:r>
      </w:hyperlink>
    </w:p>
    <w:p>
      <w:pPr>
        <w:pStyle w:val="TOC1"/>
        <w:tabs>
          <w:tab w:val="right" w:leader="dot" w:pos="8306"/>
        </w:tabs>
      </w:pPr>
      <w:hyperlink w:anchor="_Toc26388" w:history="1">
        <w:r>
          <w:rPr>
            <w:rFonts w:ascii="仿宋" w:eastAsia="仿宋" w:hAnsi="仿宋" w:cs="仿宋" w:hint="eastAsia"/>
            <w:lang w:eastAsia="zh-CN"/>
          </w:rPr>
          <w:t>一、水溶性肥项目可持续发展</w:t>
        </w:r>
        <w:r>
          <w:tab/>
        </w:r>
        <w:r>
          <w:fldChar w:fldCharType="begin"/>
        </w:r>
        <w:r>
          <w:instrText xml:space="preserve"> PAGEREF _Toc26388 \h </w:instrText>
        </w:r>
        <w:r>
          <w:fldChar w:fldCharType="separate"/>
        </w:r>
        <w:r>
          <w:t>3</w:t>
        </w:r>
        <w:r>
          <w:fldChar w:fldCharType="end"/>
        </w:r>
      </w:hyperlink>
    </w:p>
    <w:p>
      <w:pPr>
        <w:pStyle w:val="TOC2"/>
        <w:tabs>
          <w:tab w:val="right" w:leader="dot" w:pos="8306"/>
        </w:tabs>
      </w:pPr>
      <w:hyperlink w:anchor="_Toc31845" w:history="1">
        <w:r>
          <w:rPr>
            <w:rFonts w:ascii="仿宋" w:eastAsia="仿宋" w:hAnsi="仿宋" w:cs="仿宋" w:hint="eastAsia"/>
            <w:lang w:eastAsia="zh-CN"/>
          </w:rPr>
          <w:t>(一)、可持续战略与实践</w:t>
        </w:r>
        <w:r>
          <w:tab/>
        </w:r>
        <w:r>
          <w:fldChar w:fldCharType="begin"/>
        </w:r>
        <w:r>
          <w:instrText xml:space="preserve"> PAGEREF _Toc31845 \h </w:instrText>
        </w:r>
        <w:r>
          <w:fldChar w:fldCharType="separate"/>
        </w:r>
        <w:r>
          <w:t>3</w:t>
        </w:r>
        <w:r>
          <w:fldChar w:fldCharType="end"/>
        </w:r>
      </w:hyperlink>
    </w:p>
    <w:p>
      <w:pPr>
        <w:pStyle w:val="TOC2"/>
        <w:tabs>
          <w:tab w:val="right" w:leader="dot" w:pos="8306"/>
        </w:tabs>
      </w:pPr>
      <w:hyperlink w:anchor="_Toc22018" w:history="1">
        <w:r>
          <w:rPr>
            <w:rFonts w:ascii="仿宋" w:eastAsia="仿宋" w:hAnsi="仿宋" w:cs="仿宋" w:hint="eastAsia"/>
            <w:lang w:eastAsia="zh-CN"/>
          </w:rPr>
          <w:t>(二)、环保与社会责任</w:t>
        </w:r>
        <w:r>
          <w:tab/>
        </w:r>
        <w:r>
          <w:fldChar w:fldCharType="begin"/>
        </w:r>
        <w:r>
          <w:instrText xml:space="preserve"> PAGEREF _Toc22018 \h </w:instrText>
        </w:r>
        <w:r>
          <w:fldChar w:fldCharType="separate"/>
        </w:r>
        <w:r>
          <w:t>4</w:t>
        </w:r>
        <w:r>
          <w:fldChar w:fldCharType="end"/>
        </w:r>
      </w:hyperlink>
    </w:p>
    <w:p>
      <w:pPr>
        <w:pStyle w:val="TOC1"/>
        <w:tabs>
          <w:tab w:val="right" w:leader="dot" w:pos="8306"/>
        </w:tabs>
      </w:pPr>
      <w:hyperlink w:anchor="_Toc8810" w:history="1">
        <w:r>
          <w:rPr>
            <w:rFonts w:ascii="仿宋" w:eastAsia="仿宋" w:hAnsi="仿宋" w:cs="仿宋" w:hint="eastAsia"/>
            <w:lang w:eastAsia="zh-CN"/>
          </w:rPr>
          <w:t>二、水溶性肥项目危机管理</w:t>
        </w:r>
        <w:r>
          <w:tab/>
        </w:r>
        <w:r>
          <w:fldChar w:fldCharType="begin"/>
        </w:r>
        <w:r>
          <w:instrText xml:space="preserve"> PAGEREF _Toc8810 \h </w:instrText>
        </w:r>
        <w:r>
          <w:fldChar w:fldCharType="separate"/>
        </w:r>
        <w:r>
          <w:t>4</w:t>
        </w:r>
        <w:r>
          <w:fldChar w:fldCharType="end"/>
        </w:r>
      </w:hyperlink>
    </w:p>
    <w:p>
      <w:pPr>
        <w:pStyle w:val="TOC2"/>
        <w:tabs>
          <w:tab w:val="right" w:leader="dot" w:pos="8306"/>
        </w:tabs>
      </w:pPr>
      <w:hyperlink w:anchor="_Toc32682" w:history="1">
        <w:r>
          <w:rPr>
            <w:rFonts w:ascii="仿宋" w:eastAsia="仿宋" w:hAnsi="仿宋" w:cs="仿宋" w:hint="eastAsia"/>
            <w:lang w:eastAsia="zh-CN"/>
          </w:rPr>
          <w:t>(一)、危机预警与识别</w:t>
        </w:r>
        <w:r>
          <w:tab/>
        </w:r>
        <w:r>
          <w:fldChar w:fldCharType="begin"/>
        </w:r>
        <w:r>
          <w:instrText xml:space="preserve"> PAGEREF _Toc32682 \h </w:instrText>
        </w:r>
        <w:r>
          <w:fldChar w:fldCharType="separate"/>
        </w:r>
        <w:r>
          <w:t>4</w:t>
        </w:r>
        <w:r>
          <w:fldChar w:fldCharType="end"/>
        </w:r>
      </w:hyperlink>
    </w:p>
    <w:p>
      <w:pPr>
        <w:pStyle w:val="TOC2"/>
        <w:tabs>
          <w:tab w:val="right" w:leader="dot" w:pos="8306"/>
        </w:tabs>
      </w:pPr>
      <w:hyperlink w:anchor="_Toc30198" w:history="1">
        <w:r>
          <w:rPr>
            <w:rFonts w:ascii="仿宋" w:eastAsia="仿宋" w:hAnsi="仿宋" w:cs="仿宋" w:hint="eastAsia"/>
            <w:lang w:eastAsia="zh-CN"/>
          </w:rPr>
          <w:t>(二)、危机应对与恢复</w:t>
        </w:r>
        <w:r>
          <w:tab/>
        </w:r>
        <w:r>
          <w:fldChar w:fldCharType="begin"/>
        </w:r>
        <w:r>
          <w:instrText xml:space="preserve"> PAGEREF _Toc30198 \h </w:instrText>
        </w:r>
        <w:r>
          <w:fldChar w:fldCharType="separate"/>
        </w:r>
        <w:r>
          <w:t>5</w:t>
        </w:r>
        <w:r>
          <w:fldChar w:fldCharType="end"/>
        </w:r>
      </w:hyperlink>
    </w:p>
    <w:p>
      <w:pPr>
        <w:pStyle w:val="TOC1"/>
        <w:tabs>
          <w:tab w:val="right" w:leader="dot" w:pos="8306"/>
        </w:tabs>
      </w:pPr>
      <w:hyperlink w:anchor="_Toc10396" w:history="1">
        <w:r>
          <w:rPr>
            <w:rFonts w:ascii="仿宋" w:eastAsia="仿宋" w:hAnsi="仿宋" w:cs="仿宋" w:hint="eastAsia"/>
            <w:lang w:eastAsia="zh-CN"/>
          </w:rPr>
          <w:t>三、水溶性肥项目绩效评估</w:t>
        </w:r>
        <w:r>
          <w:tab/>
        </w:r>
        <w:r>
          <w:fldChar w:fldCharType="begin"/>
        </w:r>
        <w:r>
          <w:instrText xml:space="preserve"> PAGEREF _Toc10396 \h </w:instrText>
        </w:r>
        <w:r>
          <w:fldChar w:fldCharType="separate"/>
        </w:r>
        <w:r>
          <w:t>7</w:t>
        </w:r>
        <w:r>
          <w:fldChar w:fldCharType="end"/>
        </w:r>
      </w:hyperlink>
    </w:p>
    <w:p>
      <w:pPr>
        <w:pStyle w:val="TOC2"/>
        <w:tabs>
          <w:tab w:val="right" w:leader="dot" w:pos="8306"/>
        </w:tabs>
      </w:pPr>
      <w:hyperlink w:anchor="_Toc20728" w:history="1">
        <w:r>
          <w:rPr>
            <w:rFonts w:ascii="仿宋" w:eastAsia="仿宋" w:hAnsi="仿宋" w:cs="仿宋" w:hint="eastAsia"/>
            <w:lang w:eastAsia="zh-CN"/>
          </w:rPr>
          <w:t>(一)、绩效评估指标</w:t>
        </w:r>
        <w:r>
          <w:tab/>
        </w:r>
        <w:r>
          <w:fldChar w:fldCharType="begin"/>
        </w:r>
        <w:r>
          <w:instrText xml:space="preserve"> PAGEREF _Toc20728 \h </w:instrText>
        </w:r>
        <w:r>
          <w:fldChar w:fldCharType="separate"/>
        </w:r>
        <w:r>
          <w:t>7</w:t>
        </w:r>
        <w:r>
          <w:fldChar w:fldCharType="end"/>
        </w:r>
      </w:hyperlink>
    </w:p>
    <w:p>
      <w:pPr>
        <w:pStyle w:val="TOC2"/>
        <w:tabs>
          <w:tab w:val="right" w:leader="dot" w:pos="8306"/>
        </w:tabs>
      </w:pPr>
      <w:hyperlink w:anchor="_Toc21547" w:history="1">
        <w:r>
          <w:rPr>
            <w:rFonts w:ascii="仿宋" w:eastAsia="仿宋" w:hAnsi="仿宋" w:cs="仿宋" w:hint="eastAsia"/>
            <w:lang w:eastAsia="zh-CN"/>
          </w:rPr>
          <w:t>(二)、绩效评估方法</w:t>
        </w:r>
        <w:r>
          <w:tab/>
        </w:r>
        <w:r>
          <w:fldChar w:fldCharType="begin"/>
        </w:r>
        <w:r>
          <w:instrText xml:space="preserve"> PAGEREF _Toc21547 \h </w:instrText>
        </w:r>
        <w:r>
          <w:fldChar w:fldCharType="separate"/>
        </w:r>
        <w:r>
          <w:t>8</w:t>
        </w:r>
        <w:r>
          <w:fldChar w:fldCharType="end"/>
        </w:r>
      </w:hyperlink>
    </w:p>
    <w:p>
      <w:pPr>
        <w:pStyle w:val="TOC2"/>
        <w:tabs>
          <w:tab w:val="right" w:leader="dot" w:pos="8306"/>
        </w:tabs>
      </w:pPr>
      <w:hyperlink w:anchor="_Toc24109" w:history="1">
        <w:r>
          <w:rPr>
            <w:rFonts w:ascii="仿宋" w:eastAsia="仿宋" w:hAnsi="仿宋" w:cs="仿宋" w:hint="eastAsia"/>
            <w:lang w:eastAsia="zh-CN"/>
          </w:rPr>
          <w:t>(三)、绩效评估周期</w:t>
        </w:r>
        <w:r>
          <w:tab/>
        </w:r>
        <w:r>
          <w:fldChar w:fldCharType="begin"/>
        </w:r>
        <w:r>
          <w:instrText xml:space="preserve"> PAGEREF _Toc24109 \h </w:instrText>
        </w:r>
        <w:r>
          <w:fldChar w:fldCharType="separate"/>
        </w:r>
        <w:r>
          <w:t>9</w:t>
        </w:r>
        <w:r>
          <w:fldChar w:fldCharType="end"/>
        </w:r>
      </w:hyperlink>
    </w:p>
    <w:p>
      <w:pPr>
        <w:pStyle w:val="TOC1"/>
        <w:tabs>
          <w:tab w:val="right" w:leader="dot" w:pos="8306"/>
        </w:tabs>
      </w:pPr>
      <w:hyperlink w:anchor="_Toc11271" w:history="1">
        <w:r>
          <w:rPr>
            <w:rFonts w:ascii="仿宋" w:eastAsia="仿宋" w:hAnsi="仿宋" w:cs="仿宋" w:hint="eastAsia"/>
            <w:lang w:eastAsia="zh-CN"/>
          </w:rPr>
          <w:t>四、水溶性肥项目文档管理</w:t>
        </w:r>
        <w:r>
          <w:tab/>
        </w:r>
        <w:r>
          <w:fldChar w:fldCharType="begin"/>
        </w:r>
        <w:r>
          <w:instrText xml:space="preserve"> PAGEREF _Toc11271 \h </w:instrText>
        </w:r>
        <w:r>
          <w:fldChar w:fldCharType="separate"/>
        </w:r>
        <w:r>
          <w:t>10</w:t>
        </w:r>
        <w:r>
          <w:fldChar w:fldCharType="end"/>
        </w:r>
      </w:hyperlink>
    </w:p>
    <w:p>
      <w:pPr>
        <w:pStyle w:val="TOC2"/>
        <w:tabs>
          <w:tab w:val="right" w:leader="dot" w:pos="8306"/>
        </w:tabs>
      </w:pPr>
      <w:hyperlink w:anchor="_Toc19139" w:history="1">
        <w:r>
          <w:rPr>
            <w:rFonts w:ascii="仿宋" w:eastAsia="仿宋" w:hAnsi="仿宋" w:cs="仿宋" w:hint="eastAsia"/>
            <w:lang w:eastAsia="zh-CN"/>
          </w:rPr>
          <w:t>(一)、文档编制与审查</w:t>
        </w:r>
        <w:r>
          <w:tab/>
        </w:r>
        <w:r>
          <w:fldChar w:fldCharType="begin"/>
        </w:r>
        <w:r>
          <w:instrText xml:space="preserve"> PAGEREF _Toc19139 \h </w:instrText>
        </w:r>
        <w:r>
          <w:fldChar w:fldCharType="separate"/>
        </w:r>
        <w:r>
          <w:t>10</w:t>
        </w:r>
        <w:r>
          <w:fldChar w:fldCharType="end"/>
        </w:r>
      </w:hyperlink>
    </w:p>
    <w:p>
      <w:pPr>
        <w:pStyle w:val="TOC2"/>
        <w:tabs>
          <w:tab w:val="right" w:leader="dot" w:pos="8306"/>
        </w:tabs>
      </w:pPr>
      <w:hyperlink w:anchor="_Toc12773" w:history="1">
        <w:r>
          <w:rPr>
            <w:rFonts w:ascii="仿宋" w:eastAsia="仿宋" w:hAnsi="仿宋" w:cs="仿宋" w:hint="eastAsia"/>
            <w:lang w:eastAsia="zh-CN"/>
          </w:rPr>
          <w:t>(二)、文档发布与分发</w:t>
        </w:r>
        <w:r>
          <w:tab/>
        </w:r>
        <w:r>
          <w:fldChar w:fldCharType="begin"/>
        </w:r>
        <w:r>
          <w:instrText xml:space="preserve"> PAGEREF _Toc12773 \h </w:instrText>
        </w:r>
        <w:r>
          <w:fldChar w:fldCharType="separate"/>
        </w:r>
        <w:r>
          <w:t>11</w:t>
        </w:r>
        <w:r>
          <w:fldChar w:fldCharType="end"/>
        </w:r>
      </w:hyperlink>
    </w:p>
    <w:p>
      <w:pPr>
        <w:pStyle w:val="TOC2"/>
        <w:tabs>
          <w:tab w:val="right" w:leader="dot" w:pos="8306"/>
        </w:tabs>
      </w:pPr>
      <w:hyperlink w:anchor="_Toc24049" w:history="1">
        <w:r>
          <w:rPr>
            <w:rFonts w:ascii="仿宋" w:eastAsia="仿宋" w:hAnsi="仿宋" w:cs="仿宋" w:hint="eastAsia"/>
            <w:lang w:eastAsia="zh-CN"/>
          </w:rPr>
          <w:t>(三)、文档存档与归档</w:t>
        </w:r>
        <w:r>
          <w:tab/>
        </w:r>
        <w:r>
          <w:fldChar w:fldCharType="begin"/>
        </w:r>
        <w:r>
          <w:instrText xml:space="preserve"> PAGEREF _Toc24049 \h </w:instrText>
        </w:r>
        <w:r>
          <w:fldChar w:fldCharType="separate"/>
        </w:r>
        <w:r>
          <w:t>12</w:t>
        </w:r>
        <w:r>
          <w:fldChar w:fldCharType="end"/>
        </w:r>
      </w:hyperlink>
    </w:p>
    <w:p>
      <w:pPr>
        <w:pStyle w:val="TOC1"/>
        <w:tabs>
          <w:tab w:val="right" w:leader="dot" w:pos="8306"/>
        </w:tabs>
      </w:pPr>
      <w:hyperlink w:anchor="_Toc29474" w:history="1">
        <w:r>
          <w:rPr>
            <w:rFonts w:ascii="仿宋" w:eastAsia="仿宋" w:hAnsi="仿宋" w:cs="仿宋" w:hint="eastAsia"/>
            <w:lang w:eastAsia="zh-CN"/>
          </w:rPr>
          <w:t>五、市场分析、调研</w:t>
        </w:r>
        <w:r>
          <w:tab/>
        </w:r>
        <w:r>
          <w:fldChar w:fldCharType="begin"/>
        </w:r>
        <w:r>
          <w:instrText xml:space="preserve"> PAGEREF _Toc29474 \h </w:instrText>
        </w:r>
        <w:r>
          <w:fldChar w:fldCharType="separate"/>
        </w:r>
        <w:r>
          <w:t>13</w:t>
        </w:r>
        <w:r>
          <w:fldChar w:fldCharType="end"/>
        </w:r>
      </w:hyperlink>
    </w:p>
    <w:p>
      <w:pPr>
        <w:pStyle w:val="TOC2"/>
        <w:tabs>
          <w:tab w:val="right" w:leader="dot" w:pos="8306"/>
        </w:tabs>
      </w:pPr>
      <w:hyperlink w:anchor="_Toc28288" w:history="1">
        <w:r>
          <w:rPr>
            <w:rFonts w:ascii="仿宋" w:eastAsia="仿宋" w:hAnsi="仿宋" w:cs="仿宋" w:hint="eastAsia"/>
            <w:lang w:eastAsia="zh-CN"/>
          </w:rPr>
          <w:t>(一)、水溶性肥行业分析</w:t>
        </w:r>
        <w:r>
          <w:tab/>
        </w:r>
        <w:r>
          <w:fldChar w:fldCharType="begin"/>
        </w:r>
        <w:r>
          <w:instrText xml:space="preserve"> PAGEREF _Toc28288 \h </w:instrText>
        </w:r>
        <w:r>
          <w:fldChar w:fldCharType="separate"/>
        </w:r>
        <w:r>
          <w:t>13</w:t>
        </w:r>
        <w:r>
          <w:fldChar w:fldCharType="end"/>
        </w:r>
      </w:hyperlink>
    </w:p>
    <w:p>
      <w:pPr>
        <w:pStyle w:val="TOC2"/>
        <w:tabs>
          <w:tab w:val="right" w:leader="dot" w:pos="8306"/>
        </w:tabs>
      </w:pPr>
      <w:hyperlink w:anchor="_Toc30403" w:history="1">
        <w:r>
          <w:rPr>
            <w:rFonts w:ascii="仿宋" w:eastAsia="仿宋" w:hAnsi="仿宋" w:cs="仿宋" w:hint="eastAsia"/>
            <w:lang w:eastAsia="zh-CN"/>
          </w:rPr>
          <w:t>(二)、水溶性肥市场分析预测</w:t>
        </w:r>
        <w:r>
          <w:tab/>
        </w:r>
        <w:r>
          <w:fldChar w:fldCharType="begin"/>
        </w:r>
        <w:r>
          <w:instrText xml:space="preserve"> PAGEREF _Toc30403 \h </w:instrText>
        </w:r>
        <w:r>
          <w:fldChar w:fldCharType="separate"/>
        </w:r>
        <w:r>
          <w:t>14</w:t>
        </w:r>
        <w:r>
          <w:fldChar w:fldCharType="end"/>
        </w:r>
      </w:hyperlink>
    </w:p>
    <w:p>
      <w:pPr>
        <w:pStyle w:val="TOC1"/>
        <w:tabs>
          <w:tab w:val="right" w:leader="dot" w:pos="8306"/>
        </w:tabs>
      </w:pPr>
      <w:hyperlink w:anchor="_Toc11603" w:history="1">
        <w:r>
          <w:rPr>
            <w:rFonts w:ascii="仿宋" w:eastAsia="仿宋" w:hAnsi="仿宋" w:cs="仿宋" w:hint="eastAsia"/>
            <w:lang w:eastAsia="zh-CN"/>
          </w:rPr>
          <w:t>六、水溶性肥项目土建工程</w:t>
        </w:r>
        <w:r>
          <w:tab/>
        </w:r>
        <w:r>
          <w:fldChar w:fldCharType="begin"/>
        </w:r>
        <w:r>
          <w:instrText xml:space="preserve"> PAGEREF _Toc11603 \h </w:instrText>
        </w:r>
        <w:r>
          <w:fldChar w:fldCharType="separate"/>
        </w:r>
        <w:r>
          <w:t>15</w:t>
        </w:r>
        <w:r>
          <w:fldChar w:fldCharType="end"/>
        </w:r>
      </w:hyperlink>
    </w:p>
    <w:p>
      <w:pPr>
        <w:pStyle w:val="TOC2"/>
        <w:tabs>
          <w:tab w:val="right" w:leader="dot" w:pos="8306"/>
        </w:tabs>
      </w:pPr>
      <w:hyperlink w:anchor="_Toc8264" w:history="1">
        <w:r>
          <w:rPr>
            <w:rFonts w:ascii="仿宋" w:eastAsia="仿宋" w:hAnsi="仿宋" w:cs="仿宋" w:hint="eastAsia"/>
            <w:lang w:eastAsia="zh-CN"/>
          </w:rPr>
          <w:t>(一)、建筑工程设计原则</w:t>
        </w:r>
        <w:r>
          <w:tab/>
        </w:r>
        <w:r>
          <w:fldChar w:fldCharType="begin"/>
        </w:r>
        <w:r>
          <w:instrText xml:space="preserve"> PAGEREF _Toc8264 \h </w:instrText>
        </w:r>
        <w:r>
          <w:fldChar w:fldCharType="separate"/>
        </w:r>
        <w:r>
          <w:t>15</w:t>
        </w:r>
        <w:r>
          <w:fldChar w:fldCharType="end"/>
        </w:r>
      </w:hyperlink>
    </w:p>
    <w:p>
      <w:pPr>
        <w:pStyle w:val="TOC2"/>
        <w:tabs>
          <w:tab w:val="right" w:leader="dot" w:pos="8306"/>
        </w:tabs>
      </w:pPr>
      <w:hyperlink w:anchor="_Toc13677" w:history="1">
        <w:r>
          <w:rPr>
            <w:rFonts w:ascii="仿宋" w:eastAsia="仿宋" w:hAnsi="仿宋" w:cs="仿宋" w:hint="eastAsia"/>
            <w:lang w:eastAsia="zh-CN"/>
          </w:rPr>
          <w:t>(二)、土建工程设计年限及安全等级</w:t>
        </w:r>
        <w:r>
          <w:tab/>
        </w:r>
        <w:r>
          <w:fldChar w:fldCharType="begin"/>
        </w:r>
        <w:r>
          <w:instrText xml:space="preserve"> PAGEREF _Toc13677 \h </w:instrText>
        </w:r>
        <w:r>
          <w:fldChar w:fldCharType="separate"/>
        </w:r>
        <w:r>
          <w:t>16</w:t>
        </w:r>
        <w:r>
          <w:fldChar w:fldCharType="end"/>
        </w:r>
      </w:hyperlink>
    </w:p>
    <w:p>
      <w:pPr>
        <w:pStyle w:val="TOC2"/>
        <w:tabs>
          <w:tab w:val="right" w:leader="dot" w:pos="8306"/>
        </w:tabs>
      </w:pPr>
      <w:hyperlink w:anchor="_Toc22048" w:history="1">
        <w:r>
          <w:rPr>
            <w:rFonts w:ascii="仿宋" w:eastAsia="仿宋" w:hAnsi="仿宋" w:cs="仿宋" w:hint="eastAsia"/>
            <w:lang w:eastAsia="zh-CN"/>
          </w:rPr>
          <w:t>(三)、建筑工程设计总体要求</w:t>
        </w:r>
        <w:r>
          <w:tab/>
        </w:r>
        <w:r>
          <w:fldChar w:fldCharType="begin"/>
        </w:r>
        <w:r>
          <w:instrText xml:space="preserve"> PAGEREF _Toc22048 \h </w:instrText>
        </w:r>
        <w:r>
          <w:fldChar w:fldCharType="separate"/>
        </w:r>
        <w:r>
          <w:t>17</w:t>
        </w:r>
        <w:r>
          <w:fldChar w:fldCharType="end"/>
        </w:r>
      </w:hyperlink>
    </w:p>
    <w:p>
      <w:pPr>
        <w:pStyle w:val="TOC2"/>
        <w:tabs>
          <w:tab w:val="right" w:leader="dot" w:pos="8306"/>
        </w:tabs>
      </w:pPr>
      <w:hyperlink w:anchor="_Toc5395" w:history="1">
        <w:r>
          <w:rPr>
            <w:rFonts w:ascii="仿宋" w:eastAsia="仿宋" w:hAnsi="仿宋" w:cs="仿宋" w:hint="eastAsia"/>
            <w:lang w:eastAsia="zh-CN"/>
          </w:rPr>
          <w:t>(四)、土建工程建设指标</w:t>
        </w:r>
        <w:r>
          <w:tab/>
        </w:r>
        <w:r>
          <w:fldChar w:fldCharType="begin"/>
        </w:r>
        <w:r>
          <w:instrText xml:space="preserve"> PAGEREF _Toc5395 \h </w:instrText>
        </w:r>
        <w:r>
          <w:fldChar w:fldCharType="separate"/>
        </w:r>
        <w:r>
          <w:t>18</w:t>
        </w:r>
        <w:r>
          <w:fldChar w:fldCharType="end"/>
        </w:r>
      </w:hyperlink>
    </w:p>
    <w:p>
      <w:pPr>
        <w:pStyle w:val="TOC1"/>
        <w:tabs>
          <w:tab w:val="right" w:leader="dot" w:pos="8306"/>
        </w:tabs>
      </w:pPr>
      <w:hyperlink w:anchor="_Toc28871" w:history="1">
        <w:r>
          <w:rPr>
            <w:rFonts w:ascii="仿宋" w:eastAsia="仿宋" w:hAnsi="仿宋" w:cs="仿宋" w:hint="eastAsia"/>
            <w:lang w:eastAsia="zh-CN"/>
          </w:rPr>
          <w:t>七、水溶性肥项目财务管理</w:t>
        </w:r>
        <w:r>
          <w:tab/>
        </w:r>
        <w:r>
          <w:fldChar w:fldCharType="begin"/>
        </w:r>
        <w:r>
          <w:instrText xml:space="preserve"> PAGEREF _Toc28871 \h </w:instrText>
        </w:r>
        <w:r>
          <w:fldChar w:fldCharType="separate"/>
        </w:r>
        <w:r>
          <w:t>18</w:t>
        </w:r>
        <w:r>
          <w:fldChar w:fldCharType="end"/>
        </w:r>
      </w:hyperlink>
    </w:p>
    <w:p>
      <w:pPr>
        <w:pStyle w:val="TOC2"/>
        <w:tabs>
          <w:tab w:val="right" w:leader="dot" w:pos="8306"/>
        </w:tabs>
      </w:pPr>
      <w:hyperlink w:anchor="_Toc24816" w:history="1">
        <w:r>
          <w:rPr>
            <w:rFonts w:ascii="仿宋" w:eastAsia="仿宋" w:hAnsi="仿宋" w:cs="仿宋" w:hint="eastAsia"/>
            <w:lang w:eastAsia="zh-CN"/>
          </w:rPr>
          <w:t>(一)、资金需求大</w:t>
        </w:r>
        <w:r>
          <w:tab/>
        </w:r>
        <w:r>
          <w:fldChar w:fldCharType="begin"/>
        </w:r>
        <w:r>
          <w:instrText xml:space="preserve"> PAGEREF _Toc24816 \h </w:instrText>
        </w:r>
        <w:r>
          <w:fldChar w:fldCharType="separate"/>
        </w:r>
        <w:r>
          <w:t>18</w:t>
        </w:r>
        <w:r>
          <w:fldChar w:fldCharType="end"/>
        </w:r>
      </w:hyperlink>
    </w:p>
    <w:p>
      <w:pPr>
        <w:pStyle w:val="TOC2"/>
        <w:tabs>
          <w:tab w:val="right" w:leader="dot" w:pos="8306"/>
        </w:tabs>
      </w:pPr>
      <w:hyperlink w:anchor="_Toc24537" w:history="1">
        <w:r>
          <w:rPr>
            <w:rFonts w:ascii="仿宋" w:eastAsia="仿宋" w:hAnsi="仿宋" w:cs="仿宋" w:hint="eastAsia"/>
            <w:lang w:eastAsia="zh-CN"/>
          </w:rPr>
          <w:t>(二)、研发周期长</w:t>
        </w:r>
        <w:r>
          <w:tab/>
        </w:r>
        <w:r>
          <w:fldChar w:fldCharType="begin"/>
        </w:r>
        <w:r>
          <w:instrText xml:space="preserve"> PAGEREF _Toc24537 \h </w:instrText>
        </w:r>
        <w:r>
          <w:fldChar w:fldCharType="separate"/>
        </w:r>
        <w:r>
          <w:t>19</w:t>
        </w:r>
        <w:r>
          <w:fldChar w:fldCharType="end"/>
        </w:r>
      </w:hyperlink>
    </w:p>
    <w:p>
      <w:pPr>
        <w:pStyle w:val="TOC2"/>
        <w:tabs>
          <w:tab w:val="right" w:leader="dot" w:pos="8306"/>
        </w:tabs>
      </w:pPr>
      <w:hyperlink w:anchor="_Toc10598" w:history="1">
        <w:r>
          <w:rPr>
            <w:rFonts w:ascii="仿宋" w:eastAsia="仿宋" w:hAnsi="仿宋" w:cs="仿宋" w:hint="eastAsia"/>
            <w:lang w:eastAsia="zh-CN"/>
          </w:rPr>
          <w:t>(三)、市场风险大</w:t>
        </w:r>
        <w:r>
          <w:tab/>
        </w:r>
        <w:r>
          <w:fldChar w:fldCharType="begin"/>
        </w:r>
        <w:r>
          <w:instrText xml:space="preserve"> PAGEREF _Toc10598 \h </w:instrText>
        </w:r>
        <w:r>
          <w:fldChar w:fldCharType="separate"/>
        </w:r>
        <w:r>
          <w:t>20</w:t>
        </w:r>
        <w:r>
          <w:fldChar w:fldCharType="end"/>
        </w:r>
      </w:hyperlink>
    </w:p>
    <w:p>
      <w:pPr>
        <w:pStyle w:val="TOC2"/>
        <w:tabs>
          <w:tab w:val="right" w:leader="dot" w:pos="8306"/>
        </w:tabs>
      </w:pPr>
      <w:hyperlink w:anchor="_Toc7316" w:history="1">
        <w:r>
          <w:rPr>
            <w:rFonts w:ascii="仿宋" w:eastAsia="仿宋" w:hAnsi="仿宋" w:cs="仿宋" w:hint="eastAsia"/>
            <w:lang w:eastAsia="zh-CN"/>
          </w:rPr>
          <w:t>(四)、利润率高</w:t>
        </w:r>
        <w:r>
          <w:tab/>
        </w:r>
        <w:r>
          <w:fldChar w:fldCharType="begin"/>
        </w:r>
        <w:r>
          <w:instrText xml:space="preserve"> PAGEREF _Toc7316 \h </w:instrText>
        </w:r>
        <w:r>
          <w:fldChar w:fldCharType="separate"/>
        </w:r>
        <w:r>
          <w:t>23</w:t>
        </w:r>
        <w:r>
          <w:fldChar w:fldCharType="end"/>
        </w:r>
      </w:hyperlink>
    </w:p>
    <w:p>
      <w:pPr>
        <w:pStyle w:val="TOC1"/>
        <w:tabs>
          <w:tab w:val="right" w:leader="dot" w:pos="8306"/>
        </w:tabs>
      </w:pPr>
      <w:hyperlink w:anchor="_Toc11130" w:history="1">
        <w:r>
          <w:rPr>
            <w:rFonts w:ascii="仿宋" w:eastAsia="仿宋" w:hAnsi="仿宋" w:cs="仿宋" w:hint="eastAsia"/>
            <w:lang w:eastAsia="zh-CN"/>
          </w:rPr>
          <w:t>八、水溶性肥项目技术管理</w:t>
        </w:r>
        <w:r>
          <w:tab/>
        </w:r>
        <w:r>
          <w:fldChar w:fldCharType="begin"/>
        </w:r>
        <w:r>
          <w:instrText xml:space="preserve"> PAGEREF _Toc11130 \h </w:instrText>
        </w:r>
        <w:r>
          <w:fldChar w:fldCharType="separate"/>
        </w:r>
        <w:r>
          <w:t>25</w:t>
        </w:r>
        <w:r>
          <w:fldChar w:fldCharType="end"/>
        </w:r>
      </w:hyperlink>
    </w:p>
    <w:p>
      <w:pPr>
        <w:pStyle w:val="TOC2"/>
        <w:tabs>
          <w:tab w:val="right" w:leader="dot" w:pos="8306"/>
        </w:tabs>
      </w:pPr>
      <w:hyperlink w:anchor="_Toc32166" w:history="1">
        <w:r>
          <w:rPr>
            <w:rFonts w:ascii="仿宋" w:eastAsia="仿宋" w:hAnsi="仿宋" w:cs="仿宋" w:hint="eastAsia"/>
            <w:lang w:eastAsia="zh-CN"/>
          </w:rPr>
          <w:t>(一)、技术方案选用方向</w:t>
        </w:r>
        <w:r>
          <w:tab/>
        </w:r>
        <w:r>
          <w:fldChar w:fldCharType="begin"/>
        </w:r>
        <w:r>
          <w:instrText xml:space="preserve"> PAGEREF _Toc32166 \h </w:instrText>
        </w:r>
        <w:r>
          <w:fldChar w:fldCharType="separate"/>
        </w:r>
        <w:r>
          <w:t>25</w:t>
        </w:r>
        <w:r>
          <w:fldChar w:fldCharType="end"/>
        </w:r>
      </w:hyperlink>
    </w:p>
    <w:p>
      <w:pPr>
        <w:pStyle w:val="TOC2"/>
        <w:tabs>
          <w:tab w:val="right" w:leader="dot" w:pos="8306"/>
        </w:tabs>
      </w:pPr>
      <w:hyperlink w:anchor="_Toc8694" w:history="1">
        <w:r>
          <w:rPr>
            <w:rFonts w:ascii="仿宋" w:eastAsia="仿宋" w:hAnsi="仿宋" w:cs="仿宋" w:hint="eastAsia"/>
            <w:lang w:eastAsia="zh-CN"/>
          </w:rPr>
          <w:t>(二)、工艺技术方案选用原则</w:t>
        </w:r>
        <w:r>
          <w:tab/>
        </w:r>
        <w:r>
          <w:fldChar w:fldCharType="begin"/>
        </w:r>
        <w:r>
          <w:instrText xml:space="preserve"> PAGEREF _Toc8694 \h </w:instrText>
        </w:r>
        <w:r>
          <w:fldChar w:fldCharType="separate"/>
        </w:r>
        <w:r>
          <w:t>27</w:t>
        </w:r>
        <w:r>
          <w:fldChar w:fldCharType="end"/>
        </w:r>
      </w:hyperlink>
    </w:p>
    <w:p>
      <w:pPr>
        <w:pStyle w:val="TOC2"/>
        <w:tabs>
          <w:tab w:val="right" w:leader="dot" w:pos="8306"/>
        </w:tabs>
      </w:pPr>
      <w:hyperlink w:anchor="_Toc24125" w:history="1">
        <w:r>
          <w:rPr>
            <w:rFonts w:ascii="仿宋" w:eastAsia="仿宋" w:hAnsi="仿宋" w:cs="仿宋" w:hint="eastAsia"/>
            <w:lang w:eastAsia="zh-CN"/>
          </w:rPr>
          <w:t>(三)、工艺技术方案要求</w:t>
        </w:r>
        <w:r>
          <w:tab/>
        </w:r>
        <w:r>
          <w:fldChar w:fldCharType="begin"/>
        </w:r>
        <w:r>
          <w:instrText xml:space="preserve"> PAGEREF _Toc24125 \h </w:instrText>
        </w:r>
        <w:r>
          <w:fldChar w:fldCharType="separate"/>
        </w:r>
        <w:r>
          <w:t>29</w:t>
        </w:r>
        <w:r>
          <w:fldChar w:fldCharType="end"/>
        </w:r>
      </w:hyperlink>
    </w:p>
    <w:p>
      <w:pPr>
        <w:pStyle w:val="TOC1"/>
        <w:tabs>
          <w:tab w:val="right" w:leader="dot" w:pos="8306"/>
        </w:tabs>
      </w:pPr>
      <w:hyperlink w:anchor="_Toc178" w:history="1">
        <w:r>
          <w:rPr>
            <w:rFonts w:ascii="仿宋" w:eastAsia="仿宋" w:hAnsi="仿宋" w:cs="仿宋" w:hint="eastAsia"/>
            <w:lang w:eastAsia="zh-CN"/>
          </w:rPr>
          <w:t>九、水溶性肥项目社会影响</w:t>
        </w:r>
        <w:r>
          <w:tab/>
        </w:r>
        <w:r>
          <w:fldChar w:fldCharType="begin"/>
        </w:r>
        <w:r>
          <w:instrText xml:space="preserve"> PAGEREF _Toc178 \h </w:instrText>
        </w:r>
        <w:r>
          <w:fldChar w:fldCharType="separate"/>
        </w:r>
        <w:r>
          <w:t>31</w:t>
        </w:r>
        <w:r>
          <w:fldChar w:fldCharType="end"/>
        </w:r>
      </w:hyperlink>
    </w:p>
    <w:p>
      <w:pPr>
        <w:pStyle w:val="TOC2"/>
        <w:tabs>
          <w:tab w:val="right" w:leader="dot" w:pos="8306"/>
        </w:tabs>
      </w:pPr>
      <w:hyperlink w:anchor="_Toc23210" w:history="1">
        <w:r>
          <w:rPr>
            <w:rFonts w:ascii="仿宋" w:eastAsia="仿宋" w:hAnsi="仿宋" w:cs="仿宋" w:hint="eastAsia"/>
            <w:lang w:eastAsia="zh-CN"/>
          </w:rPr>
          <w:t>(一)、社会责任与义务</w:t>
        </w:r>
        <w:r>
          <w:tab/>
        </w:r>
        <w:r>
          <w:fldChar w:fldCharType="begin"/>
        </w:r>
        <w:r>
          <w:instrText xml:space="preserve"> PAGEREF _Toc23210 \h </w:instrText>
        </w:r>
        <w:r>
          <w:fldChar w:fldCharType="separate"/>
        </w:r>
        <w:r>
          <w:t>31</w:t>
        </w:r>
        <w:r>
          <w:fldChar w:fldCharType="end"/>
        </w:r>
      </w:hyperlink>
    </w:p>
    <w:p>
      <w:pPr>
        <w:pStyle w:val="TOC2"/>
        <w:tabs>
          <w:tab w:val="right" w:leader="dot" w:pos="8306"/>
        </w:tabs>
      </w:pPr>
      <w:hyperlink w:anchor="_Toc29483" w:history="1">
        <w:r>
          <w:rPr>
            <w:rFonts w:ascii="仿宋" w:eastAsia="仿宋" w:hAnsi="仿宋" w:cs="仿宋" w:hint="eastAsia"/>
            <w:lang w:eastAsia="zh-CN"/>
          </w:rPr>
          <w:t>(二)、社会参与与沟通</w:t>
        </w:r>
        <w:r>
          <w:tab/>
        </w:r>
        <w:r>
          <w:fldChar w:fldCharType="begin"/>
        </w:r>
        <w:r>
          <w:instrText xml:space="preserve"> PAGEREF _Toc29483 \h </w:instrText>
        </w:r>
        <w:r>
          <w:fldChar w:fldCharType="separate"/>
        </w:r>
        <w:r>
          <w:t>32</w:t>
        </w:r>
        <w:r>
          <w:fldChar w:fldCharType="end"/>
        </w:r>
      </w:hyperlink>
    </w:p>
    <w:p>
      <w:pPr>
        <w:pStyle w:val="TOC1"/>
        <w:tabs>
          <w:tab w:val="right" w:leader="dot" w:pos="8306"/>
        </w:tabs>
      </w:pPr>
      <w:hyperlink w:anchor="_Toc14110" w:history="1">
        <w:r>
          <w:rPr>
            <w:rFonts w:ascii="仿宋" w:eastAsia="仿宋" w:hAnsi="仿宋" w:cs="仿宋" w:hint="eastAsia"/>
            <w:lang w:eastAsia="zh-CN"/>
          </w:rPr>
          <w:t>十、水溶性肥项目环境影响分析</w:t>
        </w:r>
        <w:r>
          <w:tab/>
        </w:r>
        <w:r>
          <w:fldChar w:fldCharType="begin"/>
        </w:r>
        <w:r>
          <w:instrText xml:space="preserve"> PAGEREF _Toc14110 \h </w:instrText>
        </w:r>
        <w:r>
          <w:fldChar w:fldCharType="separate"/>
        </w:r>
        <w:r>
          <w:t>33</w:t>
        </w:r>
        <w:r>
          <w:fldChar w:fldCharType="end"/>
        </w:r>
      </w:hyperlink>
    </w:p>
    <w:p>
      <w:pPr>
        <w:pStyle w:val="TOC2"/>
        <w:tabs>
          <w:tab w:val="right" w:leader="dot" w:pos="8306"/>
        </w:tabs>
      </w:pPr>
      <w:hyperlink w:anchor="_Toc208" w:history="1">
        <w:r>
          <w:rPr>
            <w:rFonts w:ascii="仿宋" w:eastAsia="仿宋" w:hAnsi="仿宋" w:cs="仿宋" w:hint="eastAsia"/>
            <w:lang w:eastAsia="zh-CN"/>
          </w:rPr>
          <w:t>(一)、建设区域环境质量现状</w:t>
        </w:r>
        <w:r>
          <w:tab/>
        </w:r>
        <w:r>
          <w:fldChar w:fldCharType="begin"/>
        </w:r>
        <w:r>
          <w:instrText xml:space="preserve"> PAGEREF _Toc208 \h </w:instrText>
        </w:r>
        <w:r>
          <w:fldChar w:fldCharType="separate"/>
        </w:r>
        <w:r>
          <w:t>33</w:t>
        </w:r>
        <w:r>
          <w:fldChar w:fldCharType="end"/>
        </w:r>
      </w:hyperlink>
    </w:p>
    <w:p>
      <w:pPr>
        <w:pStyle w:val="TOC2"/>
        <w:tabs>
          <w:tab w:val="right" w:leader="dot" w:pos="8306"/>
        </w:tabs>
      </w:pPr>
      <w:hyperlink w:anchor="_Toc26952" w:history="1">
        <w:r>
          <w:rPr>
            <w:rFonts w:ascii="仿宋" w:eastAsia="仿宋" w:hAnsi="仿宋" w:cs="仿宋" w:hint="eastAsia"/>
            <w:lang w:eastAsia="zh-CN"/>
          </w:rPr>
          <w:t>(二)、建设期环境保护</w:t>
        </w:r>
        <w:r>
          <w:tab/>
        </w:r>
        <w:r>
          <w:fldChar w:fldCharType="begin"/>
        </w:r>
        <w:r>
          <w:instrText xml:space="preserve"> PAGEREF _Toc26952 \h </w:instrText>
        </w:r>
        <w:r>
          <w:fldChar w:fldCharType="separate"/>
        </w:r>
        <w:r>
          <w:t>34</w:t>
        </w:r>
        <w:r>
          <w:fldChar w:fldCharType="end"/>
        </w:r>
      </w:hyperlink>
    </w:p>
    <w:p>
      <w:pPr>
        <w:pStyle w:val="TOC2"/>
        <w:tabs>
          <w:tab w:val="right" w:leader="dot" w:pos="8306"/>
        </w:tabs>
      </w:pPr>
      <w:hyperlink w:anchor="_Toc3241" w:history="1">
        <w:r>
          <w:rPr>
            <w:rFonts w:ascii="仿宋" w:eastAsia="仿宋" w:hAnsi="仿宋" w:cs="仿宋" w:hint="eastAsia"/>
            <w:lang w:eastAsia="zh-CN"/>
          </w:rPr>
          <w:t>(三)、运营期环境保护</w:t>
        </w:r>
        <w:r>
          <w:tab/>
        </w:r>
        <w:r>
          <w:fldChar w:fldCharType="begin"/>
        </w:r>
        <w:r>
          <w:instrText xml:space="preserve"> PAGEREF _Toc3241 \h </w:instrText>
        </w:r>
        <w:r>
          <w:fldChar w:fldCharType="separate"/>
        </w:r>
        <w:r>
          <w:t>36</w:t>
        </w:r>
        <w:r>
          <w:fldChar w:fldCharType="end"/>
        </w:r>
      </w:hyperlink>
    </w:p>
    <w:p>
      <w:pPr>
        <w:pStyle w:val="TOC2"/>
        <w:tabs>
          <w:tab w:val="right" w:leader="dot" w:pos="8306"/>
        </w:tabs>
      </w:pPr>
      <w:hyperlink w:anchor="_Toc17368" w:history="1">
        <w:r>
          <w:rPr>
            <w:rFonts w:ascii="仿宋" w:eastAsia="仿宋" w:hAnsi="仿宋" w:cs="仿宋" w:hint="eastAsia"/>
            <w:lang w:eastAsia="zh-CN"/>
          </w:rPr>
          <w:t>(四)、水溶性肥项目建设对区域经济的影响</w:t>
        </w:r>
        <w:r>
          <w:tab/>
        </w:r>
        <w:r>
          <w:fldChar w:fldCharType="begin"/>
        </w:r>
        <w:r>
          <w:instrText xml:space="preserve"> PAGEREF _Toc17368 \h </w:instrText>
        </w:r>
        <w:r>
          <w:fldChar w:fldCharType="separate"/>
        </w:r>
        <w:r>
          <w:t>37</w:t>
        </w:r>
        <w:r>
          <w:fldChar w:fldCharType="end"/>
        </w:r>
      </w:hyperlink>
    </w:p>
    <w:p>
      <w:pPr>
        <w:pStyle w:val="TOC2"/>
        <w:tabs>
          <w:tab w:val="right" w:leader="dot" w:pos="8306"/>
        </w:tabs>
      </w:pPr>
      <w:hyperlink w:anchor="_Toc21318" w:history="1">
        <w:r>
          <w:rPr>
            <w:rFonts w:ascii="仿宋" w:eastAsia="仿宋" w:hAnsi="仿宋" w:cs="仿宋" w:hint="eastAsia"/>
            <w:lang w:eastAsia="zh-CN"/>
          </w:rPr>
          <w:t>(五)、废弃物处理</w:t>
        </w:r>
        <w:r>
          <w:tab/>
        </w:r>
        <w:r>
          <w:fldChar w:fldCharType="begin"/>
        </w:r>
        <w:r>
          <w:instrText xml:space="preserve"> PAGEREF _Toc21318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5" w:history="1">
        <w:r>
          <w:rPr>
            <w:rFonts w:ascii="仿宋" w:eastAsia="仿宋" w:hAnsi="仿宋" w:cs="仿宋" w:hint="eastAsia"/>
            <w:lang w:eastAsia="zh-CN"/>
          </w:rPr>
          <w:t>(六)、特殊环境影响分析</w:t>
        </w:r>
        <w:r>
          <w:tab/>
        </w:r>
        <w:r>
          <w:fldChar w:fldCharType="begin"/>
        </w:r>
        <w:r>
          <w:instrText xml:space="preserve"> PAGEREF _Toc31545 \h </w:instrText>
        </w:r>
        <w:r>
          <w:fldChar w:fldCharType="separate"/>
        </w:r>
        <w:r>
          <w:t>40</w:t>
        </w:r>
        <w:r>
          <w:fldChar w:fldCharType="end"/>
        </w:r>
      </w:hyperlink>
    </w:p>
    <w:p>
      <w:pPr>
        <w:pStyle w:val="TOC2"/>
        <w:tabs>
          <w:tab w:val="right" w:leader="dot" w:pos="8306"/>
        </w:tabs>
      </w:pPr>
      <w:hyperlink w:anchor="_Toc24858" w:history="1">
        <w:r>
          <w:rPr>
            <w:rFonts w:ascii="仿宋" w:eastAsia="仿宋" w:hAnsi="仿宋" w:cs="仿宋" w:hint="eastAsia"/>
            <w:lang w:eastAsia="zh-CN"/>
          </w:rPr>
          <w:t>(七)、清洁生产</w:t>
        </w:r>
        <w:r>
          <w:tab/>
        </w:r>
        <w:r>
          <w:fldChar w:fldCharType="begin"/>
        </w:r>
        <w:r>
          <w:instrText xml:space="preserve"> PAGEREF _Toc24858 \h </w:instrText>
        </w:r>
        <w:r>
          <w:fldChar w:fldCharType="separate"/>
        </w:r>
        <w:r>
          <w:t>41</w:t>
        </w:r>
        <w:r>
          <w:fldChar w:fldCharType="end"/>
        </w:r>
      </w:hyperlink>
    </w:p>
    <w:p>
      <w:pPr>
        <w:pStyle w:val="TOC2"/>
        <w:tabs>
          <w:tab w:val="right" w:leader="dot" w:pos="8306"/>
        </w:tabs>
      </w:pPr>
      <w:hyperlink w:anchor="_Toc13567" w:history="1">
        <w:r>
          <w:rPr>
            <w:rFonts w:ascii="仿宋" w:eastAsia="仿宋" w:hAnsi="仿宋" w:cs="仿宋" w:hint="eastAsia"/>
            <w:lang w:eastAsia="zh-CN"/>
          </w:rPr>
          <w:t>(八)、环境保护综合评价</w:t>
        </w:r>
        <w:r>
          <w:tab/>
        </w:r>
        <w:r>
          <w:fldChar w:fldCharType="begin"/>
        </w:r>
        <w:r>
          <w:instrText xml:space="preserve"> PAGEREF _Toc13567 \h </w:instrText>
        </w:r>
        <w:r>
          <w:fldChar w:fldCharType="separate"/>
        </w:r>
        <w:r>
          <w:t>42</w:t>
        </w:r>
        <w:r>
          <w:fldChar w:fldCharType="end"/>
        </w:r>
      </w:hyperlink>
    </w:p>
    <w:p>
      <w:pPr>
        <w:pStyle w:val="TOC1"/>
        <w:tabs>
          <w:tab w:val="right" w:leader="dot" w:pos="8306"/>
        </w:tabs>
      </w:pPr>
      <w:hyperlink w:anchor="_Toc3238" w:history="1">
        <w:r>
          <w:rPr>
            <w:rFonts w:ascii="仿宋" w:eastAsia="仿宋" w:hAnsi="仿宋" w:cs="仿宋" w:hint="eastAsia"/>
            <w:lang w:eastAsia="zh-CN"/>
          </w:rPr>
          <w:t>十一、水溶性肥项目经营效益</w:t>
        </w:r>
        <w:r>
          <w:tab/>
        </w:r>
        <w:r>
          <w:fldChar w:fldCharType="begin"/>
        </w:r>
        <w:r>
          <w:instrText xml:space="preserve"> PAGEREF _Toc3238 \h </w:instrText>
        </w:r>
        <w:r>
          <w:fldChar w:fldCharType="separate"/>
        </w:r>
        <w:r>
          <w:t>44</w:t>
        </w:r>
        <w:r>
          <w:fldChar w:fldCharType="end"/>
        </w:r>
      </w:hyperlink>
    </w:p>
    <w:p>
      <w:pPr>
        <w:pStyle w:val="TOC2"/>
        <w:tabs>
          <w:tab w:val="right" w:leader="dot" w:pos="8306"/>
        </w:tabs>
      </w:pPr>
      <w:hyperlink w:anchor="_Toc8155" w:history="1">
        <w:r>
          <w:rPr>
            <w:rFonts w:ascii="仿宋" w:eastAsia="仿宋" w:hAnsi="仿宋" w:cs="仿宋" w:hint="eastAsia"/>
            <w:lang w:eastAsia="zh-CN"/>
          </w:rPr>
          <w:t>(一)、经济评价财务测算</w:t>
        </w:r>
        <w:r>
          <w:tab/>
        </w:r>
        <w:r>
          <w:fldChar w:fldCharType="begin"/>
        </w:r>
        <w:r>
          <w:instrText xml:space="preserve"> PAGEREF _Toc8155 \h </w:instrText>
        </w:r>
        <w:r>
          <w:fldChar w:fldCharType="separate"/>
        </w:r>
        <w:r>
          <w:t>44</w:t>
        </w:r>
        <w:r>
          <w:fldChar w:fldCharType="end"/>
        </w:r>
      </w:hyperlink>
    </w:p>
    <w:p>
      <w:pPr>
        <w:pStyle w:val="TOC2"/>
        <w:tabs>
          <w:tab w:val="right" w:leader="dot" w:pos="8306"/>
        </w:tabs>
      </w:pPr>
      <w:hyperlink w:anchor="_Toc6957" w:history="1">
        <w:r>
          <w:rPr>
            <w:rFonts w:ascii="仿宋" w:eastAsia="仿宋" w:hAnsi="仿宋" w:cs="仿宋" w:hint="eastAsia"/>
            <w:lang w:eastAsia="zh-CN"/>
          </w:rPr>
          <w:t>(二)、水溶性肥项目盈利能力分析</w:t>
        </w:r>
        <w:r>
          <w:tab/>
        </w:r>
        <w:r>
          <w:fldChar w:fldCharType="begin"/>
        </w:r>
        <w:r>
          <w:instrText xml:space="preserve"> PAGEREF _Toc6957 \h </w:instrText>
        </w:r>
        <w:r>
          <w:fldChar w:fldCharType="separate"/>
        </w:r>
        <w:r>
          <w:t>45</w:t>
        </w:r>
        <w:r>
          <w:fldChar w:fldCharType="end"/>
        </w:r>
      </w:hyperlink>
    </w:p>
    <w:p>
      <w:pPr>
        <w:pStyle w:val="TOC1"/>
        <w:tabs>
          <w:tab w:val="right" w:leader="dot" w:pos="8306"/>
        </w:tabs>
      </w:pPr>
      <w:hyperlink w:anchor="_Toc16403" w:history="1">
        <w:r>
          <w:rPr>
            <w:rFonts w:ascii="仿宋" w:eastAsia="仿宋" w:hAnsi="仿宋" w:cs="仿宋" w:hint="eastAsia"/>
            <w:lang w:eastAsia="zh-CN"/>
          </w:rPr>
          <w:t>十二、水溶性肥项目风险管理</w:t>
        </w:r>
        <w:r>
          <w:tab/>
        </w:r>
        <w:r>
          <w:fldChar w:fldCharType="begin"/>
        </w:r>
        <w:r>
          <w:instrText xml:space="preserve"> PAGEREF _Toc16403 \h </w:instrText>
        </w:r>
        <w:r>
          <w:fldChar w:fldCharType="separate"/>
        </w:r>
        <w:r>
          <w:t>46</w:t>
        </w:r>
        <w:r>
          <w:fldChar w:fldCharType="end"/>
        </w:r>
      </w:hyperlink>
    </w:p>
    <w:p>
      <w:pPr>
        <w:pStyle w:val="TOC2"/>
        <w:tabs>
          <w:tab w:val="right" w:leader="dot" w:pos="8306"/>
        </w:tabs>
      </w:pPr>
      <w:hyperlink w:anchor="_Toc11200" w:history="1">
        <w:r>
          <w:rPr>
            <w:rFonts w:ascii="仿宋" w:eastAsia="仿宋" w:hAnsi="仿宋" w:cs="仿宋" w:hint="eastAsia"/>
            <w:lang w:eastAsia="zh-CN"/>
          </w:rPr>
          <w:t>(一)、风险识别与评估</w:t>
        </w:r>
        <w:r>
          <w:tab/>
        </w:r>
        <w:r>
          <w:fldChar w:fldCharType="begin"/>
        </w:r>
        <w:r>
          <w:instrText xml:space="preserve"> PAGEREF _Toc11200 \h </w:instrText>
        </w:r>
        <w:r>
          <w:fldChar w:fldCharType="separate"/>
        </w:r>
        <w:r>
          <w:t>46</w:t>
        </w:r>
        <w:r>
          <w:fldChar w:fldCharType="end"/>
        </w:r>
      </w:hyperlink>
    </w:p>
    <w:p>
      <w:pPr>
        <w:pStyle w:val="TOC2"/>
        <w:tabs>
          <w:tab w:val="right" w:leader="dot" w:pos="8306"/>
        </w:tabs>
      </w:pPr>
      <w:hyperlink w:anchor="_Toc15564" w:history="1">
        <w:r>
          <w:rPr>
            <w:rFonts w:ascii="仿宋" w:eastAsia="仿宋" w:hAnsi="仿宋" w:cs="仿宋" w:hint="eastAsia"/>
            <w:lang w:eastAsia="zh-CN"/>
          </w:rPr>
          <w:t>(二)、风险应对策略</w:t>
        </w:r>
        <w:r>
          <w:tab/>
        </w:r>
        <w:r>
          <w:fldChar w:fldCharType="begin"/>
        </w:r>
        <w:r>
          <w:instrText xml:space="preserve"> PAGEREF _Toc15564 \h </w:instrText>
        </w:r>
        <w:r>
          <w:fldChar w:fldCharType="separate"/>
        </w:r>
        <w:r>
          <w:t>47</w:t>
        </w:r>
        <w:r>
          <w:fldChar w:fldCharType="end"/>
        </w:r>
      </w:hyperlink>
    </w:p>
    <w:p>
      <w:pPr>
        <w:pStyle w:val="TOC2"/>
        <w:tabs>
          <w:tab w:val="right" w:leader="dot" w:pos="8306"/>
        </w:tabs>
      </w:pPr>
      <w:hyperlink w:anchor="_Toc9182" w:history="1">
        <w:r>
          <w:rPr>
            <w:rFonts w:ascii="仿宋" w:eastAsia="仿宋" w:hAnsi="仿宋" w:cs="仿宋" w:hint="eastAsia"/>
            <w:lang w:eastAsia="zh-CN"/>
          </w:rPr>
          <w:t>(三)、风险监控与控制</w:t>
        </w:r>
        <w:r>
          <w:tab/>
        </w:r>
        <w:r>
          <w:fldChar w:fldCharType="begin"/>
        </w:r>
        <w:r>
          <w:instrText xml:space="preserve"> PAGEREF _Toc9182 \h </w:instrText>
        </w:r>
        <w:r>
          <w:fldChar w:fldCharType="separate"/>
        </w:r>
        <w:r>
          <w:t>49</w:t>
        </w:r>
        <w:r>
          <w:fldChar w:fldCharType="end"/>
        </w:r>
      </w:hyperlink>
    </w:p>
    <w:p>
      <w:pPr>
        <w:pStyle w:val="TOC1"/>
        <w:tabs>
          <w:tab w:val="right" w:leader="dot" w:pos="8306"/>
        </w:tabs>
      </w:pPr>
      <w:hyperlink w:anchor="_Toc7346" w:history="1">
        <w:r>
          <w:rPr>
            <w:rFonts w:ascii="仿宋" w:eastAsia="仿宋" w:hAnsi="仿宋" w:cs="仿宋" w:hint="eastAsia"/>
            <w:lang w:eastAsia="zh-CN"/>
          </w:rPr>
          <w:t>十三、风险识别与分类</w:t>
        </w:r>
        <w:r>
          <w:tab/>
        </w:r>
        <w:r>
          <w:fldChar w:fldCharType="begin"/>
        </w:r>
        <w:r>
          <w:instrText xml:space="preserve"> PAGEREF _Toc7346 \h </w:instrText>
        </w:r>
        <w:r>
          <w:fldChar w:fldCharType="separate"/>
        </w:r>
        <w:r>
          <w:t>50</w:t>
        </w:r>
        <w:r>
          <w:fldChar w:fldCharType="end"/>
        </w:r>
      </w:hyperlink>
    </w:p>
    <w:p>
      <w:pPr>
        <w:pStyle w:val="TOC2"/>
        <w:tabs>
          <w:tab w:val="right" w:leader="dot" w:pos="8306"/>
        </w:tabs>
      </w:pPr>
      <w:hyperlink w:anchor="_Toc29194" w:history="1">
        <w:r>
          <w:rPr>
            <w:rFonts w:ascii="仿宋" w:eastAsia="仿宋" w:hAnsi="仿宋" w:cs="仿宋" w:hint="eastAsia"/>
            <w:lang w:eastAsia="zh-CN"/>
          </w:rPr>
          <w:t>(一)、风险识别</w:t>
        </w:r>
        <w:r>
          <w:tab/>
        </w:r>
        <w:r>
          <w:fldChar w:fldCharType="begin"/>
        </w:r>
        <w:r>
          <w:instrText xml:space="preserve"> PAGEREF _Toc29194 \h </w:instrText>
        </w:r>
        <w:r>
          <w:fldChar w:fldCharType="separate"/>
        </w:r>
        <w:r>
          <w:t>50</w:t>
        </w:r>
        <w:r>
          <w:fldChar w:fldCharType="end"/>
        </w:r>
      </w:hyperlink>
    </w:p>
    <w:p>
      <w:pPr>
        <w:pStyle w:val="TOC2"/>
        <w:tabs>
          <w:tab w:val="right" w:leader="dot" w:pos="8306"/>
        </w:tabs>
      </w:pPr>
      <w:hyperlink w:anchor="_Toc5304" w:history="1">
        <w:r>
          <w:rPr>
            <w:rFonts w:ascii="仿宋" w:eastAsia="仿宋" w:hAnsi="仿宋" w:cs="仿宋" w:hint="eastAsia"/>
            <w:lang w:eastAsia="zh-CN"/>
          </w:rPr>
          <w:t>(二)、风险分类</w:t>
        </w:r>
        <w:r>
          <w:tab/>
        </w:r>
        <w:r>
          <w:fldChar w:fldCharType="begin"/>
        </w:r>
        <w:r>
          <w:instrText xml:space="preserve"> PAGEREF _Toc5304 \h </w:instrText>
        </w:r>
        <w:r>
          <w:fldChar w:fldCharType="separate"/>
        </w:r>
        <w:r>
          <w:t>51</w:t>
        </w:r>
        <w:r>
          <w:fldChar w:fldCharType="end"/>
        </w:r>
      </w:hyperlink>
    </w:p>
    <w:p>
      <w:pPr>
        <w:pStyle w:val="TOC1"/>
        <w:tabs>
          <w:tab w:val="right" w:leader="dot" w:pos="8306"/>
        </w:tabs>
      </w:pPr>
      <w:hyperlink w:anchor="_Toc24057" w:history="1">
        <w:r>
          <w:rPr>
            <w:rFonts w:ascii="仿宋" w:eastAsia="仿宋" w:hAnsi="仿宋" w:cs="仿宋" w:hint="eastAsia"/>
            <w:lang w:eastAsia="zh-CN"/>
          </w:rPr>
          <w:t>十四、质量管理体系</w:t>
        </w:r>
        <w:r>
          <w:tab/>
        </w:r>
        <w:r>
          <w:fldChar w:fldCharType="begin"/>
        </w:r>
        <w:r>
          <w:instrText xml:space="preserve"> PAGEREF _Toc24057 \h </w:instrText>
        </w:r>
        <w:r>
          <w:fldChar w:fldCharType="separate"/>
        </w:r>
        <w:r>
          <w:t>53</w:t>
        </w:r>
        <w:r>
          <w:fldChar w:fldCharType="end"/>
        </w:r>
      </w:hyperlink>
    </w:p>
    <w:p>
      <w:pPr>
        <w:pStyle w:val="TOC2"/>
        <w:tabs>
          <w:tab w:val="right" w:leader="dot" w:pos="8306"/>
        </w:tabs>
      </w:pPr>
      <w:hyperlink w:anchor="_Toc25099" w:history="1">
        <w:r>
          <w:rPr>
            <w:rFonts w:ascii="仿宋" w:eastAsia="仿宋" w:hAnsi="仿宋" w:cs="仿宋" w:hint="eastAsia"/>
            <w:lang w:eastAsia="zh-CN"/>
          </w:rPr>
          <w:t>(一)、质量目标与方针</w:t>
        </w:r>
        <w:r>
          <w:tab/>
        </w:r>
        <w:r>
          <w:fldChar w:fldCharType="begin"/>
        </w:r>
        <w:r>
          <w:instrText xml:space="preserve"> PAGEREF _Toc25099 \h </w:instrText>
        </w:r>
        <w:r>
          <w:fldChar w:fldCharType="separate"/>
        </w:r>
        <w:r>
          <w:t>53</w:t>
        </w:r>
        <w:r>
          <w:fldChar w:fldCharType="end"/>
        </w:r>
      </w:hyperlink>
    </w:p>
    <w:p>
      <w:pPr>
        <w:pStyle w:val="TOC2"/>
        <w:tabs>
          <w:tab w:val="right" w:leader="dot" w:pos="8306"/>
        </w:tabs>
      </w:pPr>
      <w:hyperlink w:anchor="_Toc6982" w:history="1">
        <w:r>
          <w:rPr>
            <w:rFonts w:ascii="仿宋" w:eastAsia="仿宋" w:hAnsi="仿宋" w:cs="仿宋" w:hint="eastAsia"/>
            <w:lang w:eastAsia="zh-CN"/>
          </w:rPr>
          <w:t>(二)、质量管理责任</w:t>
        </w:r>
        <w:r>
          <w:tab/>
        </w:r>
        <w:r>
          <w:fldChar w:fldCharType="begin"/>
        </w:r>
        <w:r>
          <w:instrText xml:space="preserve"> PAGEREF _Toc6982 \h </w:instrText>
        </w:r>
        <w:r>
          <w:fldChar w:fldCharType="separate"/>
        </w:r>
        <w:r>
          <w:t>54</w:t>
        </w:r>
        <w:r>
          <w:fldChar w:fldCharType="end"/>
        </w:r>
      </w:hyperlink>
    </w:p>
    <w:p>
      <w:pPr>
        <w:pStyle w:val="TOC2"/>
        <w:tabs>
          <w:tab w:val="right" w:leader="dot" w:pos="8306"/>
        </w:tabs>
      </w:pPr>
      <w:hyperlink w:anchor="_Toc12399" w:history="1">
        <w:r>
          <w:rPr>
            <w:rFonts w:ascii="仿宋" w:eastAsia="仿宋" w:hAnsi="仿宋" w:cs="仿宋" w:hint="eastAsia"/>
            <w:lang w:eastAsia="zh-CN"/>
          </w:rPr>
          <w:t>(三)、质量管理体系文件</w:t>
        </w:r>
        <w:r>
          <w:tab/>
        </w:r>
        <w:r>
          <w:fldChar w:fldCharType="begin"/>
        </w:r>
        <w:r>
          <w:instrText xml:space="preserve"> PAGEREF _Toc12399 \h </w:instrText>
        </w:r>
        <w:r>
          <w:fldChar w:fldCharType="separate"/>
        </w:r>
        <w:r>
          <w:t>55</w:t>
        </w:r>
        <w:r>
          <w:fldChar w:fldCharType="end"/>
        </w:r>
      </w:hyperlink>
    </w:p>
    <w:p>
      <w:pPr>
        <w:pStyle w:val="TOC2"/>
        <w:tabs>
          <w:tab w:val="right" w:leader="dot" w:pos="8306"/>
        </w:tabs>
      </w:pPr>
      <w:hyperlink w:anchor="_Toc15065" w:history="1">
        <w:r>
          <w:rPr>
            <w:rFonts w:ascii="仿宋" w:eastAsia="仿宋" w:hAnsi="仿宋" w:cs="仿宋" w:hint="eastAsia"/>
            <w:lang w:eastAsia="zh-CN"/>
          </w:rPr>
          <w:t>(四)、质量培训与教育</w:t>
        </w:r>
        <w:r>
          <w:tab/>
        </w:r>
        <w:r>
          <w:fldChar w:fldCharType="begin"/>
        </w:r>
        <w:r>
          <w:instrText xml:space="preserve"> PAGEREF _Toc15065 \h </w:instrText>
        </w:r>
        <w:r>
          <w:fldChar w:fldCharType="separate"/>
        </w:r>
        <w:r>
          <w:t>57</w:t>
        </w:r>
        <w:r>
          <w:fldChar w:fldCharType="end"/>
        </w:r>
      </w:hyperlink>
    </w:p>
    <w:p>
      <w:pPr>
        <w:pStyle w:val="TOC2"/>
        <w:tabs>
          <w:tab w:val="right" w:leader="dot" w:pos="8306"/>
        </w:tabs>
      </w:pPr>
      <w:hyperlink w:anchor="_Toc22678" w:history="1">
        <w:r>
          <w:rPr>
            <w:rFonts w:ascii="仿宋" w:eastAsia="仿宋" w:hAnsi="仿宋" w:cs="仿宋" w:hint="eastAsia"/>
            <w:lang w:eastAsia="zh-CN"/>
          </w:rPr>
          <w:t>(五)、质量审核与评价</w:t>
        </w:r>
        <w:r>
          <w:tab/>
        </w:r>
        <w:r>
          <w:fldChar w:fldCharType="begin"/>
        </w:r>
        <w:r>
          <w:instrText xml:space="preserve"> PAGEREF _Toc22678 \h </w:instrText>
        </w:r>
        <w:r>
          <w:fldChar w:fldCharType="separate"/>
        </w:r>
        <w:r>
          <w:t>58</w:t>
        </w:r>
        <w:r>
          <w:fldChar w:fldCharType="end"/>
        </w:r>
      </w:hyperlink>
    </w:p>
    <w:p>
      <w:pPr>
        <w:pStyle w:val="TOC2"/>
        <w:tabs>
          <w:tab w:val="right" w:leader="dot" w:pos="8306"/>
        </w:tabs>
      </w:pPr>
      <w:hyperlink w:anchor="_Toc14430" w:history="1">
        <w:r>
          <w:rPr>
            <w:rFonts w:ascii="仿宋" w:eastAsia="仿宋" w:hAnsi="仿宋" w:cs="仿宋" w:hint="eastAsia"/>
            <w:lang w:eastAsia="zh-CN"/>
          </w:rPr>
          <w:t>(六)、不符合与纠正措施</w:t>
        </w:r>
        <w:r>
          <w:tab/>
        </w:r>
        <w:r>
          <w:fldChar w:fldCharType="begin"/>
        </w:r>
        <w:r>
          <w:instrText xml:space="preserve"> PAGEREF _Toc14430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88"/>
      <w:r>
        <w:rPr>
          <w:rFonts w:ascii="仿宋" w:eastAsia="仿宋" w:hAnsi="仿宋" w:cs="仿宋" w:hint="eastAsia"/>
          <w:sz w:val="28"/>
          <w:lang w:eastAsia="zh-CN"/>
        </w:rPr>
        <w:t>一、水溶性肥项目可持续发展</w:t>
      </w:r>
      <w:bookmarkEnd w:id="2"/>
    </w:p>
    <w:p>
      <w:pPr>
        <w:pStyle w:val="Heading2"/>
        <w:rPr>
          <w:rFonts w:ascii="仿宋" w:eastAsia="仿宋" w:hAnsi="仿宋" w:cs="仿宋" w:hint="eastAsia"/>
          <w:lang w:eastAsia="zh-CN"/>
        </w:rPr>
      </w:pPr>
      <w:bookmarkStart w:id="3" w:name="_Toc3184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中，水溶性肥项目团队着眼于未来，明确了可持续发展的战略方向。制定的具体可持续发展目标包括降低资源使用、采用环保技术、最大化社会效益等。这一步骤不仅有助于水溶性肥项目在环保和社会责任方面达到最高标准，也为未来提供了明确的指引，确保水溶性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可持续实践的融入水溶性肥项目管理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水溶性肥项目管理周期。从水溶性肥项目规划开始，水溶性肥项目团队就考虑了环境和社会的因素。在执行阶段，水溶性肥项目团队积极推动绿色技术的应用，优化资源利用。此外，关注员工的社会责任，通过培训和沟通活动提高员工对可持续发展的认知，使他们能够在日常工作中践行可持续实践。这些举措不仅为水溶性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0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扎根于水溶性肥项目的可持续发展理念，我们深信环保与社会责任是水溶性肥项目成功的关键支柱。在水溶性肥项目的每一步，我们都致力于通过创新和实践，履行对环境和社会的坚定责任。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团队通过引入先进的环保技术、建立高效的废物处理系统以及推动能源节约措施，积极履行环保责任。定期的环保监测和评估确保水溶性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不仅致力于自身可持续发展，还注重对社会的回馈。通过支持社区水溶性肥项目、参与慈善事业、提供培训机会等方式，水溶性肥项目积极履行社会责任。与当地社区建立积极互动，关注员工的工作与生活平衡，以及员工的身心健康，是水溶性肥项目在社会责任层面的关键举措。这样的实践不仅增强了水溶性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10"/>
      <w:r>
        <w:rPr>
          <w:rFonts w:ascii="仿宋" w:eastAsia="仿宋" w:hAnsi="仿宋" w:cs="仿宋" w:hint="eastAsia"/>
          <w:sz w:val="28"/>
          <w:lang w:eastAsia="zh-CN"/>
        </w:rPr>
        <w:t>二、水溶性肥项目危机管理</w:t>
      </w:r>
      <w:bookmarkEnd w:id="5"/>
    </w:p>
    <w:p>
      <w:pPr>
        <w:pStyle w:val="Heading2"/>
        <w:rPr>
          <w:rFonts w:ascii="仿宋" w:eastAsia="仿宋" w:hAnsi="仿宋" w:cs="仿宋" w:hint="eastAsia"/>
          <w:lang w:eastAsia="zh-CN"/>
        </w:rPr>
      </w:pPr>
      <w:bookmarkStart w:id="6" w:name="_Toc3268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危机管理中，危机预警与识别是确保水溶性肥项目稳健运行的核心步骤。通过建立全面的监测机制，水溶性肥项目团队旨在及时发现和理解潜在的风险和危机因素，以便采取及时的预防和应对措施，确保水溶性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首先，通过深入的风险评估，水溶性肥项目团队全面分析了整个水溶性肥项目和各个阶段可能存在的威胁。这包括准确评估每个潜在风险的发生概率和可能影响的程度，为后续危机预警提供了有力支持。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溶性肥项目团队着重于明确定义水溶性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溶性肥项目进展的持续监控，团队能够及时发现潜在问题并作出迅速反应。水溶性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在这一阶段，团队的专业素养和反应速度将发挥至关重要的作用，以确保潜在危机能够在初期得到有效的处理，最大程度地减轻负面影响。通过危机预警与识别，水溶性肥项目得以更有序、可控地推进。</w:t>
      </w:r>
    </w:p>
    <w:p>
      <w:pPr>
        <w:pStyle w:val="Heading2"/>
        <w:ind w:firstLine="560" w:firstLineChars="200"/>
        <w:rPr>
          <w:rFonts w:ascii="仿宋" w:eastAsia="仿宋" w:hAnsi="仿宋" w:cs="仿宋" w:hint="eastAsia"/>
          <w:sz w:val="28"/>
          <w:lang w:eastAsia="zh-CN"/>
        </w:rPr>
      </w:pPr>
      <w:bookmarkStart w:id="7" w:name="_Toc301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在危机发生时，水溶性肥项目团队立即行动，成立了应急小组。该小组的任务是迅速制定并实施紧急应对措施，以最小化潜在损失。以下是采取的主要措施：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暂停水溶性肥项目进度：为遏制危机蔓延，水溶性肥项目暂时停止进行，以便全面评估当前状况。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资源重新分配：重新评估水溶性肥项目资源的分配，确保最大限度地减小损失。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实时沟通：与关键利益相关者建立实时沟通机制，向他们传递水溶性肥项目危机的实际状况，保障水溶性肥项目核心利益。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在紧急应对的同时，水溶性肥项目团队强调了团队协作和有效沟通的重要性。以下是团队协作的关键举措：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信息共享机制：建立了信息共享平台，确保团队成员能够及时获取水溶性肥项目危机的实时信息。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领导者沟通：水溶性肥项目领导者通过定期会议和即时沟通工具，指导团队应对危机，保持团队稳定运行。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随着危机得到初步控制，水溶性肥项目团队转向制定恢复计划，以确保水溶性肥项目能够从中迅速恢复。主要恢复计划包括：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修复受损的进度计划：重新评估水溶性肥项目进度，制定修复计划，确保水溶性肥项目尽快回归正常进程。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重新调整资源分配：优化资源分配，确保水溶性肥项目在有限资源下高效运转。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风险管理机制加强：对水溶性肥项目风险进行全面评估，制定更强化的风险管理策略，以预防未来可能的危机。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396"/>
      <w:r>
        <w:rPr>
          <w:rFonts w:ascii="仿宋" w:eastAsia="仿宋" w:hAnsi="仿宋" w:cs="仿宋" w:hint="eastAsia"/>
          <w:sz w:val="28"/>
          <w:lang w:eastAsia="zh-CN"/>
        </w:rPr>
        <w:t>三、水溶性肥项目绩效评估</w:t>
      </w:r>
      <w:bookmarkEnd w:id="8"/>
    </w:p>
    <w:p>
      <w:pPr>
        <w:pStyle w:val="Heading2"/>
        <w:rPr>
          <w:rFonts w:ascii="仿宋" w:eastAsia="仿宋" w:hAnsi="仿宋" w:cs="仿宋" w:hint="eastAsia"/>
          <w:lang w:eastAsia="zh-CN"/>
        </w:rPr>
      </w:pPr>
      <w:bookmarkStart w:id="9" w:name="_Toc2072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中，我们设计了一套全面的绩效评估指标，以确保水溶性肥项目的可控和成功交付。这些指标跨足水溶性肥项目目标、成本、进度和质量等多个维度，为我们提供了全面洞察水溶性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目标达成率是我们关注的首要指标。我们设定了明确的目标，并通过定期监测和评估，迅速发现并应对潜在的目标偏差。这为水溶性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成本绩效是另一个核心关注点。通过实际成本与预算成本的对比分析，我们深入了解成本差异的原因，及时调整资源分配，保持水溶性肥项目在经济效益方面的合理水平。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溶性肥项目进度作为关键的绩效指标之一，得到了精心的关注。我们制定了详细的水溶性肥项目进度计划，并设立了进度符合度指标，确保实际进度与计划进度保持一致。这使我们能够快速发现和解决潜在的进度问题，保持水溶性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溶性肥项目绩效的不可或缺的一环。我们引入了一系列的质量标准和客户满意度指标，以确保水溶性肥项目交付的成果在质量上达到或超越预期水平。通过持续监测这些指标，我们努力提升水溶性肥项目整体质量水平，为水溶性肥项目的成功交付提供有力保障。通过这些科学且全面的绩效评估，我们能够更好地引导水溶性肥项目的持续改进，确保水溶性肥项目目标的顺利达成。</w:t>
      </w:r>
    </w:p>
    <w:p>
      <w:pPr>
        <w:pStyle w:val="Heading2"/>
        <w:ind w:firstLine="560" w:firstLineChars="200"/>
        <w:rPr>
          <w:rFonts w:ascii="仿宋" w:eastAsia="仿宋" w:hAnsi="仿宋" w:cs="仿宋" w:hint="eastAsia"/>
          <w:sz w:val="28"/>
          <w:lang w:eastAsia="zh-CN"/>
        </w:rPr>
      </w:pPr>
      <w:bookmarkStart w:id="10" w:name="_Toc215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绩效评估是水溶性肥项目中的关键环节，为确保水溶性肥项目达到预期目标，我们采用了多层次、多维度的绩效评估方法。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溶性肥项目的战略目标对齐，确保每个决策和行动都与水溶性肥项目整体目标保持一致。团队会定期召开战略对齐会议，审视当前工作与水溶性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溶性肥项目进度、质量、成本和风险等方面。这些指标通过数据收集和分析，为水溶性肥项目管理团队提供了客观的评估依据。例如，我们通过水溶性肥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绩效评估不仅仅停留在水溶性肥项目内部，还考虑了水溶性肥项目对外部环境的影响。我们定期进行干系人满意度调查，以了解各利益相关方对水溶性肥项目的期望和满意度，并及时做出调整。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这种多层次、多角度的绩效评估方法，使得我们能够全面了解水溶性肥项目的运行状态，及时做出调整，确保水溶性肥项目在不断变化的环境中保持稳健前行。</w:t>
      </w:r>
    </w:p>
    <w:p>
      <w:pPr>
        <w:pStyle w:val="Heading2"/>
        <w:ind w:firstLine="560" w:firstLineChars="200"/>
        <w:rPr>
          <w:rFonts w:ascii="仿宋" w:eastAsia="仿宋" w:hAnsi="仿宋" w:cs="仿宋" w:hint="eastAsia"/>
          <w:sz w:val="28"/>
          <w:lang w:eastAsia="zh-CN"/>
        </w:rPr>
      </w:pPr>
      <w:bookmarkStart w:id="11" w:name="_Toc2410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为了确保水溶性肥项目的有效管理和不断优化，我们采用了精心设计的绩效评估周期。这个周期旨在实现灵活、实时和全面的评估，以适应水溶性肥项目执行中的各种挑战。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溶性肥项目的不同需求，分为短期、中期和长期。短期评估关注每个迭代或工作周期，以及时发现和解决当前任务中的问题。中期评估涵盖几个迭代，深入了解整体水溶性肥项目的趋势和性能。长期评估则着眼于整个水溶性肥项目阶段，确保水溶性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水溶性肥项目管理工具和协作平台，团队成员能够随时更新和分享水溶性肥项目数据。这种实时性的反馈机制使我们能够及时察觉潜在问题，快速调整，保持水溶性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溶性肥项目的决策制定密不可分。每个周期的水溶性肥项目回顾会议成为集体总结经验、识别问题深层次原因并找到创新解决方案的平台。这种定期的反思与调整机制使水溶性肥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271"/>
      <w:r>
        <w:rPr>
          <w:rFonts w:ascii="仿宋" w:eastAsia="仿宋" w:hAnsi="仿宋" w:cs="仿宋" w:hint="eastAsia"/>
          <w:sz w:val="28"/>
          <w:lang w:eastAsia="zh-CN"/>
        </w:rPr>
        <w:t>四、水溶性肥项目文档管理</w:t>
      </w:r>
      <w:bookmarkEnd w:id="12"/>
    </w:p>
    <w:p>
      <w:pPr>
        <w:pStyle w:val="Heading2"/>
        <w:rPr>
          <w:rFonts w:ascii="仿宋" w:eastAsia="仿宋" w:hAnsi="仿宋" w:cs="仿宋" w:hint="eastAsia"/>
          <w:lang w:eastAsia="zh-CN"/>
        </w:rPr>
      </w:pPr>
      <w:bookmarkStart w:id="13" w:name="_Toc1913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水溶性肥项目高度重视文档的质量和准确性，以支持水溶性肥项目的各项活动和决策。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文档的编制始于水溶性肥项目计划的初期，我们制定了详细的文档编制计划，明确了每个文档的内容、格式和编写责任人。在水溶性肥项目启动阶段，我们首先编制了水溶性肥项目章程，明确定义了水溶性肥项目的目标、范围、风险等关键要素。随后，水溶性肥项目团队根据计划陆续编制了需求文档、设计文档、测试文档等各类文档，确保水溶性肥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溶性肥项目管理中的重要环节，旨在确保水溶性肥项目文档符合质量标准和水溶性肥项目需求。在水溶性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除了内部审查，我们还进行了外部审查，邀请水溶性肥项目相关利益方和专业领域的专家对文档进行独立审查。这有助于获取更全面、客观的反馈，确保水溶性肥项目文档不仅符合内部标准，也满足外部需求。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水溶性肥项目在文档编制与审查方面建立了严格的管理机制，通过规范的流程和多维度的审查，确保水溶性肥项目文档的质量、准确性和可靠性，为水溶性肥项目的顺利推进提供了有力支持。</w:t>
      </w:r>
    </w:p>
    <w:p>
      <w:pPr>
        <w:pStyle w:val="Heading2"/>
        <w:ind w:firstLine="560" w:firstLineChars="200"/>
        <w:rPr>
          <w:rFonts w:ascii="仿宋" w:eastAsia="仿宋" w:hAnsi="仿宋" w:cs="仿宋" w:hint="eastAsia"/>
          <w:sz w:val="28"/>
          <w:lang w:eastAsia="zh-CN"/>
        </w:rPr>
      </w:pPr>
      <w:bookmarkStart w:id="14" w:name="_Toc1277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我们通过多渠道发布文档，包括电子邮件、水溶性肥项目管理平台、内部网站等，以满足不同团队成员的偏好和需求。多渠道发布确保了信息的全面覆盖。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我们采用了精细的权限控制，确保只有授权人员可以访问敏感信息。这种安全措施保护了水溶性肥项目文档的机密性，防止了未经授权的信息泄露。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0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文档存档与归档是水溶性肥项目生命周期中一个至关重要的环节，直接关系到水溶性肥项目信息的长期保存和历史记录的完整性。在水溶性肥项目中，我们实施了一系列有效的文档存档与归档管理策略：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947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288"/>
      <w:r>
        <w:rPr>
          <w:rFonts w:ascii="仿宋" w:eastAsia="仿宋" w:hAnsi="仿宋" w:cs="仿宋" w:hint="eastAsia"/>
          <w:lang w:eastAsia="zh-CN"/>
        </w:rPr>
        <w:t>(一)、水溶性肥行业分析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行业一直以来都是市场的关注焦点。行业内的发展趋势、竞争态势以及潜在机会都对水溶性肥项目的推进产生深远的影响。通过深入研究行业的整体概貌，我们将更好地理解行业的核心特征，为水溶性肥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行业，技术一直是推动创新和发展的关键因素。我们将对当前技术趋势进行详尽分析，包括但不限于人工智能、大数据应用、先进制造技术等。这有助于水溶性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溶性肥项目成功的基础。我们将对主要竞争对手进行深入研究，包括其市场份额、产品特点、市场定位等。通过全面了解竞争对手的优势和劣势，水溶性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403"/>
      <w:r>
        <w:rPr>
          <w:rFonts w:ascii="仿宋" w:eastAsia="仿宋" w:hAnsi="仿宋" w:cs="仿宋" w:hint="eastAsia"/>
          <w:sz w:val="28"/>
          <w:lang w:eastAsia="zh-CN"/>
        </w:rPr>
        <w:t>(二)、水溶性肥市场分析预测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通过对市场规模的深入调研，我们将预测水溶性肥市场未来的增长趋势。这包括市场的整体规模、各细分领域的发展趋势等。水溶性肥项目可以根据市场的扩张速度和潜在机会，制定更符合市场需求的发展策略。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溶性肥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溶性肥项目实施过程中需要充分考虑的因素。我们将对市场风险进行全面评估，包括但不限于政策法规风险、市场竞争风险、技术变革风险等。通过对潜在风险的深入分析，水溶性肥项目可以制定相应的风险缓解策略，降低不确定性对水溶性肥项目的影响。</w:t>
      </w:r>
    </w:p>
    <w:p>
      <w:pPr>
        <w:pStyle w:val="Heading1"/>
        <w:ind w:firstLine="560" w:firstLineChars="200"/>
        <w:rPr>
          <w:rFonts w:ascii="仿宋" w:eastAsia="仿宋" w:hAnsi="仿宋" w:cs="仿宋" w:hint="eastAsia"/>
          <w:sz w:val="28"/>
          <w:lang w:eastAsia="zh-CN"/>
        </w:rPr>
      </w:pPr>
      <w:bookmarkStart w:id="19" w:name="_Toc11603"/>
      <w:r>
        <w:rPr>
          <w:rFonts w:ascii="仿宋" w:eastAsia="仿宋" w:hAnsi="仿宋" w:cs="仿宋" w:hint="eastAsia"/>
          <w:sz w:val="28"/>
          <w:lang w:eastAsia="zh-CN"/>
        </w:rPr>
        <w:t>六、水溶性肥项目土建工程</w:t>
      </w:r>
      <w:bookmarkEnd w:id="19"/>
    </w:p>
    <w:p>
      <w:pPr>
        <w:pStyle w:val="Heading2"/>
        <w:rPr>
          <w:rFonts w:ascii="仿宋" w:eastAsia="仿宋" w:hAnsi="仿宋" w:cs="仿宋" w:hint="eastAsia"/>
          <w:lang w:eastAsia="zh-CN"/>
        </w:rPr>
      </w:pPr>
      <w:bookmarkStart w:id="20" w:name="_Toc8264"/>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在水溶性肥项目的建筑工程设计中，我们将秉承一系列重要的设计原则，以确保水溶性肥项目建筑在功能、美观、可持续性等方面达到最佳效果。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首要原则是确保建筑的功能性得到最大化的发挥。我们将充分理解水溶性肥项目的实际需求，合理布局各个功能区域，保证建筑在满足业务需求的同时，提供高效的工作环境。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在建筑设计中，我们将综合考虑建设和运营成本。通过精细的经济效益分析，确保设计方案在高效利用资源的同时，对水溶性肥项目的长期盈利能力有积极的贡献。</w:t>
      </w:r>
    </w:p>
    <w:p>
      <w:pPr>
        <w:pStyle w:val="Heading2"/>
        <w:ind w:firstLine="560" w:firstLineChars="200"/>
        <w:rPr>
          <w:rFonts w:ascii="仿宋" w:eastAsia="仿宋" w:hAnsi="仿宋" w:cs="仿宋" w:hint="eastAsia"/>
          <w:sz w:val="28"/>
          <w:lang w:eastAsia="zh-CN"/>
        </w:rPr>
      </w:pPr>
      <w:bookmarkStart w:id="21" w:name="_Toc13677"/>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的土建工程设计中，我们将精准设定设计年限，结合水溶性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https://d.book118.com/675242301113011100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253D4"/>
    <w:rsid w:val="100253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4230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2024-01-17T03:09:00Z</dcterms:created>
  <dcterms:modified xsi:type="dcterms:W3CDTF">2024-01-17T03:10:04Z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F6E0459022B44EA8A80BADEAEA411246_11</vt:lpwstr>
  </property>
  <property fmtid="{D5CDD505-2E9C-101B-9397-08002B2CF9AE}" pid="3" name="KSOProductBuildVer">
    <vt:lpwstr>2052-12.1.0.16120</vt:lpwstr>
  </property>
</Properties>
</file>