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304" w:line="185" w:lineRule="auto"/>
        <w:ind w:left="216"/>
        <w:outlineLvl w:val="0"/>
        <w:rPr>
          <w:rFonts w:ascii="微软雅黑" w:eastAsia="微软雅黑" w:hAnsi="微软雅黑" w:cs="微软雅黑"/>
          <w:sz w:val="71"/>
          <w:szCs w:val="71"/>
        </w:rPr>
      </w:pPr>
      <w:r>
        <w:rPr>
          <w:rFonts w:ascii="微软雅黑" w:eastAsia="微软雅黑" w:hAnsi="微软雅黑" w:cs="微软雅黑"/>
          <w:spacing w:val="9"/>
          <w:sz w:val="71"/>
          <w:szCs w:val="71"/>
        </w:rPr>
        <w:t>建设项目环境影响报告表</w:t>
      </w:r>
    </w:p>
    <w:p>
      <w:pPr>
        <w:spacing w:before="266" w:line="227" w:lineRule="auto"/>
        <w:ind w:left="2541"/>
        <w:rPr>
          <w:rFonts w:ascii="楷体" w:eastAsia="楷体" w:hAnsi="楷体" w:cs="楷体"/>
          <w:sz w:val="47"/>
          <w:szCs w:val="47"/>
        </w:rPr>
      </w:pPr>
      <w:r>
        <w:rPr>
          <w:rFonts w:ascii="楷体" w:eastAsia="楷体" w:hAnsi="楷体" w:cs="楷体"/>
          <w:sz w:val="47"/>
          <w:szCs w:val="47"/>
        </w:rPr>
        <w:t>（污染影响类）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14" w:line="295" w:lineRule="auto"/>
        <w:jc w:val="right"/>
        <w:rPr>
          <w:rFonts w:ascii="仿宋" w:eastAsia="仿宋" w:hAnsi="仿宋" w:cs="仿宋"/>
          <w:sz w:val="35"/>
          <w:szCs w:val="35"/>
        </w:rPr>
      </w:pPr>
      <w:r>
        <w:rPr>
          <w:rFonts w:ascii="仿宋" w:eastAsia="仿宋" w:hAnsi="仿宋" w:cs="仿宋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仿宋" w:eastAsia="仿宋" w:hAnsi="仿宋" w:cs="仿宋"/>
          <w:spacing w:val="53"/>
          <w:sz w:val="35"/>
          <w:szCs w:val="35"/>
        </w:rPr>
        <w:t xml:space="preserve">  </w:t>
      </w:r>
      <w:r>
        <w:rPr>
          <w:rFonts w:ascii="仿宋" w:eastAsia="仿宋" w:hAnsi="仿宋" w:cs="仿宋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ascii="仿宋" w:eastAsia="仿宋" w:hAnsi="仿宋" w:cs="仿宋"/>
          <w:sz w:val="35"/>
          <w:szCs w:val="35"/>
        </w:rPr>
        <w:t xml:space="preserve">  </w:t>
      </w:r>
      <w:r>
        <w:rPr>
          <w:rFonts w:ascii="仿宋" w:eastAsia="仿宋" w:hAnsi="仿宋" w:cs="仿宋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名</w:t>
      </w:r>
      <w:r>
        <w:rPr>
          <w:rFonts w:ascii="仿宋" w:eastAsia="仿宋" w:hAnsi="仿宋" w:cs="仿宋"/>
          <w:spacing w:val="18"/>
          <w:sz w:val="35"/>
          <w:szCs w:val="35"/>
        </w:rPr>
        <w:t xml:space="preserve">  </w:t>
      </w:r>
      <w:r>
        <w:rPr>
          <w:rFonts w:ascii="仿宋" w:eastAsia="仿宋" w:hAnsi="仿宋" w:cs="仿宋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称：</w:t>
      </w:r>
      <w:r>
        <w:rPr>
          <w:rFonts w:ascii="仿宋" w:eastAsia="仿宋" w:hAnsi="仿宋" w:cs="仿宋"/>
          <w:sz w:val="35"/>
          <w:szCs w:val="35"/>
        </w:rPr>
        <w:t xml:space="preserve"> </w:t>
      </w:r>
      <w:r>
        <w:rPr>
          <w:rFonts w:ascii="仿宋" w:eastAsia="仿宋" w:hAnsi="仿宋" w:cs="仿宋"/>
          <w:spacing w:val="-143"/>
          <w:sz w:val="35"/>
          <w:szCs w:val="35"/>
          <w:u w:val="single" w:color="auto"/>
        </w:rPr>
        <w:t xml:space="preserve"> </w:t>
      </w:r>
      <w:r>
        <w:rPr>
          <w:rFonts w:ascii="仿宋" w:eastAsia="仿宋" w:hAnsi="仿宋" w:cs="仿宋"/>
          <w:sz w:val="35"/>
          <w:szCs w:val="35"/>
          <w:u w:val="single" w:color="000000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年加工</w:t>
      </w:r>
      <w:r>
        <w:rPr>
          <w:rFonts w:ascii="仿宋" w:eastAsia="仿宋" w:hAnsi="仿宋" w:cs="仿宋"/>
          <w:spacing w:val="-61"/>
          <w:sz w:val="35"/>
          <w:szCs w:val="35"/>
          <w:u w:val="single" w:color="auto"/>
        </w:rPr>
        <w:t xml:space="preserve"> </w:t>
      </w:r>
      <w:r>
        <w:rPr>
          <w:rFonts w:ascii="仿宋" w:eastAsia="仿宋" w:hAnsi="仿宋" w:cs="仿宋"/>
          <w:sz w:val="35"/>
          <w:szCs w:val="35"/>
          <w:u w:val="single" w:color="000000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3000</w:t>
      </w:r>
      <w:r>
        <w:rPr>
          <w:rFonts w:ascii="仿宋" w:eastAsia="仿宋" w:hAnsi="仿宋" w:cs="仿宋"/>
          <w:spacing w:val="-51"/>
          <w:sz w:val="35"/>
          <w:szCs w:val="35"/>
          <w:u w:val="single" w:color="auto"/>
        </w:rPr>
        <w:t xml:space="preserve"> </w:t>
      </w:r>
      <w:r>
        <w:rPr>
          <w:rFonts w:ascii="仿宋" w:eastAsia="仿宋" w:hAnsi="仿宋" w:cs="仿宋"/>
          <w:sz w:val="35"/>
          <w:szCs w:val="35"/>
          <w:u w:val="single" w:color="000000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吨金属表面处理项目</w:t>
      </w:r>
    </w:p>
    <w:p>
      <w:pPr>
        <w:spacing w:line="226" w:lineRule="auto"/>
        <w:ind w:left="126"/>
        <w:rPr>
          <w:rFonts w:ascii="仿宋" w:eastAsia="仿宋" w:hAnsi="仿宋" w:cs="仿宋"/>
          <w:sz w:val="35"/>
          <w:szCs w:val="35"/>
        </w:rPr>
      </w:pPr>
      <w:r>
        <w:rPr>
          <w:rFonts w:ascii="仿宋" w:eastAsia="仿宋" w:hAnsi="仿宋" w:cs="仿宋"/>
          <w:spacing w:val="8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建设单位（盖章</w:t>
      </w:r>
      <w:r>
        <w:rPr>
          <w:rFonts w:ascii="仿宋" w:eastAsia="仿宋" w:hAnsi="仿宋" w:cs="仿宋"/>
          <w:spacing w:val="28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）：</w:t>
      </w:r>
      <w:r>
        <w:rPr>
          <w:rFonts w:ascii="仿宋" w:eastAsia="仿宋" w:hAnsi="仿宋" w:cs="仿宋"/>
          <w:spacing w:val="8"/>
          <w:sz w:val="35"/>
          <w:szCs w:val="35"/>
          <w:u w:val="single" w:color="000000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平原县和珍热处理经营部</w:t>
      </w:r>
    </w:p>
    <w:p>
      <w:pPr>
        <w:spacing w:before="132" w:line="227" w:lineRule="auto"/>
        <w:ind w:left="131"/>
        <w:rPr>
          <w:rFonts w:ascii="仿宋" w:eastAsia="仿宋" w:hAnsi="仿宋" w:cs="仿宋"/>
          <w:sz w:val="35"/>
          <w:szCs w:val="35"/>
        </w:rPr>
      </w:pPr>
      <w:r>
        <w:rPr>
          <w:rFonts w:ascii="仿宋" w:eastAsia="仿宋" w:hAnsi="仿宋" w:cs="仿宋"/>
          <w:spacing w:val="-6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编</w:t>
      </w:r>
      <w:r>
        <w:rPr>
          <w:rFonts w:ascii="仿宋" w:eastAsia="仿宋" w:hAnsi="仿宋" w:cs="仿宋"/>
          <w:spacing w:val="20"/>
          <w:sz w:val="35"/>
          <w:szCs w:val="35"/>
        </w:rPr>
        <w:t xml:space="preserve">  </w:t>
      </w:r>
      <w:r>
        <w:rPr>
          <w:rFonts w:ascii="仿宋" w:eastAsia="仿宋" w:hAnsi="仿宋" w:cs="仿宋"/>
          <w:spacing w:val="-6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制</w:t>
      </w:r>
      <w:r>
        <w:rPr>
          <w:rFonts w:ascii="仿宋" w:eastAsia="仿宋" w:hAnsi="仿宋" w:cs="仿宋"/>
          <w:spacing w:val="56"/>
          <w:sz w:val="35"/>
          <w:szCs w:val="35"/>
        </w:rPr>
        <w:t xml:space="preserve">  </w:t>
      </w:r>
      <w:r>
        <w:rPr>
          <w:rFonts w:ascii="仿宋" w:eastAsia="仿宋" w:hAnsi="仿宋" w:cs="仿宋"/>
          <w:spacing w:val="-6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日</w:t>
      </w:r>
      <w:r>
        <w:rPr>
          <w:rFonts w:ascii="仿宋" w:eastAsia="仿宋" w:hAnsi="仿宋" w:cs="仿宋"/>
          <w:spacing w:val="18"/>
          <w:sz w:val="35"/>
          <w:szCs w:val="35"/>
        </w:rPr>
        <w:t xml:space="preserve">  </w:t>
      </w:r>
      <w:r>
        <w:rPr>
          <w:rFonts w:ascii="仿宋" w:eastAsia="仿宋" w:hAnsi="仿宋" w:cs="仿宋"/>
          <w:spacing w:val="-6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期：</w:t>
      </w:r>
      <w:r>
        <w:rPr>
          <w:rFonts w:ascii="仿宋" w:eastAsia="仿宋" w:hAnsi="仿宋" w:cs="仿宋"/>
          <w:spacing w:val="-6"/>
          <w:sz w:val="35"/>
          <w:szCs w:val="35"/>
        </w:rPr>
        <w:t xml:space="preserve"> </w:t>
      </w:r>
      <w:r>
        <w:rPr>
          <w:rFonts w:ascii="仿宋" w:eastAsia="仿宋" w:hAnsi="仿宋" w:cs="仿宋"/>
          <w:spacing w:val="11"/>
          <w:sz w:val="35"/>
          <w:szCs w:val="35"/>
          <w:u w:val="single" w:color="auto"/>
        </w:rPr>
        <w:t xml:space="preserve">      </w:t>
      </w:r>
      <w:r>
        <w:rPr>
          <w:rFonts w:ascii="仿宋" w:eastAsia="仿宋" w:hAnsi="仿宋" w:cs="仿宋"/>
          <w:spacing w:val="-6"/>
          <w:sz w:val="35"/>
          <w:szCs w:val="35"/>
          <w:u w:val="single" w:color="000000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二〇二三年九月</w:t>
      </w:r>
      <w:r>
        <w:rPr>
          <w:rFonts w:ascii="仿宋" w:eastAsia="仿宋" w:hAnsi="仿宋" w:cs="仿宋"/>
          <w:sz w:val="35"/>
          <w:szCs w:val="35"/>
          <w:u w:val="single" w:color="auto"/>
        </w:rPr>
        <w:t xml:space="preserve">         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14" w:line="230" w:lineRule="auto"/>
        <w:ind w:left="1875"/>
        <w:rPr>
          <w:rFonts w:ascii="楷体" w:eastAsia="楷体" w:hAnsi="楷体" w:cs="楷体"/>
          <w:sz w:val="35"/>
          <w:szCs w:val="35"/>
        </w:rPr>
      </w:pPr>
      <w:r>
        <w:rPr>
          <w:rFonts w:ascii="楷体" w:eastAsia="楷体" w:hAnsi="楷体" w:cs="楷体"/>
          <w:spacing w:val="6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中华人民共和国生态环境部制</w:t>
      </w:r>
    </w:p>
    <w:p>
      <w:pPr>
        <w:spacing w:line="230" w:lineRule="auto"/>
        <w:rPr>
          <w:rFonts w:ascii="楷体" w:eastAsia="楷体" w:hAnsi="楷体" w:cs="楷体"/>
          <w:sz w:val="35"/>
          <w:szCs w:val="35"/>
        </w:rPr>
        <w:sectPr>
          <w:pgSz w:w="11906" w:h="16839"/>
          <w:pgMar w:top="1431" w:right="1703" w:bottom="0" w:left="1785" w:header="0" w:footer="0" w:gutter="0"/>
          <w:cols w:num="1" w:space="720"/>
        </w:sectPr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spacing w:before="315" w:line="222" w:lineRule="auto"/>
        <w:ind w:left="2905"/>
        <w:outlineLvl w:val="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pacing w:val="-2"/>
          <w:sz w:val="30"/>
          <w:szCs w:val="30"/>
        </w:rPr>
        <w:t>一、建设项目基本情况</w:t>
      </w:r>
    </w:p>
    <w:p>
      <w:pPr>
        <w:spacing w:before="21"/>
      </w:pPr>
    </w:p>
    <w:tbl>
      <w:tblPr>
        <w:tblStyle w:val="TableNormal00"/>
        <w:tblW w:w="876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2566"/>
        <w:gridCol w:w="1773"/>
        <w:gridCol w:w="2919"/>
      </w:tblGrid>
      <w:tr>
        <w:tblPrEx>
          <w:tblW w:w="876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1505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21" w:line="221" w:lineRule="auto"/>
              <w:ind w:left="34"/>
            </w:pPr>
            <w:r>
              <w:rPr>
                <w:spacing w:val="-3"/>
              </w:rPr>
              <w:t>建设项目名称</w:t>
            </w:r>
          </w:p>
        </w:tc>
        <w:tc>
          <w:tcPr>
            <w:tcW w:w="7258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1" w:line="220" w:lineRule="auto"/>
              <w:ind w:left="1890"/>
            </w:pPr>
            <w:r>
              <w:rPr>
                <w:spacing w:val="-3"/>
              </w:rPr>
              <w:t>年加工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3000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3"/>
              </w:rPr>
              <w:t>吨金属表面处理项目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02" w:line="220" w:lineRule="auto"/>
              <w:ind w:left="275"/>
            </w:pPr>
            <w:r>
              <w:rPr>
                <w:spacing w:val="-4"/>
              </w:rPr>
              <w:t>项目代码</w:t>
            </w:r>
          </w:p>
        </w:tc>
        <w:tc>
          <w:tcPr>
            <w:tcW w:w="725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before="144" w:line="188" w:lineRule="auto"/>
              <w:ind w:left="22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2309-371426-89-01-439822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4" w:line="222" w:lineRule="auto"/>
              <w:ind w:left="633" w:right="32" w:hanging="599"/>
            </w:pPr>
            <w:r>
              <w:rPr>
                <w:spacing w:val="-3"/>
              </w:rPr>
              <w:t>建设单位联系</w:t>
            </w:r>
            <w:r>
              <w:rPr>
                <w:spacing w:val="4"/>
              </w:rPr>
              <w:t xml:space="preserve"> </w:t>
            </w:r>
            <w:r>
              <w:t>人</w:t>
            </w:r>
          </w:p>
        </w:tc>
        <w:tc>
          <w:tcPr>
            <w:tcW w:w="2566" w:type="dxa"/>
            <w:vAlign w:val="top"/>
          </w:tcPr>
          <w:p>
            <w:pPr>
              <w:pStyle w:val="TableText"/>
              <w:spacing w:before="207" w:line="221" w:lineRule="auto"/>
              <w:ind w:left="934"/>
            </w:pPr>
          </w:p>
        </w:tc>
        <w:tc>
          <w:tcPr>
            <w:tcW w:w="1773" w:type="dxa"/>
            <w:vAlign w:val="top"/>
          </w:tcPr>
          <w:p>
            <w:pPr>
              <w:pStyle w:val="TableText"/>
              <w:spacing w:before="207" w:line="222" w:lineRule="auto"/>
              <w:ind w:left="413"/>
            </w:pPr>
            <w:r>
              <w:rPr>
                <w:spacing w:val="-3"/>
              </w:rPr>
              <w:t>联系方式</w:t>
            </w:r>
          </w:p>
        </w:tc>
        <w:tc>
          <w:tcPr>
            <w:tcW w:w="2919" w:type="dxa"/>
            <w:tcBorders>
              <w:right w:val="single" w:sz="6" w:space="0" w:color="000000"/>
            </w:tcBorders>
            <w:vAlign w:val="top"/>
          </w:tcPr>
          <w:p>
            <w:pPr>
              <w:spacing w:before="249" w:line="188" w:lineRule="auto"/>
              <w:ind w:left="8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7" w:line="222" w:lineRule="auto"/>
              <w:ind w:left="274"/>
            </w:pPr>
            <w:r>
              <w:rPr>
                <w:spacing w:val="-4"/>
              </w:rPr>
              <w:t>建设地点</w:t>
            </w:r>
          </w:p>
        </w:tc>
        <w:tc>
          <w:tcPr>
            <w:tcW w:w="725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8" w:line="219" w:lineRule="auto"/>
              <w:ind w:left="170"/>
            </w:pPr>
            <w:r>
              <w:rPr>
                <w:spacing w:val="-1"/>
              </w:rPr>
              <w:t>山东省德州市平原县德原街道北园路西段路北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300 </w:t>
            </w:r>
            <w:r>
              <w:rPr>
                <w:spacing w:val="-2"/>
              </w:rPr>
              <w:t>米登海种业东侧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32" w:line="221" w:lineRule="auto"/>
              <w:ind w:left="271"/>
            </w:pPr>
            <w:r>
              <w:rPr>
                <w:spacing w:val="-3"/>
              </w:rPr>
              <w:t>地理坐标</w:t>
            </w:r>
          </w:p>
        </w:tc>
        <w:tc>
          <w:tcPr>
            <w:tcW w:w="725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32" w:line="221" w:lineRule="auto"/>
              <w:ind w:left="1274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116 </w:t>
            </w:r>
            <w:r>
              <w:rPr>
                <w:spacing w:val="-4"/>
              </w:rPr>
              <w:t>度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28 </w:t>
            </w:r>
            <w:r>
              <w:rPr>
                <w:spacing w:val="-4"/>
              </w:rPr>
              <w:t>分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8.400 </w:t>
            </w:r>
            <w:r>
              <w:rPr>
                <w:spacing w:val="-4"/>
              </w:rPr>
              <w:t>秒，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37</w:t>
            </w:r>
            <w:r>
              <w:rPr>
                <w:rFonts w:ascii="Times New Roman" w:eastAsia="Times New Roman" w:hAnsi="Times New Roman" w:cs="Times New Roman"/>
                <w:spacing w:val="8"/>
                <w:u w:val="single" w:color="auto"/>
              </w:rPr>
              <w:t xml:space="preserve"> </w:t>
            </w:r>
            <w:r>
              <w:rPr>
                <w:spacing w:val="-4"/>
              </w:rPr>
              <w:t>度</w:t>
            </w:r>
            <w:r>
              <w:rPr>
                <w:spacing w:val="-6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2"/>
                <w:u w:val="single" w:color="auto"/>
              </w:rPr>
              <w:t xml:space="preserve"> </w:t>
            </w:r>
            <w:r>
              <w:rPr>
                <w:spacing w:val="-4"/>
              </w:rPr>
              <w:t>分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000</w:t>
            </w:r>
            <w:r>
              <w:rPr>
                <w:rFonts w:ascii="Times New Roman" w:eastAsia="Times New Roman" w:hAnsi="Times New Roman" w:cs="Times New Roman"/>
                <w:spacing w:val="8"/>
                <w:u w:val="single" w:color="auto"/>
              </w:rPr>
              <w:t xml:space="preserve"> </w:t>
            </w:r>
            <w:r>
              <w:rPr>
                <w:spacing w:val="-4"/>
              </w:rPr>
              <w:t>秒）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spacing w:line="289" w:lineRule="auto"/>
            </w:pPr>
          </w:p>
          <w:p>
            <w:pPr>
              <w:pStyle w:val="TableText"/>
              <w:spacing w:before="78" w:line="229" w:lineRule="auto"/>
              <w:ind w:left="515" w:right="272" w:hanging="220"/>
            </w:pPr>
            <w:r>
              <w:rPr>
                <w:spacing w:val="-9"/>
              </w:rPr>
              <w:t>国民经济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行业</w:t>
            </w:r>
          </w:p>
        </w:tc>
        <w:tc>
          <w:tcPr>
            <w:tcW w:w="2566" w:type="dxa"/>
            <w:vAlign w:val="top"/>
          </w:tcPr>
          <w:p>
            <w:pPr>
              <w:spacing w:before="254" w:line="188" w:lineRule="auto"/>
              <w:ind w:left="9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C3360</w:t>
            </w:r>
          </w:p>
          <w:p>
            <w:pPr>
              <w:pStyle w:val="TableText"/>
              <w:spacing w:before="34" w:line="222" w:lineRule="auto"/>
              <w:ind w:left="88"/>
            </w:pPr>
            <w:r>
              <w:rPr>
                <w:spacing w:val="-2"/>
              </w:rPr>
              <w:t>金属表面处理及热处理</w:t>
            </w:r>
          </w:p>
          <w:p>
            <w:pPr>
              <w:pStyle w:val="TableText"/>
              <w:spacing w:before="23" w:line="224" w:lineRule="auto"/>
              <w:ind w:left="1046"/>
            </w:pPr>
            <w:r>
              <w:rPr>
                <w:spacing w:val="-5"/>
              </w:rPr>
              <w:t>加工</w:t>
            </w:r>
          </w:p>
        </w:tc>
        <w:tc>
          <w:tcPr>
            <w:tcW w:w="1773" w:type="dxa"/>
            <w:vAlign w:val="top"/>
          </w:tcPr>
          <w:p>
            <w:pPr>
              <w:spacing w:line="288" w:lineRule="auto"/>
            </w:pPr>
          </w:p>
          <w:p>
            <w:pPr>
              <w:pStyle w:val="TableText"/>
              <w:spacing w:before="78" w:line="238" w:lineRule="auto"/>
              <w:ind w:left="415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20" w:lineRule="auto"/>
              <w:ind w:left="416"/>
            </w:pPr>
            <w:r>
              <w:rPr>
                <w:spacing w:val="-4"/>
              </w:rPr>
              <w:t>行业类别</w:t>
            </w:r>
          </w:p>
        </w:tc>
        <w:tc>
          <w:tcPr>
            <w:tcW w:w="291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7" w:line="230" w:lineRule="auto"/>
              <w:ind w:left="11" w:right="4"/>
              <w:jc w:val="both"/>
            </w:pPr>
            <w:r>
              <w:rPr>
                <w:spacing w:val="3"/>
              </w:rPr>
              <w:t>三十、金属制品业</w:t>
            </w:r>
            <w:r>
              <w:rPr>
                <w:spacing w:val="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67 </w:t>
            </w:r>
            <w:r>
              <w:rPr>
                <w:spacing w:val="3"/>
              </w:rPr>
              <w:t>金属</w:t>
            </w:r>
            <w:r>
              <w:t xml:space="preserve"> 表面处理及热处理加工其他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（年用非溶剂型低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7"/>
              </w:rPr>
              <w:t>含</w:t>
            </w:r>
            <w:r>
              <w:t xml:space="preserve"> </w:t>
            </w:r>
            <w:r>
              <w:rPr>
                <w:spacing w:val="-5"/>
              </w:rPr>
              <w:t>量涂料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5"/>
              </w:rPr>
              <w:t>吨以下的除外）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spacing w:line="445" w:lineRule="auto"/>
            </w:pPr>
          </w:p>
          <w:p>
            <w:pPr>
              <w:pStyle w:val="TableText"/>
              <w:spacing w:before="78" w:line="221" w:lineRule="auto"/>
              <w:ind w:left="274"/>
            </w:pPr>
            <w:r>
              <w:rPr>
                <w:spacing w:val="-4"/>
              </w:rPr>
              <w:t>建设性质</w:t>
            </w:r>
          </w:p>
        </w:tc>
        <w:tc>
          <w:tcPr>
            <w:tcW w:w="2566" w:type="dxa"/>
            <w:vAlign w:val="top"/>
          </w:tcPr>
          <w:p>
            <w:pPr>
              <w:pStyle w:val="TableText"/>
              <w:spacing w:before="60" w:line="238" w:lineRule="auto"/>
              <w:ind w:left="17"/>
            </w:pPr>
            <w:r>
              <w:rPr>
                <w:rFonts w:ascii="MS Gothic" w:eastAsia="MS Gothic" w:hAnsi="MS Gothic" w:cs="MS Gothic"/>
                <w:spacing w:val="-3"/>
              </w:rPr>
              <w:t>☑</w:t>
            </w:r>
            <w:r>
              <w:rPr>
                <w:spacing w:val="-3"/>
              </w:rPr>
              <w:t>新建（迁建）</w:t>
            </w:r>
          </w:p>
          <w:p>
            <w:pPr>
              <w:pStyle w:val="TableText"/>
              <w:spacing w:line="220" w:lineRule="auto"/>
              <w:ind w:left="32"/>
            </w:pPr>
            <w:r>
              <w:rPr>
                <w:spacing w:val="-12"/>
              </w:rPr>
              <w:t>□改建</w:t>
            </w:r>
          </w:p>
          <w:p>
            <w:pPr>
              <w:pStyle w:val="TableText"/>
              <w:spacing w:before="25" w:line="221" w:lineRule="auto"/>
              <w:ind w:left="32"/>
            </w:pPr>
            <w:r>
              <w:rPr>
                <w:spacing w:val="-12"/>
              </w:rPr>
              <w:t>□扩建</w:t>
            </w:r>
          </w:p>
          <w:p>
            <w:pPr>
              <w:pStyle w:val="TableText"/>
              <w:spacing w:before="22" w:line="201" w:lineRule="auto"/>
              <w:ind w:left="32"/>
            </w:pPr>
            <w:r>
              <w:rPr>
                <w:spacing w:val="-7"/>
              </w:rPr>
              <w:t>□技术改造</w:t>
            </w:r>
          </w:p>
        </w:tc>
        <w:tc>
          <w:tcPr>
            <w:tcW w:w="1773" w:type="dxa"/>
            <w:vAlign w:val="top"/>
          </w:tcPr>
          <w:p>
            <w:pPr>
              <w:spacing w:line="290" w:lineRule="auto"/>
            </w:pPr>
          </w:p>
          <w:p>
            <w:pPr>
              <w:pStyle w:val="TableText"/>
              <w:spacing w:before="78"/>
              <w:ind w:left="415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20" w:lineRule="auto"/>
              <w:ind w:left="443"/>
            </w:pPr>
            <w:r>
              <w:rPr>
                <w:spacing w:val="-11"/>
              </w:rPr>
              <w:t>申报情形</w:t>
            </w:r>
          </w:p>
        </w:tc>
        <w:tc>
          <w:tcPr>
            <w:tcW w:w="291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0" w:line="220" w:lineRule="auto"/>
              <w:ind w:left="22"/>
            </w:pPr>
            <w:r>
              <w:rPr>
                <w:rFonts w:ascii="MS Gothic" w:eastAsia="MS Gothic" w:hAnsi="MS Gothic" w:cs="MS Gothic"/>
                <w:spacing w:val="-3"/>
              </w:rPr>
              <w:t>☑</w:t>
            </w:r>
            <w:r>
              <w:rPr>
                <w:spacing w:val="-3"/>
              </w:rPr>
              <w:t>首次申报项目</w:t>
            </w:r>
          </w:p>
          <w:p>
            <w:pPr>
              <w:pStyle w:val="TableText"/>
              <w:spacing w:before="23" w:line="220" w:lineRule="auto"/>
              <w:ind w:left="37"/>
            </w:pPr>
            <w:r>
              <w:rPr>
                <w:spacing w:val="-3"/>
              </w:rPr>
              <w:t>□不予批准后再次申报项目</w:t>
            </w:r>
          </w:p>
          <w:p>
            <w:pPr>
              <w:pStyle w:val="TableText"/>
              <w:spacing w:before="26" w:line="220" w:lineRule="auto"/>
              <w:ind w:left="37"/>
            </w:pPr>
            <w:r>
              <w:rPr>
                <w:spacing w:val="-4"/>
              </w:rPr>
              <w:t>□超五年重新审核项目</w:t>
            </w:r>
          </w:p>
          <w:p>
            <w:pPr>
              <w:pStyle w:val="TableText"/>
              <w:spacing w:before="23" w:line="201" w:lineRule="auto"/>
              <w:ind w:left="37"/>
            </w:pPr>
            <w:r>
              <w:rPr>
                <w:spacing w:val="-4"/>
              </w:rPr>
              <w:t>□重大变动重新报批项目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61" w:line="231" w:lineRule="auto"/>
              <w:ind w:left="573" w:right="32" w:hanging="538"/>
            </w:pPr>
            <w:r>
              <w:rPr>
                <w:spacing w:val="-3"/>
              </w:rPr>
              <w:t>项目审批（核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准/</w:t>
            </w:r>
          </w:p>
          <w:p>
            <w:pPr>
              <w:pStyle w:val="TableText"/>
              <w:spacing w:before="21" w:line="199" w:lineRule="auto"/>
              <w:ind w:left="154"/>
            </w:pPr>
            <w:r>
              <w:rPr>
                <w:spacing w:val="-3"/>
              </w:rPr>
              <w:t>备案）部门</w:t>
            </w:r>
          </w:p>
        </w:tc>
        <w:tc>
          <w:tcPr>
            <w:tcW w:w="2566" w:type="dxa"/>
            <w:vAlign w:val="top"/>
          </w:tcPr>
          <w:p>
            <w:pPr>
              <w:spacing w:line="291" w:lineRule="auto"/>
            </w:pPr>
          </w:p>
          <w:p>
            <w:pPr>
              <w:pStyle w:val="TableText"/>
              <w:spacing w:before="78" w:line="220" w:lineRule="auto"/>
              <w:ind w:left="86"/>
            </w:pPr>
            <w:r>
              <w:rPr>
                <w:spacing w:val="-1"/>
              </w:rPr>
              <w:t>平原县行政审批服务局</w:t>
            </w:r>
          </w:p>
        </w:tc>
        <w:tc>
          <w:tcPr>
            <w:tcW w:w="1773" w:type="dxa"/>
            <w:vAlign w:val="top"/>
          </w:tcPr>
          <w:p>
            <w:pPr>
              <w:pStyle w:val="TableText"/>
              <w:spacing w:before="219" w:line="229" w:lineRule="auto"/>
              <w:ind w:left="295" w:right="1" w:hanging="282"/>
            </w:pPr>
            <w:r>
              <w:rPr>
                <w:spacing w:val="-6"/>
              </w:rPr>
              <w:t>项目审批（核准/</w:t>
            </w:r>
            <w:r>
              <w:t xml:space="preserve"> </w:t>
            </w:r>
            <w:r>
              <w:rPr>
                <w:spacing w:val="-3"/>
              </w:rPr>
              <w:t>备案）文号</w:t>
            </w:r>
          </w:p>
        </w:tc>
        <w:tc>
          <w:tcPr>
            <w:tcW w:w="2919" w:type="dxa"/>
            <w:tcBorders>
              <w:right w:val="single" w:sz="6" w:space="0" w:color="000000"/>
            </w:tcBorders>
            <w:vAlign w:val="top"/>
          </w:tcPr>
          <w:p>
            <w:pPr>
              <w:spacing w:line="265" w:lineRule="auto"/>
            </w:pPr>
          </w:p>
          <w:p>
            <w:pPr>
              <w:spacing w:before="69" w:line="315" w:lineRule="exact"/>
              <w:ind w:left="14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29" w:line="221" w:lineRule="auto"/>
              <w:jc w:val="right"/>
            </w:pPr>
            <w:r>
              <w:rPr>
                <w:spacing w:val="-30"/>
              </w:rPr>
              <w:t>总投资（万元）</w:t>
            </w:r>
          </w:p>
        </w:tc>
        <w:tc>
          <w:tcPr>
            <w:tcW w:w="2566" w:type="dxa"/>
            <w:vAlign w:val="top"/>
          </w:tcPr>
          <w:p>
            <w:pPr>
              <w:spacing w:before="171" w:line="188" w:lineRule="auto"/>
              <w:ind w:left="11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50</w:t>
            </w:r>
          </w:p>
        </w:tc>
        <w:tc>
          <w:tcPr>
            <w:tcW w:w="1773" w:type="dxa"/>
            <w:vAlign w:val="top"/>
          </w:tcPr>
          <w:p>
            <w:pPr>
              <w:pStyle w:val="TableText"/>
              <w:spacing w:before="129" w:line="221" w:lineRule="auto"/>
              <w:jc w:val="right"/>
            </w:pPr>
            <w:r>
              <w:rPr>
                <w:spacing w:val="-22"/>
              </w:rPr>
              <w:t>环保投资（万元）</w:t>
            </w:r>
          </w:p>
        </w:tc>
        <w:tc>
          <w:tcPr>
            <w:tcW w:w="2919" w:type="dxa"/>
            <w:tcBorders>
              <w:right w:val="single" w:sz="6" w:space="0" w:color="000000"/>
            </w:tcBorders>
            <w:vAlign w:val="top"/>
          </w:tcPr>
          <w:p>
            <w:pPr>
              <w:spacing w:before="175" w:line="185" w:lineRule="auto"/>
              <w:ind w:left="14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67" w:line="221" w:lineRule="auto"/>
              <w:ind w:left="31"/>
            </w:pPr>
            <w:r>
              <w:rPr>
                <w:spacing w:val="-2"/>
              </w:rPr>
              <w:t>环保投资占比</w:t>
            </w:r>
          </w:p>
          <w:p>
            <w:pPr>
              <w:pStyle w:val="TableText"/>
              <w:spacing w:before="22" w:line="196" w:lineRule="auto"/>
              <w:ind w:left="463"/>
            </w:pPr>
            <w:r>
              <w:rPr>
                <w:spacing w:val="-7"/>
              </w:rPr>
              <w:t>（%）</w:t>
            </w:r>
          </w:p>
        </w:tc>
        <w:tc>
          <w:tcPr>
            <w:tcW w:w="2566" w:type="dxa"/>
            <w:vAlign w:val="top"/>
          </w:tcPr>
          <w:p>
            <w:pPr>
              <w:spacing w:before="262" w:line="188" w:lineRule="auto"/>
              <w:ind w:left="11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10</w:t>
            </w:r>
          </w:p>
        </w:tc>
        <w:tc>
          <w:tcPr>
            <w:tcW w:w="1773" w:type="dxa"/>
            <w:vAlign w:val="top"/>
          </w:tcPr>
          <w:p>
            <w:pPr>
              <w:pStyle w:val="TableText"/>
              <w:spacing w:before="220" w:line="221" w:lineRule="auto"/>
              <w:ind w:left="412"/>
            </w:pPr>
            <w:r>
              <w:rPr>
                <w:spacing w:val="-3"/>
              </w:rPr>
              <w:t>施工工期</w:t>
            </w:r>
          </w:p>
        </w:tc>
        <w:tc>
          <w:tcPr>
            <w:tcW w:w="291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1" w:line="220" w:lineRule="auto"/>
              <w:ind w:left="1129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5"/>
              </w:rPr>
              <w:t>个月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1" w:line="221" w:lineRule="auto"/>
              <w:ind w:left="35"/>
            </w:pPr>
            <w:r>
              <w:rPr>
                <w:spacing w:val="-3"/>
              </w:rPr>
              <w:t>是否开工建设</w:t>
            </w:r>
          </w:p>
        </w:tc>
        <w:tc>
          <w:tcPr>
            <w:tcW w:w="2566" w:type="dxa"/>
            <w:vAlign w:val="top"/>
          </w:tcPr>
          <w:p>
            <w:pPr>
              <w:pStyle w:val="TableText"/>
              <w:spacing w:before="68" w:line="233" w:lineRule="auto"/>
              <w:ind w:left="17"/>
            </w:pPr>
            <w:r>
              <w:rPr>
                <w:rFonts w:ascii="MS Gothic" w:eastAsia="MS Gothic" w:hAnsi="MS Gothic" w:cs="MS Gothic"/>
                <w:spacing w:val="-9"/>
              </w:rPr>
              <w:t>☑</w:t>
            </w:r>
            <w:r>
              <w:rPr>
                <w:spacing w:val="-9"/>
              </w:rPr>
              <w:t>否</w:t>
            </w:r>
          </w:p>
          <w:p>
            <w:pPr>
              <w:pStyle w:val="TableText"/>
              <w:spacing w:line="181" w:lineRule="auto"/>
              <w:ind w:left="32"/>
            </w:pPr>
            <w:r>
              <w:rPr>
                <w:spacing w:val="-12"/>
              </w:rPr>
              <w:t>□是：</w:t>
            </w:r>
          </w:p>
        </w:tc>
        <w:tc>
          <w:tcPr>
            <w:tcW w:w="1773" w:type="dxa"/>
            <w:vAlign w:val="top"/>
          </w:tcPr>
          <w:p>
            <w:pPr>
              <w:pStyle w:val="TableText"/>
              <w:spacing w:before="221" w:line="221" w:lineRule="auto"/>
              <w:ind w:left="86"/>
            </w:pPr>
            <w:r>
              <w:rPr>
                <w:spacing w:val="-12"/>
              </w:rPr>
              <w:t>用地面积（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2919" w:type="dxa"/>
            <w:tcBorders>
              <w:right w:val="single" w:sz="6" w:space="0" w:color="000000"/>
            </w:tcBorders>
            <w:vAlign w:val="top"/>
          </w:tcPr>
          <w:p>
            <w:pPr>
              <w:spacing w:before="263" w:line="188" w:lineRule="auto"/>
              <w:ind w:left="12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480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31" w:line="230" w:lineRule="auto"/>
              <w:ind w:left="389" w:right="152" w:hanging="237"/>
            </w:pPr>
            <w:r>
              <w:rPr>
                <w:spacing w:val="-3"/>
              </w:rPr>
              <w:t>专项评价设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置情况</w:t>
            </w:r>
          </w:p>
        </w:tc>
        <w:tc>
          <w:tcPr>
            <w:tcW w:w="725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86" w:line="221" w:lineRule="auto"/>
              <w:ind w:left="3513"/>
            </w:pPr>
            <w:r>
              <w:t>无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/>
        </w:trPr>
        <w:tc>
          <w:tcPr>
            <w:tcW w:w="1505" w:type="dxa"/>
            <w:tcBorders>
              <w:left w:val="single" w:sz="6" w:space="0" w:color="000000"/>
            </w:tcBorders>
            <w:vAlign w:val="top"/>
          </w:tcPr>
          <w:p>
            <w:pPr>
              <w:spacing w:line="249" w:lineRule="auto"/>
            </w:pPr>
          </w:p>
          <w:p>
            <w:pPr>
              <w:spacing w:line="250" w:lineRule="auto"/>
            </w:pPr>
          </w:p>
          <w:p>
            <w:pPr>
              <w:pStyle w:val="TableText"/>
              <w:spacing w:before="78" w:line="221" w:lineRule="auto"/>
              <w:ind w:left="272"/>
            </w:pPr>
            <w:r>
              <w:rPr>
                <w:spacing w:val="-3"/>
              </w:rPr>
              <w:t>规划情况</w:t>
            </w:r>
          </w:p>
        </w:tc>
        <w:tc>
          <w:tcPr>
            <w:tcW w:w="725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68" w:line="220" w:lineRule="auto"/>
              <w:ind w:left="122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-1"/>
              </w:rPr>
              <w:t>）《平原经济开发区发展规划（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2020-2035</w:t>
            </w:r>
            <w:r>
              <w:rPr>
                <w:spacing w:val="-1"/>
              </w:rPr>
              <w:t>年）》</w:t>
            </w:r>
          </w:p>
          <w:p>
            <w:pPr>
              <w:pStyle w:val="TableText"/>
              <w:spacing w:before="25" w:line="230" w:lineRule="auto"/>
              <w:ind w:left="115" w:right="186" w:firstLine="16"/>
            </w:pPr>
            <w:r>
              <w:rPr>
                <w:spacing w:val="-1"/>
              </w:rPr>
              <w:t>山东省人民政府《关于济南槐荫工业园区等设立为省级开发</w:t>
            </w:r>
            <w:r>
              <w:rPr>
                <w:spacing w:val="-2"/>
              </w:rPr>
              <w:t>区的通</w:t>
            </w:r>
            <w:r>
              <w:t xml:space="preserve"> </w:t>
            </w:r>
            <w:r>
              <w:rPr>
                <w:spacing w:val="-1"/>
              </w:rPr>
              <w:t>知》（鲁政字〔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2006</w:t>
            </w:r>
            <w:r>
              <w:rPr>
                <w:spacing w:val="-1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71</w:t>
            </w:r>
            <w:r>
              <w:rPr>
                <w:spacing w:val="-1"/>
              </w:rPr>
              <w:t>号）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/>
        </w:trPr>
        <w:tc>
          <w:tcPr>
            <w:tcW w:w="1505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340" w:lineRule="auto"/>
            </w:pPr>
          </w:p>
          <w:p>
            <w:pPr>
              <w:pStyle w:val="TableText"/>
              <w:spacing w:before="78" w:line="229" w:lineRule="auto"/>
              <w:ind w:left="163" w:right="152" w:hanging="11"/>
            </w:pPr>
            <w:r>
              <w:rPr>
                <w:spacing w:val="-3"/>
              </w:rPr>
              <w:t>规划环境影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响评价情况</w:t>
            </w:r>
          </w:p>
        </w:tc>
        <w:tc>
          <w:tcPr>
            <w:tcW w:w="7258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65" w:line="237" w:lineRule="auto"/>
              <w:ind w:left="114" w:firstLine="7"/>
              <w:jc w:val="both"/>
            </w:pPr>
            <w:r>
              <w:rPr>
                <w:spacing w:val="-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spacing w:val="-8"/>
              </w:rPr>
              <w:t>）《山东平原经济开发区发展规划（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2020-2035</w:t>
            </w:r>
            <w:r>
              <w:rPr>
                <w:spacing w:val="-8"/>
              </w:rPr>
              <w:t>）环境影响报告书》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 xml:space="preserve">由原山东省环境保护厅召集审查，形成《关于山东平原经济开发区  </w:t>
            </w:r>
            <w:r>
              <w:rPr>
                <w:spacing w:val="-1"/>
              </w:rPr>
              <w:t>发展规划环境影响报告书的审查意见》（鲁环审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[2023]4 </w:t>
            </w:r>
            <w:r>
              <w:rPr>
                <w:spacing w:val="-1"/>
              </w:rPr>
              <w:t>号）</w:t>
            </w:r>
          </w:p>
        </w:tc>
      </w:tr>
    </w:tbl>
    <w:p>
      <w:pPr>
        <w:pStyle w:val="BodyText"/>
      </w:pPr>
    </w:p>
    <w:p>
      <w:pPr>
        <w:sectPr>
          <w:footerReference w:type="default" r:id="rId5"/>
          <w:pgSz w:w="11906" w:h="16839"/>
          <w:pgMar w:top="1431" w:right="1564" w:bottom="1240" w:left="1563" w:header="0" w:footer="1078" w:gutter="0"/>
          <w:pgNumType w:start="2"/>
          <w:cols w:num="1" w:space="720"/>
        </w:sectPr>
      </w:pPr>
    </w:p>
    <w:p>
      <w:pPr>
        <w:spacing w:before="28"/>
      </w:pPr>
      <w:r>
        <w:pict>
          <v:rect id="_x0000_s1026" o:spid="_x0000_s1025" style="width:0.5pt;height:290.35pt;margin-top:393.4pt;margin-left:512.25pt;mso-height-relative:page;mso-position-horizontal-relative:page;mso-position-vertical-relative:page;mso-width-relative:page;position:absolute;z-index:251658240" coordsize="21600,21600" o:allowincell="f" filled="t" fillcolor="black" stroked="f"/>
        </w:pict>
      </w:r>
    </w:p>
    <w:tbl>
      <w:tblPr>
        <w:tblStyle w:val="TableNormal01"/>
        <w:tblW w:w="876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5182"/>
        <w:gridCol w:w="2076"/>
      </w:tblGrid>
      <w:tr>
        <w:tblPrEx>
          <w:tblW w:w="876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0"/>
        </w:trPr>
        <w:tc>
          <w:tcPr>
            <w:tcW w:w="150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>
            <w:pPr>
              <w:spacing w:line="241" w:lineRule="auto"/>
            </w:pPr>
          </w:p>
          <w:p>
            <w:pPr>
              <w:pStyle w:val="TableText"/>
              <w:spacing w:before="78" w:line="222" w:lineRule="auto"/>
              <w:ind w:left="152"/>
            </w:pPr>
            <w:r>
              <w:rPr>
                <w:spacing w:val="-3"/>
              </w:rPr>
              <w:t>规划及规划</w:t>
            </w:r>
          </w:p>
          <w:p>
            <w:pPr>
              <w:pStyle w:val="TableText"/>
              <w:spacing w:before="22" w:line="221" w:lineRule="auto"/>
              <w:ind w:left="151"/>
            </w:pPr>
            <w:r>
              <w:rPr>
                <w:spacing w:val="-2"/>
              </w:rPr>
              <w:t>环境影响评</w:t>
            </w:r>
          </w:p>
          <w:p>
            <w:pPr>
              <w:pStyle w:val="TableText"/>
              <w:spacing w:before="22" w:line="219" w:lineRule="auto"/>
              <w:ind w:left="152"/>
            </w:pPr>
            <w:r>
              <w:rPr>
                <w:spacing w:val="-3"/>
              </w:rPr>
              <w:t>价符合性分</w:t>
            </w:r>
          </w:p>
          <w:p>
            <w:pPr>
              <w:pStyle w:val="TableText"/>
              <w:spacing w:before="27" w:line="221" w:lineRule="auto"/>
              <w:ind w:left="633"/>
            </w:pPr>
            <w:r>
              <w:t>析</w:t>
            </w:r>
          </w:p>
        </w:tc>
        <w:tc>
          <w:tcPr>
            <w:tcW w:w="7258" w:type="dxa"/>
            <w:gridSpan w:val="2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359" w:lineRule="auto"/>
              <w:ind w:left="110" w:right="22" w:firstLine="502"/>
              <w:jc w:val="both"/>
            </w:pPr>
            <w:r>
              <w:rPr>
                <w:spacing w:val="-1"/>
              </w:rPr>
              <w:t>山东平原经济开发区前身为平原龙门经济技术</w:t>
            </w:r>
            <w:r>
              <w:rPr>
                <w:spacing w:val="-2"/>
              </w:rPr>
              <w:t>开发区，于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2006</w:t>
            </w: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>
              <w:rPr>
                <w:spacing w:val="1"/>
              </w:rPr>
              <w:t>年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1"/>
              </w:rPr>
              <w:t>月经山东省人民政府批准设立为省级开发区并更名为</w:t>
            </w:r>
            <w:r>
              <w:t xml:space="preserve">现名，审 </w:t>
            </w:r>
            <w:r>
              <w:rPr>
                <w:spacing w:val="2"/>
              </w:rPr>
              <w:t>核面积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4 </w:t>
            </w:r>
            <w:r>
              <w:rPr>
                <w:spacing w:val="2"/>
              </w:rPr>
              <w:t>平方公里。随后，平原经济开发区管委会组织编制了开发</w:t>
            </w:r>
            <w:r>
              <w:t xml:space="preserve"> </w:t>
            </w:r>
            <w:r>
              <w:rPr>
                <w:spacing w:val="2"/>
              </w:rPr>
              <w:t>区规划并依法开展了规划环境影响评价工作，原山东省环境保护厅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</w:rPr>
              <w:t>于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2010 </w:t>
            </w:r>
            <w:r>
              <w:rPr>
                <w:spacing w:val="-4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4"/>
              </w:rPr>
              <w:t xml:space="preserve">月出具了《关于山东平原经济开发区环境影响报告书的 </w:t>
            </w:r>
            <w:r>
              <w:rPr>
                <w:spacing w:val="-2"/>
              </w:rPr>
              <w:t>审查意见》（鲁环审〔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2010]24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2"/>
              </w:rPr>
              <w:t>号</w:t>
            </w:r>
            <w:r>
              <w:rPr>
                <w:spacing w:val="5"/>
              </w:rPr>
              <w:t>），</w:t>
            </w:r>
            <w:r>
              <w:rPr>
                <w:spacing w:val="-2"/>
              </w:rPr>
              <w:t>规划面积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18.20 </w:t>
            </w:r>
            <w:r>
              <w:rPr>
                <w:spacing w:val="-3"/>
              </w:rPr>
              <w:t xml:space="preserve">平方公里。根 </w:t>
            </w:r>
            <w:r>
              <w:rPr>
                <w:spacing w:val="2"/>
              </w:rPr>
              <w:t>据区域发展现状和发展目标，平原经济开发区管委会重</w:t>
            </w:r>
            <w:r>
              <w:rPr>
                <w:spacing w:val="1"/>
              </w:rPr>
              <w:t xml:space="preserve">新组织编制 </w:t>
            </w:r>
            <w:r>
              <w:rPr>
                <w:spacing w:val="-7"/>
              </w:rPr>
              <w:t>了《山东平原经济开发区发展规划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(2020</w:t>
            </w:r>
            <w:r>
              <w:rPr>
                <w:spacing w:val="-7"/>
              </w:rPr>
              <w:t>—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2035 </w:t>
            </w:r>
            <w:r>
              <w:rPr>
                <w:spacing w:val="-7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)</w:t>
            </w:r>
            <w:r>
              <w:rPr>
                <w:spacing w:val="-7"/>
              </w:rPr>
              <w:t>》，规划面积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27.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55  </w:t>
            </w:r>
            <w:r>
              <w:rPr>
                <w:spacing w:val="-3"/>
              </w:rPr>
              <w:t>平方公里，规划范围东至东三环路，南至平尹公路、西至福源北路、</w:t>
            </w:r>
          </w:p>
          <w:p>
            <w:pPr>
              <w:pStyle w:val="TableText"/>
              <w:spacing w:line="220" w:lineRule="auto"/>
              <w:ind w:left="114"/>
            </w:pPr>
            <w:r>
              <w:rPr>
                <w:spacing w:val="-2"/>
              </w:rPr>
              <w:t>北至北三环路。</w:t>
            </w:r>
          </w:p>
          <w:p>
            <w:pPr>
              <w:pStyle w:val="TableText"/>
              <w:spacing w:before="179" w:line="433" w:lineRule="exact"/>
              <w:ind w:left="591"/>
            </w:pPr>
            <w:r>
              <w:rPr>
                <w:spacing w:val="2"/>
                <w:position w:val="14"/>
              </w:rPr>
              <w:t>本项目与《关于山东平原经济开发区发展规划环境影响报告书</w:t>
            </w:r>
          </w:p>
          <w:p>
            <w:pPr>
              <w:pStyle w:val="TableText"/>
              <w:spacing w:line="336" w:lineRule="exact"/>
              <w:ind w:left="130"/>
            </w:pPr>
            <w:r>
              <w:rPr>
                <w:spacing w:val="-1"/>
                <w:position w:val="3"/>
              </w:rPr>
              <w:t>的 审查意见》（鲁环审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 xml:space="preserve">[2023]4 </w:t>
            </w:r>
            <w:r>
              <w:rPr>
                <w:spacing w:val="-1"/>
                <w:position w:val="3"/>
              </w:rPr>
              <w:t>号）符</w:t>
            </w:r>
            <w:r>
              <w:rPr>
                <w:spacing w:val="-2"/>
                <w:position w:val="3"/>
              </w:rPr>
              <w:t>合性分析。</w:t>
            </w:r>
          </w:p>
          <w:p>
            <w:pPr>
              <w:pStyle w:val="TableText"/>
              <w:spacing w:before="162" w:line="231" w:lineRule="auto"/>
              <w:ind w:left="1588" w:right="124" w:hanging="146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1-1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项目与《关于山东平原经济开发区发展规划环境影响报告书的审查意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见》（鲁环审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[2023]4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号）符合性分析一览表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182" w:type="dxa"/>
            <w:vAlign w:val="top"/>
          </w:tcPr>
          <w:p>
            <w:pPr>
              <w:pStyle w:val="TableText"/>
              <w:spacing w:before="41" w:line="216" w:lineRule="auto"/>
              <w:ind w:left="217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文件要求</w:t>
            </w:r>
          </w:p>
        </w:tc>
        <w:tc>
          <w:tcPr>
            <w:tcW w:w="207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216" w:lineRule="auto"/>
              <w:ind w:left="48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符合性分析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182" w:type="dxa"/>
            <w:vAlign w:val="top"/>
          </w:tcPr>
          <w:p>
            <w:pPr>
              <w:pStyle w:val="TableText"/>
              <w:spacing w:before="38" w:line="243" w:lineRule="auto"/>
              <w:ind w:left="109" w:right="31" w:firstLine="3"/>
              <w:jc w:val="both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省政府批复的主导产业为：主导产业为机械制造、医药、</w:t>
            </w:r>
            <w:r>
              <w:rPr>
                <w:spacing w:val="6"/>
                <w:sz w:val="20"/>
                <w:szCs w:val="20"/>
              </w:rPr>
              <w:t xml:space="preserve"> 新材料产业；辅助产业为食品加工、酒制造。开发区总 </w:t>
            </w:r>
            <w:r>
              <w:rPr>
                <w:spacing w:val="7"/>
                <w:sz w:val="20"/>
                <w:szCs w:val="20"/>
              </w:rPr>
              <w:t>体规划中（对应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27.55</w:t>
            </w:r>
            <w:r>
              <w:rPr>
                <w:spacing w:val="7"/>
                <w:sz w:val="20"/>
                <w:szCs w:val="20"/>
              </w:rPr>
              <w:t>平方公里范围）确定以</w:t>
            </w:r>
            <w:r>
              <w:rPr>
                <w:spacing w:val="6"/>
                <w:sz w:val="20"/>
                <w:szCs w:val="20"/>
              </w:rPr>
              <w:t>机械制造、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医药、新材料产业为主导产业，以食品加工、酒制造为 次主导产业。</w:t>
            </w:r>
          </w:p>
        </w:tc>
        <w:tc>
          <w:tcPr>
            <w:tcW w:w="207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9" w:line="228" w:lineRule="auto"/>
              <w:ind w:left="16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本项目为金属表面</w:t>
            </w:r>
          </w:p>
          <w:p>
            <w:pPr>
              <w:pStyle w:val="TableText"/>
              <w:spacing w:before="24" w:line="231" w:lineRule="auto"/>
              <w:ind w:left="27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处理及热处理加</w:t>
            </w:r>
          </w:p>
          <w:p>
            <w:pPr>
              <w:pStyle w:val="TableText"/>
              <w:spacing w:before="21" w:line="228" w:lineRule="auto"/>
              <w:ind w:left="5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工</w:t>
            </w:r>
            <w:r>
              <w:rPr>
                <w:spacing w:val="-7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，符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合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182" w:type="dxa"/>
            <w:vAlign w:val="top"/>
          </w:tcPr>
          <w:p>
            <w:pPr>
              <w:pStyle w:val="TableText"/>
              <w:spacing w:before="42" w:line="245" w:lineRule="auto"/>
              <w:ind w:left="108" w:right="30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 xml:space="preserve">所有入区项目，要在规划的功能区内建设，并符合国家 产业政策，开发区的行业准入和环保准入条件。严格控 制废气、废气污染严重的项目入区，入区项目要做好厂 </w:t>
            </w:r>
            <w:r>
              <w:rPr>
                <w:spacing w:val="5"/>
                <w:sz w:val="20"/>
                <w:szCs w:val="20"/>
              </w:rPr>
              <w:t>区防渗工作，确保工作质量，防止对地下水造 成影响。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所有入区建设项目的环境影响评价文件，要经有审批权 </w:t>
            </w:r>
            <w:r>
              <w:rPr>
                <w:spacing w:val="7"/>
                <w:sz w:val="20"/>
                <w:szCs w:val="20"/>
              </w:rPr>
              <w:t>的环保部门批准后方可开工建设，并落实好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“</w:t>
            </w:r>
            <w:r>
              <w:rPr>
                <w:spacing w:val="7"/>
                <w:sz w:val="20"/>
                <w:szCs w:val="20"/>
              </w:rPr>
              <w:t>三同</w:t>
            </w:r>
            <w:r>
              <w:rPr>
                <w:spacing w:val="6"/>
                <w:sz w:val="20"/>
                <w:szCs w:val="20"/>
              </w:rPr>
              <w:t>时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”</w:t>
            </w:r>
            <w:r>
              <w:rPr>
                <w:spacing w:val="6"/>
                <w:sz w:val="20"/>
                <w:szCs w:val="20"/>
              </w:rPr>
              <w:t xml:space="preserve">制 </w:t>
            </w:r>
            <w:r>
              <w:rPr>
                <w:sz w:val="20"/>
                <w:szCs w:val="20"/>
              </w:rPr>
              <w:t>度。</w:t>
            </w:r>
          </w:p>
        </w:tc>
        <w:tc>
          <w:tcPr>
            <w:tcW w:w="2076" w:type="dxa"/>
            <w:tcBorders>
              <w:right w:val="single" w:sz="6" w:space="0" w:color="000000"/>
            </w:tcBorders>
            <w:vAlign w:val="top"/>
          </w:tcPr>
          <w:p>
            <w:pPr>
              <w:spacing w:line="396" w:lineRule="auto"/>
            </w:pPr>
          </w:p>
          <w:p>
            <w:pPr>
              <w:pStyle w:val="TableText"/>
              <w:spacing w:before="65" w:line="228" w:lineRule="auto"/>
              <w:ind w:left="16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本项目不属于禁止</w:t>
            </w:r>
          </w:p>
          <w:p>
            <w:pPr>
              <w:pStyle w:val="TableText"/>
              <w:spacing w:before="24" w:line="228" w:lineRule="auto"/>
              <w:ind w:left="16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项目，符合准入条</w:t>
            </w:r>
          </w:p>
          <w:p>
            <w:pPr>
              <w:pStyle w:val="TableText"/>
              <w:spacing w:before="24" w:line="228" w:lineRule="auto"/>
              <w:ind w:left="89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182" w:type="dxa"/>
            <w:vAlign w:val="top"/>
          </w:tcPr>
          <w:p>
            <w:pPr>
              <w:pStyle w:val="TableText"/>
              <w:spacing w:before="47" w:line="245" w:lineRule="auto"/>
              <w:ind w:left="109" w:right="71" w:firstLine="1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落实事故风险的防范及应急措施。重视并切实加强开发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区环境安全管理工作，开发区及入区企业均</w:t>
            </w:r>
            <w:r>
              <w:rPr>
                <w:spacing w:val="6"/>
                <w:sz w:val="20"/>
                <w:szCs w:val="20"/>
              </w:rPr>
              <w:t>应制定并落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实各类事故风险防范措施及应急预案。区内</w:t>
            </w:r>
            <w:r>
              <w:rPr>
                <w:spacing w:val="6"/>
                <w:sz w:val="20"/>
                <w:szCs w:val="20"/>
              </w:rPr>
              <w:t>各企业须按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规范要求在贮存、使用危险化学品的生产装</w:t>
            </w:r>
            <w:r>
              <w:rPr>
                <w:spacing w:val="6"/>
                <w:sz w:val="20"/>
                <w:szCs w:val="20"/>
              </w:rPr>
              <w:t>置周围建设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隔断、截流围堰，杜绝泄漏物料进入环境；</w:t>
            </w:r>
            <w:r>
              <w:rPr>
                <w:spacing w:val="6"/>
                <w:sz w:val="20"/>
                <w:szCs w:val="20"/>
              </w:rPr>
              <w:t>储备必要的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事故应急设备物资，并定期组织演练，确保环境安全。</w:t>
            </w:r>
          </w:p>
        </w:tc>
        <w:tc>
          <w:tcPr>
            <w:tcW w:w="207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2" w:line="244" w:lineRule="auto"/>
              <w:ind w:left="121" w:right="130" w:firstLine="43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本项目建成运营期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加强环境风险的管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"/>
                <w:sz w:val="20"/>
                <w:szCs w:val="20"/>
              </w:rPr>
              <w:t>理，编制应急预案，</w:t>
            </w:r>
          </w:p>
          <w:p>
            <w:pPr>
              <w:pStyle w:val="TableText"/>
              <w:spacing w:before="24" w:line="228" w:lineRule="auto"/>
              <w:ind w:left="16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并定期开展演练，</w:t>
            </w:r>
          </w:p>
          <w:p>
            <w:pPr>
              <w:pStyle w:val="TableText"/>
              <w:spacing w:before="26" w:line="228" w:lineRule="auto"/>
              <w:ind w:left="48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符合要求。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182" w:type="dxa"/>
            <w:vAlign w:val="top"/>
          </w:tcPr>
          <w:p>
            <w:pPr>
              <w:pStyle w:val="TableText"/>
              <w:spacing w:before="49" w:line="233" w:lineRule="auto"/>
              <w:ind w:left="1551" w:right="174" w:hanging="136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开发区主要污染物排放总量控制指标由当地环保部门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统一管理，从严控制。</w:t>
            </w:r>
          </w:p>
        </w:tc>
        <w:tc>
          <w:tcPr>
            <w:tcW w:w="207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228" w:lineRule="auto"/>
              <w:ind w:left="16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废气符合达标排放</w:t>
            </w:r>
          </w:p>
          <w:p>
            <w:pPr>
              <w:pStyle w:val="TableText"/>
              <w:spacing w:before="23" w:line="215" w:lineRule="auto"/>
              <w:ind w:left="26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和总量控制要求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7258" w:type="dxa"/>
            <w:gridSpan w:val="2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9" w:line="466" w:lineRule="exact"/>
              <w:ind w:left="620"/>
            </w:pPr>
            <w:r>
              <w:rPr>
                <w:spacing w:val="1"/>
                <w:position w:val="17"/>
              </w:rPr>
              <w:t>由上表可知，项目建设符合《关于山东平原经济开发区环境影</w:t>
            </w:r>
          </w:p>
          <w:p>
            <w:pPr>
              <w:pStyle w:val="TableText"/>
              <w:spacing w:line="218" w:lineRule="auto"/>
              <w:ind w:left="123"/>
            </w:pPr>
            <w:r>
              <w:rPr>
                <w:spacing w:val="-2"/>
              </w:rPr>
              <w:t>响报告书的审查意见》的文件要求。</w:t>
            </w:r>
          </w:p>
        </w:tc>
      </w:tr>
    </w:tbl>
    <w:p>
      <w:pPr>
        <w:pStyle w:val="BodyText"/>
      </w:pPr>
    </w:p>
    <w:p>
      <w:pPr>
        <w:sectPr>
          <w:footerReference w:type="default" r:id="rId6"/>
          <w:pgSz w:w="11906" w:h="16839"/>
          <w:pgMar w:top="1431" w:right="1564" w:bottom="1240" w:left="1563" w:header="0" w:footer="1078" w:gutter="0"/>
          <w:pgNumType w:start="3"/>
          <w:cols w:num="1" w:space="720"/>
        </w:sectPr>
      </w:pPr>
    </w:p>
    <w:p>
      <w:pPr>
        <w:spacing w:before="28"/>
      </w:pPr>
    </w:p>
    <w:tbl>
      <w:tblPr>
        <w:tblStyle w:val="TableNormal02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7258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4"/>
        </w:trPr>
        <w:tc>
          <w:tcPr>
            <w:tcW w:w="1505" w:type="dxa"/>
            <w:tcBorders>
              <w:right w:val="single" w:sz="2" w:space="0" w:color="000000"/>
            </w:tcBorders>
            <w:vAlign w:val="top"/>
          </w:tcPr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pStyle w:val="TableText"/>
              <w:spacing w:before="78" w:line="229" w:lineRule="auto"/>
              <w:ind w:left="513" w:right="152" w:hanging="361"/>
            </w:pPr>
            <w:r>
              <w:rPr>
                <w:spacing w:val="-3"/>
              </w:rPr>
              <w:t>其他符合性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分析</w:t>
            </w:r>
          </w:p>
        </w:tc>
        <w:tc>
          <w:tcPr>
            <w:tcW w:w="725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52" w:line="220" w:lineRule="auto"/>
              <w:ind w:left="59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、产业政策符合性分析</w:t>
            </w:r>
          </w:p>
          <w:p>
            <w:pPr>
              <w:pStyle w:val="TableText"/>
              <w:spacing w:before="177" w:line="360" w:lineRule="auto"/>
              <w:ind w:left="112" w:right="39" w:firstLine="481"/>
              <w:jc w:val="both"/>
            </w:pPr>
            <w:r>
              <w:rPr>
                <w:spacing w:val="1"/>
              </w:rPr>
              <w:t>该项目不属于国家发改委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2019 </w:t>
            </w:r>
            <w:r>
              <w:rPr>
                <w:spacing w:val="1"/>
              </w:rPr>
              <w:t>年第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1"/>
              </w:rPr>
              <w:t>号令《产业结构调整指</w:t>
            </w:r>
            <w:r>
              <w:t xml:space="preserve"> </w:t>
            </w:r>
            <w:r>
              <w:rPr>
                <w:spacing w:val="-3"/>
              </w:rPr>
              <w:t>导目录》（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2019 </w:t>
            </w:r>
            <w:r>
              <w:rPr>
                <w:spacing w:val="-3"/>
              </w:rPr>
              <w:t>年本</w:t>
            </w:r>
            <w:r>
              <w:rPr>
                <w:spacing w:val="-33"/>
              </w:rPr>
              <w:t>）（</w:t>
            </w:r>
            <w:r>
              <w:rPr>
                <w:spacing w:val="-3"/>
              </w:rPr>
              <w:t>修正）中鼓励类、限制类以及</w:t>
            </w:r>
            <w:r>
              <w:rPr>
                <w:spacing w:val="-4"/>
              </w:rPr>
              <w:t>淘汰类项目，</w:t>
            </w:r>
            <w:r>
              <w:t xml:space="preserve"> 属于允许建设项目，符合国家产业政策。</w:t>
            </w:r>
            <w:r>
              <w:rPr>
                <w:spacing w:val="-49"/>
              </w:rPr>
              <w:t xml:space="preserve"> </w:t>
            </w:r>
            <w:r>
              <w:t xml:space="preserve">目前企业已在山东省投资 </w:t>
            </w:r>
            <w:r>
              <w:rPr>
                <w:spacing w:val="2"/>
              </w:rPr>
              <w:t>项目在线审批监管平台进行申报，并通过德州市平原县行政审批服</w:t>
            </w:r>
          </w:p>
          <w:p>
            <w:pPr>
              <w:pStyle w:val="TableText"/>
              <w:spacing w:line="220" w:lineRule="auto"/>
              <w:ind w:left="112"/>
            </w:pPr>
            <w:r>
              <w:t>务局的确认，其项目代码为：</w:t>
            </w:r>
            <w:r>
              <w:rPr>
                <w:rFonts w:ascii="Times New Roman" w:eastAsia="Times New Roman" w:hAnsi="Times New Roman" w:cs="Times New Roman"/>
              </w:rPr>
              <w:t>2309-3714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26-89-01-439822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79" w:line="220" w:lineRule="auto"/>
              <w:ind w:left="58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“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三线一单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”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  <w:p>
            <w:pPr>
              <w:pStyle w:val="TableText"/>
              <w:spacing w:before="183" w:line="326" w:lineRule="auto"/>
              <w:ind w:left="97" w:right="102" w:firstLine="495"/>
              <w:jc w:val="both"/>
            </w:pPr>
            <w:r>
              <w:rPr>
                <w:spacing w:val="1"/>
              </w:rPr>
              <w:t>依照《德州市人民政府关于印发德州市“三线一单</w:t>
            </w:r>
            <w:r>
              <w:rPr>
                <w:spacing w:val="-76"/>
              </w:rPr>
              <w:t xml:space="preserve"> </w:t>
            </w:r>
            <w:r>
              <w:rPr>
                <w:spacing w:val="1"/>
              </w:rPr>
              <w:t>”生态环境</w:t>
            </w:r>
            <w:r>
              <w:t xml:space="preserve"> </w:t>
            </w:r>
            <w:r>
              <w:rPr>
                <w:spacing w:val="-2"/>
              </w:rPr>
              <w:t>分区管控方案的通知》（德政字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[2021]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>号）和《关于印发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&lt;</w:t>
            </w:r>
            <w:r>
              <w:rPr>
                <w:spacing w:val="-3"/>
              </w:rPr>
              <w:t>德州市</w:t>
            </w:r>
            <w:r>
              <w:t xml:space="preserve"> </w:t>
            </w:r>
            <w:r>
              <w:rPr>
                <w:spacing w:val="-9"/>
              </w:rPr>
              <w:t>“三线一单</w:t>
            </w:r>
            <w:r>
              <w:rPr>
                <w:spacing w:val="-88"/>
              </w:rPr>
              <w:t xml:space="preserve"> </w:t>
            </w:r>
            <w:r>
              <w:rPr>
                <w:spacing w:val="-9"/>
              </w:rPr>
              <w:t>”生态环境分区管控方案</w:t>
            </w:r>
            <w:r>
              <w:rPr>
                <w:spacing w:val="-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2022 </w:t>
            </w:r>
            <w:r>
              <w:rPr>
                <w:spacing w:val="-9"/>
              </w:rPr>
              <w:t>年度更新内容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9"/>
              </w:rPr>
              <w:t>的通知</w:t>
            </w:r>
            <w:r>
              <w:rPr>
                <w:spacing w:val="-10"/>
              </w:rPr>
              <w:t>》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(</w:t>
            </w:r>
            <w:r>
              <w:rPr>
                <w:spacing w:val="-10"/>
              </w:rPr>
              <w:t>德</w:t>
            </w:r>
            <w:r>
              <w:t xml:space="preserve"> </w:t>
            </w:r>
            <w:r>
              <w:rPr>
                <w:spacing w:val="-2"/>
              </w:rPr>
              <w:t>环委办字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[2023]8 </w:t>
            </w:r>
            <w:r>
              <w:rPr>
                <w:spacing w:val="-2"/>
              </w:rPr>
              <w:t>号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-2"/>
              </w:rPr>
              <w:t>，对本项目“三线一单</w:t>
            </w:r>
            <w:r>
              <w:rPr>
                <w:spacing w:val="-88"/>
              </w:rPr>
              <w:t xml:space="preserve"> </w:t>
            </w:r>
            <w:r>
              <w:rPr>
                <w:spacing w:val="-2"/>
              </w:rPr>
              <w:t>”符合性进行分析。</w:t>
            </w:r>
          </w:p>
          <w:p>
            <w:pPr>
              <w:pStyle w:val="TableText"/>
              <w:spacing w:before="170" w:line="220" w:lineRule="auto"/>
              <w:ind w:left="602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）生态保护红线与一般生态空间管控</w:t>
            </w:r>
          </w:p>
          <w:p>
            <w:pPr>
              <w:pStyle w:val="TableText"/>
              <w:spacing w:before="179" w:line="218" w:lineRule="auto"/>
              <w:ind w:left="590"/>
            </w:pPr>
            <w:r>
              <w:rPr>
                <w:spacing w:val="-1"/>
              </w:rPr>
              <w:t>①与生态保护红线的符合性</w:t>
            </w:r>
          </w:p>
          <w:p>
            <w:pPr>
              <w:pStyle w:val="TableText"/>
              <w:spacing w:before="185" w:line="359" w:lineRule="auto"/>
              <w:ind w:left="111" w:right="102" w:firstLine="480"/>
            </w:pPr>
            <w:r>
              <w:rPr>
                <w:spacing w:val="12"/>
              </w:rPr>
              <w:t>德州市生态保护红线主导功能为生物多样性保护以及防风固</w:t>
            </w:r>
            <w:r>
              <w:t xml:space="preserve"> </w:t>
            </w:r>
            <w:r>
              <w:rPr>
                <w:spacing w:val="2"/>
              </w:rPr>
              <w:t>沙，属于黄河三角洲生物多样性维护生态保护红线、鲁西北平原防</w:t>
            </w:r>
            <w:r>
              <w:rPr>
                <w:spacing w:val="14"/>
              </w:rPr>
              <w:t xml:space="preserve"> </w:t>
            </w:r>
            <w:r>
              <w:rPr>
                <w:spacing w:val="2"/>
              </w:rPr>
              <w:t>风固沙生态保护红线，主要为各类法定保护地的核心区域及评估确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定的极重要区。项目所在区域周边共有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1"/>
              </w:rPr>
              <w:t>处生态保护红线区，见下</w:t>
            </w:r>
          </w:p>
          <w:p>
            <w:pPr>
              <w:pStyle w:val="TableText"/>
              <w:spacing w:before="1" w:line="221" w:lineRule="auto"/>
              <w:ind w:left="110"/>
            </w:pPr>
            <w:r>
              <w:rPr>
                <w:spacing w:val="-5"/>
              </w:rPr>
              <w:t>表：</w:t>
            </w:r>
          </w:p>
          <w:p>
            <w:pPr>
              <w:pStyle w:val="TableText"/>
              <w:spacing w:before="173" w:line="224" w:lineRule="auto"/>
              <w:ind w:left="180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1-2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本项目周边生态红线区域信息表</w:t>
            </w:r>
          </w:p>
          <w:tbl>
            <w:tblPr>
              <w:tblStyle w:val="TableNormal02"/>
              <w:tblW w:w="7083" w:type="dxa"/>
              <w:tblInd w:w="10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73"/>
              <w:gridCol w:w="3747"/>
              <w:gridCol w:w="2663"/>
            </w:tblGrid>
            <w:tr>
              <w:tblPrEx>
                <w:tblW w:w="7083" w:type="dxa"/>
                <w:tblInd w:w="10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6"/>
              </w:trPr>
              <w:tc>
                <w:tcPr>
                  <w:tcW w:w="4420" w:type="dxa"/>
                  <w:gridSpan w:val="2"/>
                  <w:vAlign w:val="top"/>
                </w:tcPr>
                <w:p>
                  <w:pPr>
                    <w:pStyle w:val="TableText"/>
                    <w:spacing w:before="47" w:line="228" w:lineRule="auto"/>
                    <w:ind w:left="158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生态保护对象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pStyle w:val="TableText"/>
                    <w:spacing w:before="47" w:line="228" w:lineRule="auto"/>
                    <w:ind w:left="112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编号</w:t>
                  </w:r>
                </w:p>
              </w:tc>
            </w:tr>
            <w:tr>
              <w:tblPrEx>
                <w:tblW w:w="7083" w:type="dxa"/>
                <w:tblInd w:w="10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1"/>
              </w:trPr>
              <w:tc>
                <w:tcPr>
                  <w:tcW w:w="6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3" w:lineRule="auto"/>
                  </w:pPr>
                </w:p>
                <w:p>
                  <w:pPr>
                    <w:spacing w:line="284" w:lineRule="auto"/>
                  </w:pPr>
                </w:p>
                <w:p>
                  <w:pPr>
                    <w:pStyle w:val="TableText"/>
                    <w:spacing w:before="65" w:line="274" w:lineRule="exact"/>
                    <w:ind w:left="11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position w:val="4"/>
                      <w:sz w:val="20"/>
                      <w:szCs w:val="20"/>
                    </w:rPr>
                    <w:t>生态</w:t>
                  </w:r>
                </w:p>
                <w:p>
                  <w:pPr>
                    <w:pStyle w:val="TableText"/>
                    <w:spacing w:line="229" w:lineRule="auto"/>
                    <w:ind w:left="11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保护</w:t>
                  </w:r>
                </w:p>
                <w:p>
                  <w:pPr>
                    <w:pStyle w:val="TableText"/>
                    <w:spacing w:before="23" w:line="229" w:lineRule="auto"/>
                    <w:ind w:left="120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红线</w:t>
                  </w:r>
                </w:p>
                <w:p>
                  <w:pPr>
                    <w:pStyle w:val="TableText"/>
                    <w:spacing w:before="25" w:line="233" w:lineRule="auto"/>
                    <w:ind w:left="131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3747" w:type="dxa"/>
                  <w:vAlign w:val="top"/>
                </w:tcPr>
                <w:p>
                  <w:pPr>
                    <w:pStyle w:val="TableText"/>
                    <w:spacing w:before="129" w:line="228" w:lineRule="auto"/>
                    <w:ind w:left="30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德州鲁北平原地方级森林自然公园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spacing w:before="165" w:line="195" w:lineRule="auto"/>
                    <w:ind w:left="5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3714261110021</w:t>
                  </w:r>
                </w:p>
              </w:tc>
            </w:tr>
            <w:tr>
              <w:tblPrEx>
                <w:tblW w:w="7083" w:type="dxa"/>
                <w:tblInd w:w="10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0"/>
              </w:trPr>
              <w:tc>
                <w:tcPr>
                  <w:tcW w:w="6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747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30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德州马减竖河地方级湿地自然公园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spacing w:before="121" w:line="195" w:lineRule="auto"/>
                    <w:ind w:left="5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3714261110022</w:t>
                  </w:r>
                </w:p>
              </w:tc>
            </w:tr>
            <w:tr>
              <w:tblPrEx>
                <w:tblW w:w="7083" w:type="dxa"/>
                <w:tblInd w:w="10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79"/>
              </w:trPr>
              <w:tc>
                <w:tcPr>
                  <w:tcW w:w="6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747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19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德州平原马颊河地方级湿地自然公园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spacing w:before="120" w:line="195" w:lineRule="auto"/>
                    <w:ind w:left="5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3714261110023</w:t>
                  </w:r>
                </w:p>
              </w:tc>
            </w:tr>
            <w:tr>
              <w:tblPrEx>
                <w:tblW w:w="7083" w:type="dxa"/>
                <w:tblInd w:w="10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2"/>
              </w:trPr>
              <w:tc>
                <w:tcPr>
                  <w:tcW w:w="6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747" w:type="dxa"/>
                  <w:vAlign w:val="top"/>
                </w:tcPr>
                <w:p>
                  <w:pPr>
                    <w:pStyle w:val="TableText"/>
                    <w:spacing w:before="47" w:line="226" w:lineRule="auto"/>
                    <w:ind w:left="146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龙门水库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spacing w:before="82" w:line="195" w:lineRule="auto"/>
                    <w:ind w:left="5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3714261110024</w:t>
                  </w:r>
                </w:p>
              </w:tc>
            </w:tr>
            <w:tr>
              <w:tblPrEx>
                <w:tblW w:w="7083" w:type="dxa"/>
                <w:tblInd w:w="10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3"/>
              </w:trPr>
              <w:tc>
                <w:tcPr>
                  <w:tcW w:w="6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747" w:type="dxa"/>
                  <w:vAlign w:val="top"/>
                </w:tcPr>
                <w:p>
                  <w:pPr>
                    <w:pStyle w:val="TableText"/>
                    <w:spacing w:before="104" w:line="229" w:lineRule="auto"/>
                    <w:ind w:left="30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鲁西北平原防风固沙生态保护红线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spacing w:before="140" w:line="195" w:lineRule="auto"/>
                    <w:ind w:left="5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3714261110025</w:t>
                  </w:r>
                </w:p>
              </w:tc>
            </w:tr>
            <w:tr>
              <w:tblPrEx>
                <w:tblW w:w="7083" w:type="dxa"/>
                <w:tblInd w:w="10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6"/>
              </w:trPr>
              <w:tc>
                <w:tcPr>
                  <w:tcW w:w="673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3747" w:type="dxa"/>
                  <w:vAlign w:val="top"/>
                </w:tcPr>
                <w:p>
                  <w:pPr>
                    <w:pStyle w:val="TableText"/>
                    <w:spacing w:before="63" w:line="229" w:lineRule="auto"/>
                    <w:ind w:left="157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马颊河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spacing w:before="99" w:line="195" w:lineRule="auto"/>
                    <w:ind w:left="5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3714261110026</w:t>
                  </w:r>
                </w:p>
              </w:tc>
            </w:tr>
          </w:tbl>
          <w:p>
            <w:pPr>
              <w:pStyle w:val="TableText"/>
              <w:spacing w:before="36" w:line="359" w:lineRule="auto"/>
              <w:ind w:left="110" w:right="102" w:firstLine="480"/>
              <w:jc w:val="both"/>
            </w:pPr>
            <w:r>
              <w:rPr>
                <w:spacing w:val="4"/>
              </w:rPr>
              <w:t>本项目位于山东省德州市平原县德原街道北园路西段路北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300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2"/>
              </w:rPr>
              <w:t>米登海种业东侧，本项目不穿过及占用生态保护红线区，符合《德</w:t>
            </w:r>
          </w:p>
          <w:p>
            <w:pPr>
              <w:pStyle w:val="TableText"/>
              <w:spacing w:before="1" w:line="219" w:lineRule="auto"/>
              <w:ind w:left="111"/>
            </w:pPr>
            <w:r>
              <w:rPr>
                <w:spacing w:val="-2"/>
              </w:rPr>
              <w:t>州市“三线一单</w:t>
            </w:r>
            <w:r>
              <w:rPr>
                <w:spacing w:val="-86"/>
              </w:rPr>
              <w:t xml:space="preserve"> </w:t>
            </w:r>
            <w:r>
              <w:rPr>
                <w:spacing w:val="-2"/>
              </w:rPr>
              <w:t>”生态环境分区管控方案》的要求。</w:t>
            </w:r>
          </w:p>
          <w:p>
            <w:pPr>
              <w:pStyle w:val="TableText"/>
              <w:spacing w:before="180" w:line="218" w:lineRule="auto"/>
              <w:ind w:left="589"/>
            </w:pPr>
            <w:r>
              <w:rPr>
                <w:spacing w:val="-2"/>
              </w:rPr>
              <w:t>②一般生态空间</w:t>
            </w:r>
          </w:p>
        </w:tc>
      </w:tr>
    </w:tbl>
    <w:p>
      <w:pPr>
        <w:pStyle w:val="BodyText"/>
      </w:pPr>
    </w:p>
    <w:p>
      <w:pPr>
        <w:sectPr>
          <w:footerReference w:type="default" r:id="rId7"/>
          <w:pgSz w:w="11906" w:h="16839"/>
          <w:pgMar w:top="1431" w:right="1564" w:bottom="1240" w:left="1563" w:header="0" w:footer="1078" w:gutter="0"/>
          <w:pgNumType w:start="4"/>
          <w:cols w:num="1" w:space="720"/>
        </w:sectPr>
      </w:pPr>
    </w:p>
    <w:p>
      <w:pPr>
        <w:spacing w:before="28"/>
      </w:pPr>
    </w:p>
    <w:tbl>
      <w:tblPr>
        <w:tblStyle w:val="TableNormal03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7258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4"/>
        </w:trPr>
        <w:tc>
          <w:tcPr>
            <w:tcW w:w="1505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25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1" w:line="359" w:lineRule="auto"/>
              <w:ind w:left="111" w:right="102" w:firstLine="478"/>
              <w:jc w:val="both"/>
            </w:pPr>
            <w:r>
              <w:rPr>
                <w:spacing w:val="1"/>
              </w:rPr>
              <w:t>在生态保护红线的基础上，按照“应划则划</w:t>
            </w:r>
            <w:r>
              <w:rPr>
                <w:spacing w:val="-75"/>
              </w:rPr>
              <w:t xml:space="preserve"> </w:t>
            </w:r>
            <w:r>
              <w:rPr>
                <w:spacing w:val="1"/>
              </w:rPr>
              <w:t>”的原则划定一般</w:t>
            </w:r>
            <w:r>
              <w:t xml:space="preserve"> </w:t>
            </w:r>
            <w:r>
              <w:rPr>
                <w:spacing w:val="-3"/>
              </w:rPr>
              <w:t>生态空间，德州市一般生态空间总面积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574.60km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，占全市</w:t>
            </w:r>
            <w:r>
              <w:rPr>
                <w:spacing w:val="-4"/>
              </w:rPr>
              <w:t>国土面积</w:t>
            </w:r>
            <w:r>
              <w:t xml:space="preserve"> </w:t>
            </w:r>
            <w:r>
              <w:rPr>
                <w:spacing w:val="-4"/>
              </w:rPr>
              <w:t>的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5.55%</w:t>
            </w:r>
            <w:r>
              <w:rPr>
                <w:spacing w:val="-4"/>
              </w:rPr>
              <w:t>，包括未纳入生态保护红线的森林</w:t>
            </w:r>
            <w:r>
              <w:rPr>
                <w:spacing w:val="-5"/>
              </w:rPr>
              <w:t>公园、湿地公园、饮用水</w:t>
            </w:r>
            <w:r>
              <w:t xml:space="preserve"> </w:t>
            </w:r>
            <w:r>
              <w:rPr>
                <w:spacing w:val="2"/>
              </w:rPr>
              <w:t>水源地保护区以及拟划定的饮用水水源地保护区、公园绿地、公益</w:t>
            </w:r>
            <w:r>
              <w:rPr>
                <w:spacing w:val="14"/>
              </w:rPr>
              <w:t xml:space="preserve"> </w:t>
            </w:r>
            <w:r>
              <w:rPr>
                <w:spacing w:val="2"/>
              </w:rPr>
              <w:t>林，除此之外还包括评价确定的生态系统服务功能极重要区、重要</w:t>
            </w:r>
          </w:p>
          <w:p>
            <w:pPr>
              <w:pStyle w:val="TableText"/>
              <w:spacing w:line="220" w:lineRule="auto"/>
              <w:ind w:left="128"/>
            </w:pPr>
            <w:r>
              <w:rPr>
                <w:spacing w:val="-2"/>
              </w:rPr>
              <w:t>区及生态环境极敏感区、敏感区。</w:t>
            </w:r>
          </w:p>
          <w:p>
            <w:pPr>
              <w:pStyle w:val="TableText"/>
              <w:spacing w:before="181" w:line="466" w:lineRule="exact"/>
              <w:ind w:left="591"/>
            </w:pPr>
            <w:r>
              <w:rPr>
                <w:spacing w:val="2"/>
                <w:position w:val="17"/>
              </w:rPr>
              <w:t>本项目未在一般生态空间范围内。因此本项目符合生态保护红</w:t>
            </w:r>
          </w:p>
          <w:p>
            <w:pPr>
              <w:pStyle w:val="TableText"/>
              <w:spacing w:line="220" w:lineRule="auto"/>
              <w:ind w:left="113"/>
            </w:pPr>
            <w:r>
              <w:rPr>
                <w:spacing w:val="-1"/>
              </w:rPr>
              <w:t>线和一般生态空间管控要求。</w:t>
            </w:r>
          </w:p>
          <w:p>
            <w:pPr>
              <w:pStyle w:val="TableText"/>
              <w:spacing w:before="181" w:line="221" w:lineRule="auto"/>
              <w:ind w:left="60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）环境质量底线</w:t>
            </w:r>
          </w:p>
          <w:p>
            <w:pPr>
              <w:pStyle w:val="TableText"/>
              <w:spacing w:before="288" w:line="218" w:lineRule="auto"/>
              <w:ind w:left="590"/>
            </w:pPr>
            <w:r>
              <w:rPr>
                <w:spacing w:val="-1"/>
              </w:rPr>
              <w:t>①大气环境质量底线及分区管控</w:t>
            </w:r>
          </w:p>
          <w:p>
            <w:pPr>
              <w:pStyle w:val="TableText"/>
              <w:spacing w:before="10" w:line="359" w:lineRule="auto"/>
              <w:ind w:left="111" w:right="102" w:firstLine="485"/>
            </w:pPr>
            <w:r>
              <w:rPr>
                <w:spacing w:val="-6"/>
              </w:rPr>
              <w:t>到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2025 </w:t>
            </w:r>
            <w:r>
              <w:rPr>
                <w:spacing w:val="-6"/>
              </w:rPr>
              <w:t>年，全市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6"/>
                <w:position w:val="-1"/>
                <w:sz w:val="15"/>
                <w:szCs w:val="15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1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6"/>
              </w:rPr>
              <w:t>浓度进一步下降，达到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40μg/m</w:t>
            </w:r>
            <w:r>
              <w:rPr>
                <w:rFonts w:ascii="Times New Roman" w:eastAsia="Times New Roman" w:hAnsi="Times New Roman" w:cs="Times New Roman"/>
                <w:spacing w:val="-6"/>
                <w:position w:val="8"/>
                <w:sz w:val="15"/>
                <w:szCs w:val="15"/>
              </w:rPr>
              <w:t>3</w:t>
            </w:r>
            <w:r>
              <w:rPr>
                <w:spacing w:val="-6"/>
              </w:rPr>
              <w:t>。到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2035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3"/>
              </w:rPr>
              <w:t>年，全市大气环境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9"/>
                <w:w w:val="10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浓度达到国家环境空气质量标准二级限值的</w:t>
            </w:r>
          </w:p>
          <w:p>
            <w:pPr>
              <w:pStyle w:val="TableText"/>
              <w:spacing w:line="333" w:lineRule="exact"/>
              <w:ind w:left="111"/>
            </w:pPr>
            <w:r>
              <w:rPr>
                <w:spacing w:val="-2"/>
                <w:position w:val="3"/>
              </w:rPr>
              <w:t>要求，达到</w:t>
            </w:r>
            <w:r>
              <w:rPr>
                <w:spacing w:val="-43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35μg/m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5"/>
                <w:szCs w:val="15"/>
              </w:rPr>
              <w:t>3</w:t>
            </w:r>
            <w:r>
              <w:rPr>
                <w:spacing w:val="-2"/>
                <w:position w:val="3"/>
              </w:rPr>
              <w:t>。</w:t>
            </w:r>
          </w:p>
          <w:p>
            <w:pPr>
              <w:pStyle w:val="TableText"/>
              <w:spacing w:before="173" w:line="359" w:lineRule="auto"/>
              <w:ind w:left="110" w:right="39" w:firstLine="484"/>
              <w:jc w:val="both"/>
            </w:pPr>
            <w:r>
              <w:rPr>
                <w:spacing w:val="2"/>
              </w:rPr>
              <w:t>项目位于平原经济开发区工业区，属于大气环境高排放重点管</w:t>
            </w:r>
            <w:r>
              <w:rPr>
                <w:spacing w:val="13"/>
              </w:rPr>
              <w:t xml:space="preserve"> </w:t>
            </w:r>
            <w:r>
              <w:rPr>
                <w:spacing w:val="-8"/>
              </w:rPr>
              <w:t>控区。执 行 《</w:t>
            </w:r>
            <w:r>
              <w:rPr>
                <w:spacing w:val="53"/>
              </w:rPr>
              <w:t xml:space="preserve"> </w:t>
            </w:r>
            <w:r>
              <w:rPr>
                <w:spacing w:val="-8"/>
              </w:rPr>
              <w:t>区 域</w:t>
            </w:r>
            <w:r>
              <w:rPr>
                <w:spacing w:val="10"/>
              </w:rPr>
              <w:t xml:space="preserve"> </w:t>
            </w:r>
            <w:r>
              <w:rPr>
                <w:spacing w:val="-8"/>
              </w:rPr>
              <w:t>性</w:t>
            </w:r>
            <w:r>
              <w:rPr>
                <w:spacing w:val="12"/>
              </w:rPr>
              <w:t xml:space="preserve"> </w:t>
            </w:r>
            <w:r>
              <w:rPr>
                <w:spacing w:val="-8"/>
              </w:rPr>
              <w:t>大</w:t>
            </w:r>
            <w:r>
              <w:rPr>
                <w:spacing w:val="10"/>
              </w:rPr>
              <w:t xml:space="preserve"> </w:t>
            </w:r>
            <w:r>
              <w:rPr>
                <w:spacing w:val="-8"/>
              </w:rPr>
              <w:t>气</w:t>
            </w:r>
            <w:r>
              <w:rPr>
                <w:spacing w:val="12"/>
              </w:rPr>
              <w:t xml:space="preserve"> </w:t>
            </w:r>
            <w:r>
              <w:rPr>
                <w:spacing w:val="-8"/>
              </w:rPr>
              <w:t>污</w:t>
            </w:r>
            <w:r>
              <w:rPr>
                <w:spacing w:val="13"/>
              </w:rPr>
              <w:t xml:space="preserve"> </w:t>
            </w:r>
            <w:r>
              <w:rPr>
                <w:spacing w:val="-8"/>
              </w:rPr>
              <w:t>染</w:t>
            </w:r>
            <w:r>
              <w:rPr>
                <w:spacing w:val="9"/>
              </w:rPr>
              <w:t xml:space="preserve"> </w:t>
            </w:r>
            <w:r>
              <w:rPr>
                <w:spacing w:val="-8"/>
              </w:rPr>
              <w:t>物</w:t>
            </w:r>
            <w:r>
              <w:rPr>
                <w:spacing w:val="12"/>
              </w:rPr>
              <w:t xml:space="preserve"> </w:t>
            </w:r>
            <w:r>
              <w:rPr>
                <w:spacing w:val="-8"/>
              </w:rPr>
              <w:t>综</w:t>
            </w:r>
            <w:r>
              <w:rPr>
                <w:spacing w:val="11"/>
              </w:rPr>
              <w:t xml:space="preserve"> </w:t>
            </w:r>
            <w:r>
              <w:rPr>
                <w:spacing w:val="-8"/>
              </w:rPr>
              <w:t>合</w:t>
            </w:r>
            <w:r>
              <w:rPr>
                <w:spacing w:val="9"/>
              </w:rPr>
              <w:t xml:space="preserve"> </w:t>
            </w:r>
            <w:r>
              <w:rPr>
                <w:spacing w:val="-8"/>
              </w:rPr>
              <w:t>排</w:t>
            </w:r>
            <w:r>
              <w:rPr>
                <w:spacing w:val="10"/>
              </w:rPr>
              <w:t xml:space="preserve"> </w:t>
            </w:r>
            <w:r>
              <w:rPr>
                <w:spacing w:val="-8"/>
              </w:rPr>
              <w:t>放</w:t>
            </w:r>
            <w:r>
              <w:rPr>
                <w:spacing w:val="10"/>
              </w:rPr>
              <w:t xml:space="preserve"> </w:t>
            </w:r>
            <w:r>
              <w:rPr>
                <w:spacing w:val="-8"/>
              </w:rPr>
              <w:t>标</w:t>
            </w:r>
            <w:r>
              <w:rPr>
                <w:spacing w:val="11"/>
              </w:rPr>
              <w:t xml:space="preserve"> </w:t>
            </w:r>
            <w:r>
              <w:rPr>
                <w:spacing w:val="-8"/>
              </w:rPr>
              <w:t>准</w:t>
            </w:r>
            <w:r>
              <w:rPr>
                <w:spacing w:val="23"/>
              </w:rPr>
              <w:t xml:space="preserve"> </w:t>
            </w:r>
            <w:r>
              <w:rPr>
                <w:spacing w:val="-8"/>
              </w:rPr>
              <w:t>》</w:t>
            </w:r>
            <w:r>
              <w:t xml:space="preserve"> </w:t>
            </w:r>
            <w:r>
              <w:rPr>
                <w:spacing w:val="2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37/2376-2019</w:t>
            </w:r>
            <w:r>
              <w:rPr>
                <w:spacing w:val="2"/>
              </w:rPr>
              <w:t>）规定的重点控制区标准。该区域为大气环境存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量污染源重点治理和新增污染源严格管控区域，根据区域产业性质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</w:rPr>
              <w:t>和污染排放特征实施重点减排。控制工业园及产业聚集区发展规模，</w:t>
            </w:r>
            <w:r>
              <w:rPr>
                <w:spacing w:val="18"/>
              </w:rPr>
              <w:t xml:space="preserve"> </w:t>
            </w:r>
            <w:r>
              <w:t>严格控制</w:t>
            </w:r>
            <w:r>
              <w:rPr>
                <w:rFonts w:ascii="Times New Roman" w:eastAsia="Times New Roman" w:hAnsi="Times New Roman" w:cs="Times New Roman"/>
              </w:rPr>
              <w:t>“</w:t>
            </w:r>
            <w:r>
              <w:t>两高</w:t>
            </w:r>
            <w:r>
              <w:rPr>
                <w:rFonts w:ascii="Times New Roman" w:eastAsia="Times New Roman" w:hAnsi="Times New Roman" w:cs="Times New Roman"/>
              </w:rPr>
              <w:t>”</w:t>
            </w:r>
            <w:r>
              <w:t>项目建设（按照山东省</w:t>
            </w:r>
            <w:r>
              <w:rPr>
                <w:rFonts w:ascii="Times New Roman" w:eastAsia="Times New Roman" w:hAnsi="Times New Roman" w:cs="Times New Roman"/>
              </w:rPr>
              <w:t>“</w:t>
            </w:r>
            <w:r>
              <w:rPr>
                <w:spacing w:val="-1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spacing w:val="-1"/>
              </w:rPr>
              <w:t>项目管理名录确定</w:t>
            </w:r>
            <w:r>
              <w:rPr>
                <w:spacing w:val="-19"/>
              </w:rPr>
              <w:t>），</w:t>
            </w:r>
            <w:r>
              <w:t xml:space="preserve"> </w:t>
            </w:r>
            <w:r>
              <w:rPr>
                <w:spacing w:val="-1"/>
              </w:rPr>
              <w:t>建设项目新增主要污染物总量指标原则上实施二倍量替代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spacing w:val="-1"/>
              </w:rPr>
              <w:t>（按</w:t>
            </w:r>
            <w:r>
              <w:rPr>
                <w:spacing w:val="-2"/>
              </w:rPr>
              <w:t>鲁环</w:t>
            </w:r>
            <w:r>
              <w:t xml:space="preserve"> </w:t>
            </w:r>
            <w:r>
              <w:rPr>
                <w:spacing w:val="-2"/>
              </w:rPr>
              <w:t>发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[2019]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132 </w:t>
            </w:r>
            <w:r>
              <w:rPr>
                <w:spacing w:val="-2"/>
              </w:rPr>
              <w:t>号要求执行</w:t>
            </w:r>
            <w:r>
              <w:rPr>
                <w:spacing w:val="5"/>
              </w:rPr>
              <w:t>），</w:t>
            </w:r>
            <w:r>
              <w:rPr>
                <w:spacing w:val="-2"/>
              </w:rPr>
              <w:t>持续降低园区内污染物排放总量。新上</w:t>
            </w:r>
            <w:r>
              <w:t xml:space="preserve"> </w:t>
            </w:r>
            <w:r>
              <w:rPr>
                <w:spacing w:val="3"/>
              </w:rPr>
              <w:t>天然气锅炉配套低氮燃烧设施。严格落实大气污染物达标排放、总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-1"/>
              </w:rPr>
              <w:t>量控制、环保设施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“</w:t>
            </w:r>
            <w:r>
              <w:rPr>
                <w:spacing w:val="-1"/>
              </w:rPr>
              <w:t>三同时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1"/>
              </w:rPr>
              <w:t>、在线监测和排</w:t>
            </w:r>
            <w:r>
              <w:rPr>
                <w:spacing w:val="-2"/>
              </w:rPr>
              <w:t>污许可等环保制度。</w:t>
            </w:r>
          </w:p>
          <w:p>
            <w:pPr>
              <w:pStyle w:val="TableText"/>
              <w:spacing w:before="294" w:line="338" w:lineRule="auto"/>
              <w:ind w:left="110" w:right="102" w:firstLine="483"/>
            </w:pPr>
            <w:r>
              <w:rPr>
                <w:spacing w:val="-3"/>
              </w:rPr>
              <w:t>项目为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C3360 </w:t>
            </w:r>
            <w:r>
              <w:rPr>
                <w:spacing w:val="-3"/>
              </w:rPr>
              <w:t>金属表面处理及热处理加工，不属于《山东省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“</w:t>
            </w:r>
            <w:r>
              <w:rPr>
                <w:spacing w:val="-3"/>
              </w:rPr>
              <w:t>两</w:t>
            </w:r>
            <w:r>
              <w:t xml:space="preserve"> </w:t>
            </w:r>
            <w:r>
              <w:rPr>
                <w:spacing w:val="-3"/>
              </w:rPr>
              <w:t>高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”</w:t>
            </w:r>
            <w:r>
              <w:rPr>
                <w:spacing w:val="-3"/>
              </w:rPr>
              <w:t>项目管理目录（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2023 </w:t>
            </w:r>
            <w:r>
              <w:rPr>
                <w:spacing w:val="-3"/>
              </w:rPr>
              <w:t>年版）》中两高项目。大气污染主要为生产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过程中的废气，执行重点控制区标准，大气污染物经核算后均能满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足达标排放的要求且排放量较小，大气污染物实行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2 </w:t>
            </w:r>
            <w:r>
              <w:rPr>
                <w:spacing w:val="2"/>
              </w:rPr>
              <w:t>倍削减替代，</w:t>
            </w:r>
            <w:r>
              <w:t xml:space="preserve"> </w:t>
            </w:r>
            <w:r>
              <w:rPr>
                <w:spacing w:val="2"/>
              </w:rPr>
              <w:t>满足总量控制、产业准入、排放标准等要求，选址位于平原经济开</w:t>
            </w:r>
          </w:p>
          <w:p>
            <w:pPr>
              <w:pStyle w:val="TableText"/>
              <w:spacing w:line="220" w:lineRule="auto"/>
              <w:ind w:left="114"/>
            </w:pPr>
            <w:r>
              <w:rPr>
                <w:spacing w:val="-1"/>
              </w:rPr>
              <w:t>发区工业区，能够满足大气环境质量底线管控要求。</w:t>
            </w:r>
          </w:p>
        </w:tc>
      </w:tr>
    </w:tbl>
    <w:p>
      <w:pPr>
        <w:pStyle w:val="BodyText"/>
      </w:pPr>
    </w:p>
    <w:p>
      <w:pPr>
        <w:sectPr>
          <w:footerReference w:type="default" r:id="rId8"/>
          <w:pgSz w:w="11906" w:h="16839"/>
          <w:pgMar w:top="1431" w:right="1564" w:bottom="1240" w:left="1563" w:header="0" w:footer="1078" w:gutter="0"/>
          <w:pgNumType w:start="5"/>
          <w:cols w:num="1" w:space="720"/>
        </w:sectPr>
      </w:pPr>
    </w:p>
    <w:p>
      <w:pPr>
        <w:spacing w:before="28"/>
      </w:pPr>
    </w:p>
    <w:tbl>
      <w:tblPr>
        <w:tblStyle w:val="TableNormal04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7258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4"/>
        </w:trPr>
        <w:tc>
          <w:tcPr>
            <w:tcW w:w="1505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25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52" w:line="218" w:lineRule="auto"/>
              <w:ind w:left="589"/>
            </w:pPr>
            <w:r>
              <w:rPr>
                <w:spacing w:val="-1"/>
              </w:rPr>
              <w:t>②水环境治理底线及分区管控</w:t>
            </w:r>
          </w:p>
          <w:p>
            <w:pPr>
              <w:pStyle w:val="TableText"/>
              <w:spacing w:before="157" w:line="316" w:lineRule="auto"/>
              <w:ind w:left="110" w:right="102" w:firstLine="487"/>
            </w:pPr>
            <w:r>
              <w:rPr>
                <w:spacing w:val="-2"/>
              </w:rPr>
              <w:t>到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2025 </w:t>
            </w:r>
            <w:r>
              <w:rPr>
                <w:spacing w:val="-2"/>
              </w:rPr>
              <w:t>年，全市水环境质量进一步改善，县级及以上集中式饮</w:t>
            </w:r>
            <w:r>
              <w:t xml:space="preserve"> </w:t>
            </w:r>
            <w:r>
              <w:rPr>
                <w:spacing w:val="2"/>
              </w:rPr>
              <w:t>用水水源水质全部达到或优于Ⅲ类，水功能区水质全面达标，省级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及以上考核断面达到或优于Ⅲ类的水体断面达到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15%</w:t>
            </w:r>
            <w:r>
              <w:t xml:space="preserve">左右，稳定达 </w:t>
            </w:r>
            <w:r>
              <w:rPr>
                <w:spacing w:val="-2"/>
              </w:rPr>
              <w:t>到或优于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IV </w:t>
            </w:r>
            <w:r>
              <w:rPr>
                <w:spacing w:val="-2"/>
              </w:rPr>
              <w:t>类水体断面超过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50%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2" w:line="359" w:lineRule="auto"/>
              <w:ind w:left="113" w:right="102" w:firstLine="483"/>
            </w:pPr>
            <w:r>
              <w:rPr>
                <w:spacing w:val="-2"/>
              </w:rPr>
              <w:t>到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2035 </w:t>
            </w:r>
            <w:r>
              <w:rPr>
                <w:spacing w:val="-2"/>
              </w:rPr>
              <w:t>年，全市水环境质量总体改善，省级及以上考核断面稳</w:t>
            </w:r>
            <w:r>
              <w:t xml:space="preserve"> </w:t>
            </w:r>
            <w:r>
              <w:rPr>
                <w:spacing w:val="-3"/>
              </w:rPr>
              <w:t>定达到或优于Ⅲ类的水体断面达到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30%</w:t>
            </w:r>
            <w:r>
              <w:rPr>
                <w:spacing w:val="-3"/>
              </w:rPr>
              <w:t>左右，稳定达到或优于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V </w:t>
            </w:r>
            <w:r>
              <w:rPr>
                <w:spacing w:val="-4"/>
              </w:rPr>
              <w:t>类</w:t>
            </w:r>
            <w:r>
              <w:t xml:space="preserve"> 水体断面超过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80%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t>，城乡全面消除黑臭水体，乡镇级及以上集中式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-1"/>
              </w:rPr>
              <w:t>饮用水源地水质全部达到或优于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III </w:t>
            </w:r>
            <w:r>
              <w:rPr>
                <w:spacing w:val="-1"/>
              </w:rPr>
              <w:t>类，水生态系统实现良性循环。</w:t>
            </w:r>
          </w:p>
          <w:p>
            <w:pPr>
              <w:pStyle w:val="TableText"/>
              <w:spacing w:before="182" w:line="359" w:lineRule="auto"/>
              <w:ind w:left="110" w:right="102" w:firstLine="484"/>
            </w:pPr>
            <w:r>
              <w:rPr>
                <w:spacing w:val="2"/>
              </w:rPr>
              <w:t>项目位于平原经济开发区工业区，属于水环境重点管控区，按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照管控要求，涉及高耗水、高污染物排放、产生有毒有害污染物的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建设项目从严审批，禁止新建、改扩建不符合国家产业政策严重污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染水环境的落后产能，禁止建设加剧环境质量超标的建设项目。对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造纸、焦化、氮肥、印染、农副产品加工、原料药制造、制革、农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药、电镀等重点行业（国家鼓励发展的除外）实行主要污染物排放</w:t>
            </w:r>
          </w:p>
          <w:p>
            <w:pPr>
              <w:pStyle w:val="TableText"/>
              <w:spacing w:line="220" w:lineRule="auto"/>
              <w:ind w:left="112"/>
            </w:pPr>
            <w:r>
              <w:rPr>
                <w:spacing w:val="-2"/>
              </w:rPr>
              <w:t>等量或减量置换。</w:t>
            </w:r>
          </w:p>
          <w:p>
            <w:pPr>
              <w:pStyle w:val="TableText"/>
              <w:spacing w:before="184" w:line="359" w:lineRule="auto"/>
              <w:ind w:left="105" w:right="102" w:firstLine="488"/>
            </w:pPr>
            <w:r>
              <w:rPr>
                <w:spacing w:val="1"/>
              </w:rPr>
              <w:t>项目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C3360 </w:t>
            </w:r>
            <w:r>
              <w:rPr>
                <w:spacing w:val="1"/>
              </w:rPr>
              <w:t>金属表面处理及热处理加工，</w:t>
            </w:r>
            <w:r>
              <w:t xml:space="preserve">不属于高耗水工业项 </w:t>
            </w:r>
            <w:r>
              <w:rPr>
                <w:spacing w:val="3"/>
              </w:rPr>
              <w:t>目，不属于上述严重污染水环境的生产项目，</w:t>
            </w:r>
            <w:r>
              <w:rPr>
                <w:spacing w:val="2"/>
              </w:rPr>
              <w:t>满足产业政策要求。</w:t>
            </w:r>
            <w:r>
              <w:t xml:space="preserve"> </w:t>
            </w:r>
            <w:r>
              <w:rPr>
                <w:spacing w:val="11"/>
              </w:rPr>
              <w:t>水洗废水及酸喷淋废水经污水处理设施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TW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001</w:t>
            </w:r>
            <w:r>
              <w:rPr>
                <w:spacing w:val="11"/>
              </w:rPr>
              <w:t>（调节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+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10"/>
              </w:rPr>
              <w:t>水解酸化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+AO+</w:t>
            </w:r>
            <w:r>
              <w:rPr>
                <w:spacing w:val="-2"/>
              </w:rPr>
              <w:t>沉淀）处理后经市政污水管网排入平原中设水务有限公司进行</w:t>
            </w:r>
            <w:r>
              <w:rPr>
                <w:spacing w:val="3"/>
              </w:rPr>
              <w:t xml:space="preserve"> 深度处理。生活污水经化粪池处理后，经市政</w:t>
            </w:r>
            <w:r>
              <w:rPr>
                <w:spacing w:val="2"/>
              </w:rPr>
              <w:t>污水管网排入平原中</w:t>
            </w:r>
          </w:p>
          <w:p>
            <w:pPr>
              <w:pStyle w:val="TableText"/>
              <w:spacing w:line="220" w:lineRule="auto"/>
              <w:ind w:left="114"/>
            </w:pPr>
            <w:r>
              <w:rPr>
                <w:spacing w:val="-1"/>
              </w:rPr>
              <w:t>设水务有限公司进行深度处理。满足水环境质量底线管控要求。</w:t>
            </w:r>
          </w:p>
          <w:p>
            <w:pPr>
              <w:pStyle w:val="TableText"/>
              <w:spacing w:before="179" w:line="218" w:lineRule="auto"/>
              <w:ind w:left="709"/>
            </w:pPr>
            <w:r>
              <w:rPr>
                <w:spacing w:val="-1"/>
              </w:rPr>
              <w:t>③土壤环境风险防控底线及分区管控</w:t>
            </w:r>
          </w:p>
          <w:p>
            <w:pPr>
              <w:pStyle w:val="TableText"/>
              <w:spacing w:before="181" w:line="346" w:lineRule="auto"/>
              <w:ind w:left="110" w:right="102" w:firstLine="486"/>
            </w:pPr>
            <w:r>
              <w:rPr>
                <w:spacing w:val="-2"/>
              </w:rPr>
              <w:t>到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2025 </w:t>
            </w:r>
            <w:r>
              <w:rPr>
                <w:spacing w:val="-2"/>
              </w:rPr>
              <w:t>年，全市土壤环境质量稳中向好，农用地和建设用地土</w:t>
            </w:r>
            <w:r>
              <w:t xml:space="preserve"> </w:t>
            </w:r>
            <w:r>
              <w:rPr>
                <w:spacing w:val="2"/>
              </w:rPr>
              <w:t>壤环境安全得到有效保障，土壤环境风险得到全面管控，受污染耕</w:t>
            </w:r>
          </w:p>
          <w:p>
            <w:pPr>
              <w:pStyle w:val="TableText"/>
              <w:spacing w:line="361" w:lineRule="exact"/>
              <w:ind w:left="110"/>
            </w:pPr>
            <w:r>
              <w:rPr>
                <w:spacing w:val="-1"/>
                <w:position w:val="2"/>
              </w:rPr>
              <w:t xml:space="preserve">地安全利用率达到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92%</w:t>
            </w:r>
            <w:r>
              <w:rPr>
                <w:spacing w:val="-1"/>
                <w:position w:val="2"/>
              </w:rPr>
              <w:t>以上，污染地块安全利用率达到</w:t>
            </w:r>
            <w:r>
              <w:rPr>
                <w:spacing w:val="-40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93%</w:t>
            </w:r>
            <w:r>
              <w:rPr>
                <w:spacing w:val="-1"/>
                <w:position w:val="2"/>
              </w:rPr>
              <w:t>以上。</w:t>
            </w:r>
          </w:p>
          <w:p>
            <w:pPr>
              <w:pStyle w:val="TableText"/>
              <w:spacing w:before="106" w:line="318" w:lineRule="auto"/>
              <w:ind w:left="110" w:right="102" w:firstLine="486"/>
            </w:pPr>
            <w:r>
              <w:rPr>
                <w:spacing w:val="-3"/>
              </w:rPr>
              <w:t>到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2035 </w:t>
            </w:r>
            <w:r>
              <w:rPr>
                <w:spacing w:val="-3"/>
              </w:rPr>
              <w:t>年，受污染耕地安全利用率达到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97%</w:t>
            </w:r>
            <w:r>
              <w:rPr>
                <w:spacing w:val="-3"/>
              </w:rPr>
              <w:t>以上，污染地块安</w:t>
            </w:r>
            <w:r>
              <w:t xml:space="preserve"> </w:t>
            </w:r>
            <w:r>
              <w:rPr>
                <w:spacing w:val="1"/>
              </w:rPr>
              <w:t>全利用率达到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97%</w:t>
            </w:r>
            <w:r>
              <w:rPr>
                <w:spacing w:val="1"/>
              </w:rPr>
              <w:t>以上，土壤环境质量全面改善，生态系统实现良</w:t>
            </w:r>
          </w:p>
        </w:tc>
      </w:tr>
    </w:tbl>
    <w:p>
      <w:pPr>
        <w:pStyle w:val="BodyText"/>
      </w:pPr>
    </w:p>
    <w:p>
      <w:pPr>
        <w:sectPr>
          <w:footerReference w:type="default" r:id="rId9"/>
          <w:pgSz w:w="11906" w:h="16839"/>
          <w:pgMar w:top="1431" w:right="1564" w:bottom="1237" w:left="1563" w:header="0" w:footer="1078" w:gutter="0"/>
          <w:pgNumType w:start="6"/>
          <w:cols w:num="1" w:space="720"/>
        </w:sectPr>
      </w:pPr>
    </w:p>
    <w:p>
      <w:pPr>
        <w:spacing w:before="28"/>
      </w:pPr>
    </w:p>
    <w:tbl>
      <w:tblPr>
        <w:tblStyle w:val="TableNormal05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7258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4"/>
        </w:trPr>
        <w:tc>
          <w:tcPr>
            <w:tcW w:w="1505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25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110"/>
            </w:pPr>
            <w:r>
              <w:rPr>
                <w:spacing w:val="-3"/>
              </w:rPr>
              <w:t>性循环。</w:t>
            </w:r>
          </w:p>
          <w:p>
            <w:pPr>
              <w:pStyle w:val="TableText"/>
              <w:spacing w:before="182" w:line="359" w:lineRule="auto"/>
              <w:ind w:left="111" w:right="186" w:firstLine="482"/>
            </w:pPr>
            <w:r>
              <w:rPr>
                <w:spacing w:val="-1"/>
              </w:rPr>
              <w:t>项目占地为建设用地，属于建设用地一般管控单元。按照管控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要求，建立一企一档，标注地块内的风险源，标明企业的特征污染</w:t>
            </w:r>
          </w:p>
          <w:p>
            <w:pPr>
              <w:pStyle w:val="TableText"/>
              <w:spacing w:line="221" w:lineRule="auto"/>
              <w:ind w:left="110"/>
            </w:pPr>
            <w:r>
              <w:rPr>
                <w:spacing w:val="-5"/>
              </w:rPr>
              <w:t>物。</w:t>
            </w:r>
          </w:p>
          <w:p>
            <w:pPr>
              <w:pStyle w:val="TableText"/>
              <w:spacing w:before="179" w:line="359" w:lineRule="auto"/>
              <w:ind w:left="124" w:right="148" w:firstLine="470"/>
            </w:pPr>
            <w:r>
              <w:rPr>
                <w:spacing w:val="-1"/>
              </w:rPr>
              <w:t>项目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C3360 </w:t>
            </w:r>
            <w:r>
              <w:rPr>
                <w:spacing w:val="-1"/>
              </w:rPr>
              <w:t>金属表面处理及热处理加工，无明显的土壤环境风</w:t>
            </w:r>
            <w:r>
              <w:t xml:space="preserve"> 险源，项目采取分区防渗，依据地下水和土壤污染源、污染途径，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区分为重点防渗区和一般防渗区。按照管控要求建立一企一档，满</w:t>
            </w:r>
          </w:p>
          <w:p>
            <w:pPr>
              <w:pStyle w:val="TableText"/>
              <w:spacing w:line="220" w:lineRule="auto"/>
              <w:ind w:left="114"/>
            </w:pPr>
            <w:r>
              <w:rPr>
                <w:spacing w:val="-1"/>
              </w:rPr>
              <w:t>足土壤环境风险防控底线管控要求。</w:t>
            </w:r>
          </w:p>
          <w:p>
            <w:pPr>
              <w:pStyle w:val="TableText"/>
              <w:spacing w:before="181" w:line="220" w:lineRule="auto"/>
              <w:ind w:left="362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）资源利用上线及分区管控</w:t>
            </w:r>
          </w:p>
          <w:p>
            <w:pPr>
              <w:pStyle w:val="TableText"/>
              <w:spacing w:before="180" w:line="218" w:lineRule="auto"/>
              <w:ind w:left="590"/>
            </w:pPr>
            <w:r>
              <w:rPr>
                <w:spacing w:val="-2"/>
              </w:rPr>
              <w:t>①能源利用上线</w:t>
            </w:r>
          </w:p>
          <w:p>
            <w:pPr>
              <w:pStyle w:val="TableText"/>
              <w:spacing w:before="183" w:line="350" w:lineRule="auto"/>
              <w:ind w:left="111" w:right="102" w:firstLine="484"/>
            </w:pPr>
            <w:r>
              <w:rPr>
                <w:spacing w:val="2"/>
              </w:rPr>
              <w:t>结合各控制单元大气环境质量现状分析提出能源利用上线管控</w:t>
            </w:r>
            <w:r>
              <w:rPr>
                <w:spacing w:val="13"/>
              </w:rPr>
              <w:t xml:space="preserve"> </w:t>
            </w:r>
            <w:r>
              <w:rPr>
                <w:spacing w:val="2"/>
              </w:rPr>
              <w:t>要求。考虑大气环境质量改善要求，在人口密集、污染排放强度高</w:t>
            </w:r>
            <w:r>
              <w:rPr>
                <w:spacing w:val="14"/>
              </w:rPr>
              <w:t xml:space="preserve"> </w:t>
            </w:r>
            <w:r>
              <w:rPr>
                <w:spacing w:val="11"/>
              </w:rPr>
              <w:t>的区域优先划定高污染燃料禁燃区，作为重点管控区，面积约为</w:t>
            </w:r>
          </w:p>
          <w:p>
            <w:pPr>
              <w:pStyle w:val="TableText"/>
              <w:spacing w:line="360" w:lineRule="exact"/>
              <w:ind w:left="105"/>
            </w:pP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460.63km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5"/>
                <w:szCs w:val="15"/>
              </w:rPr>
              <w:t xml:space="preserve"> </w:t>
            </w:r>
            <w:r>
              <w:rPr>
                <w:spacing w:val="-2"/>
                <w:position w:val="2"/>
              </w:rPr>
              <w:t>，其余作为一般管控区。</w:t>
            </w:r>
          </w:p>
          <w:p>
            <w:pPr>
              <w:pStyle w:val="TableText"/>
              <w:spacing w:before="143" w:line="359" w:lineRule="auto"/>
              <w:ind w:left="110" w:right="39" w:firstLine="484"/>
            </w:pPr>
            <w:r>
              <w:rPr>
                <w:spacing w:val="1"/>
              </w:rPr>
              <w:t>管控要求：“禁燃区</w:t>
            </w:r>
            <w:r>
              <w:rPr>
                <w:spacing w:val="-84"/>
              </w:rPr>
              <w:t xml:space="preserve"> </w:t>
            </w:r>
            <w:r>
              <w:rPr>
                <w:spacing w:val="1"/>
              </w:rPr>
              <w:t>”范围内，禁止销售、燃用高污染燃料；</w:t>
            </w:r>
            <w:r>
              <w:t xml:space="preserve"> </w:t>
            </w:r>
            <w:r>
              <w:rPr>
                <w:spacing w:val="2"/>
              </w:rPr>
              <w:t>禁止新（扩、改）建燃用高污染燃料的项目；现有高污染燃料燃用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设施，除用于城市集中供热外，有关单位和个人应当在规定的期限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内改用天然气、液化石油气、电或其他清洁能源。逐步取缔热电联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产供热管网覆盖范围内的供热锅炉、工业蒸汽锅炉及各种洗浴锅炉，</w:t>
            </w:r>
          </w:p>
          <w:p>
            <w:pPr>
              <w:pStyle w:val="TableText"/>
              <w:spacing w:line="219" w:lineRule="auto"/>
              <w:ind w:left="110"/>
            </w:pPr>
            <w:r>
              <w:rPr>
                <w:spacing w:val="-1"/>
              </w:rPr>
              <w:t>推进热电联产和集中供热。</w:t>
            </w:r>
          </w:p>
          <w:p>
            <w:pPr>
              <w:pStyle w:val="TableText"/>
              <w:spacing w:before="183" w:line="466" w:lineRule="exact"/>
              <w:ind w:left="594"/>
            </w:pPr>
            <w:r>
              <w:rPr>
                <w:spacing w:val="2"/>
                <w:position w:val="17"/>
              </w:rPr>
              <w:t>项目运营过程中不涉及煤炭消耗，用电由平原开发区供电管网</w:t>
            </w:r>
          </w:p>
          <w:p>
            <w:pPr>
              <w:pStyle w:val="TableText"/>
              <w:spacing w:line="219" w:lineRule="auto"/>
              <w:ind w:left="111"/>
            </w:pPr>
            <w:r>
              <w:rPr>
                <w:spacing w:val="-1"/>
              </w:rPr>
              <w:t>提供。满足能源利用上线要求。</w:t>
            </w:r>
          </w:p>
          <w:p>
            <w:pPr>
              <w:pStyle w:val="TableText"/>
              <w:spacing w:before="183" w:line="218" w:lineRule="auto"/>
              <w:ind w:left="589"/>
            </w:pPr>
            <w:r>
              <w:rPr>
                <w:spacing w:val="-1"/>
              </w:rPr>
              <w:t>②水资源利用上线</w:t>
            </w:r>
          </w:p>
          <w:p>
            <w:pPr>
              <w:pStyle w:val="TableText"/>
              <w:spacing w:before="185" w:line="359" w:lineRule="auto"/>
              <w:ind w:left="110" w:right="102" w:firstLine="485"/>
            </w:pPr>
            <w:r>
              <w:rPr>
                <w:spacing w:val="2"/>
              </w:rPr>
              <w:t>统筹全市地表水等各类水资源，优先保证生活用水，合理安排</w:t>
            </w:r>
            <w:r>
              <w:rPr>
                <w:spacing w:val="13"/>
              </w:rPr>
              <w:t xml:space="preserve"> </w:t>
            </w:r>
            <w:r>
              <w:rPr>
                <w:spacing w:val="2"/>
              </w:rPr>
              <w:t>农业用水和工业用水，实行最严格的水资源管理制度，把水资源作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为最大的刚性约束，加强水资源的开发利用管理，制定水资源综合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利用方案，明确控制目标。控制水耗较大的工业项目建设，新鲜水</w:t>
            </w:r>
          </w:p>
          <w:p>
            <w:pPr>
              <w:pStyle w:val="TableText"/>
              <w:spacing w:before="1" w:line="218" w:lineRule="auto"/>
              <w:ind w:left="115"/>
            </w:pPr>
            <w:r>
              <w:rPr>
                <w:spacing w:val="3"/>
              </w:rPr>
              <w:t>消耗较大的工业项目须进行水资源评价。积极</w:t>
            </w:r>
            <w:r>
              <w:rPr>
                <w:spacing w:val="2"/>
              </w:rPr>
              <w:t>开展再生水利用，提</w:t>
            </w:r>
          </w:p>
        </w:tc>
      </w:tr>
    </w:tbl>
    <w:p>
      <w:pPr>
        <w:pStyle w:val="BodyText"/>
      </w:pPr>
    </w:p>
    <w:p>
      <w:pPr>
        <w:sectPr>
          <w:footerReference w:type="default" r:id="rId10"/>
          <w:pgSz w:w="11906" w:h="16839"/>
          <w:pgMar w:top="1431" w:right="1564" w:bottom="1240" w:left="1563" w:header="0" w:footer="1078" w:gutter="0"/>
          <w:pgNumType w:start="7"/>
          <w:cols w:num="1" w:space="720"/>
        </w:sectPr>
      </w:pPr>
    </w:p>
    <w:p>
      <w:pPr>
        <w:spacing w:before="28"/>
      </w:pPr>
    </w:p>
    <w:tbl>
      <w:tblPr>
        <w:tblStyle w:val="TableNormal06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7258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4"/>
        </w:trPr>
        <w:tc>
          <w:tcPr>
            <w:tcW w:w="1505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25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117"/>
            </w:pPr>
            <w:r>
              <w:rPr>
                <w:spacing w:val="-2"/>
              </w:rPr>
              <w:t>高再生水利用率。</w:t>
            </w:r>
          </w:p>
          <w:p>
            <w:pPr>
              <w:pStyle w:val="TableText"/>
              <w:spacing w:before="182" w:line="359" w:lineRule="auto"/>
              <w:ind w:left="110" w:right="102" w:firstLine="480"/>
            </w:pPr>
            <w:r>
              <w:rPr>
                <w:spacing w:val="2"/>
              </w:rPr>
              <w:t>德州全市属于地下水超采区，根据《山东省地下水超采区综合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整治实施方案》的要求，除居民生活用水与应急供水外，严禁新增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地下水取水量；确需取用地下水的，要在现有地下水开采总量控制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指标内调剂解决，并逐步削减地下水开采量。取用地下水总量已达</w:t>
            </w:r>
          </w:p>
          <w:p>
            <w:pPr>
              <w:pStyle w:val="TableText"/>
              <w:spacing w:line="220" w:lineRule="auto"/>
              <w:ind w:left="117"/>
            </w:pPr>
            <w:r>
              <w:rPr>
                <w:spacing w:val="-1"/>
              </w:rPr>
              <w:t>到或超过控制指标的地区，暂停审批其建设项目新增取用地下水。</w:t>
            </w:r>
          </w:p>
          <w:p>
            <w:pPr>
              <w:pStyle w:val="TableText"/>
              <w:spacing w:before="181" w:line="466" w:lineRule="exact"/>
              <w:ind w:left="594"/>
            </w:pPr>
            <w:r>
              <w:rPr>
                <w:spacing w:val="2"/>
                <w:position w:val="17"/>
              </w:rPr>
              <w:t>该拟建项目不属于水耗较大的工业项目，不开采地下水资源，</w:t>
            </w:r>
          </w:p>
          <w:p>
            <w:pPr>
              <w:pStyle w:val="TableText"/>
              <w:spacing w:line="219" w:lineRule="auto"/>
              <w:ind w:left="112"/>
            </w:pPr>
            <w:r>
              <w:rPr>
                <w:spacing w:val="-1"/>
              </w:rPr>
              <w:t>用水由平原开发区供水管网提供。满足水资源利用上线管控要求。</w:t>
            </w:r>
          </w:p>
          <w:p>
            <w:pPr>
              <w:pStyle w:val="TableText"/>
              <w:spacing w:before="182" w:line="218" w:lineRule="auto"/>
              <w:ind w:left="709"/>
            </w:pPr>
            <w:r>
              <w:rPr>
                <w:spacing w:val="-1"/>
              </w:rPr>
              <w:t>③土地资源利用上线</w:t>
            </w:r>
          </w:p>
          <w:p>
            <w:pPr>
              <w:pStyle w:val="TableText"/>
              <w:spacing w:before="147" w:line="365" w:lineRule="auto"/>
              <w:ind w:left="110" w:right="39" w:firstLine="486"/>
            </w:pPr>
            <w:r>
              <w:rPr>
                <w:spacing w:val="-4"/>
              </w:rPr>
              <w:t>到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2025 </w:t>
            </w:r>
            <w:r>
              <w:rPr>
                <w:spacing w:val="-4"/>
              </w:rPr>
              <w:t>年，全市耕地保有量保持在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64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32.07km</w:t>
            </w:r>
            <w:r>
              <w:rPr>
                <w:rFonts w:ascii="Times New Roman" w:eastAsia="Times New Roman" w:hAnsi="Times New Roman" w:cs="Times New Roman"/>
                <w:spacing w:val="-5"/>
                <w:position w:val="8"/>
                <w:sz w:val="15"/>
                <w:szCs w:val="15"/>
              </w:rPr>
              <w:t xml:space="preserve">2  </w:t>
            </w:r>
            <w:r>
              <w:rPr>
                <w:spacing w:val="-5"/>
              </w:rPr>
              <w:t>以上。确保基本</w:t>
            </w:r>
            <w:r>
              <w:t xml:space="preserve"> 农田数量不低于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5283.02km</w:t>
            </w:r>
            <w:r>
              <w:rPr>
                <w:rFonts w:ascii="Times New Roman" w:eastAsia="Times New Roman" w:hAnsi="Times New Roman" w:cs="Times New Roman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7"/>
                <w:sz w:val="15"/>
                <w:szCs w:val="15"/>
              </w:rPr>
              <w:t xml:space="preserve"> </w:t>
            </w:r>
            <w:r>
              <w:t xml:space="preserve">，质量稳定中有提高、布局更合理。全 </w:t>
            </w:r>
            <w:r>
              <w:rPr>
                <w:spacing w:val="1"/>
              </w:rPr>
              <w:t>市建设用地总规模达到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2031.50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1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1"/>
              </w:rPr>
              <w:t>，</w:t>
            </w:r>
            <w:r>
              <w:t xml:space="preserve">其中城乡建设用地规模控制在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1685.28km</w:t>
            </w:r>
            <w:r>
              <w:rPr>
                <w:rFonts w:ascii="Times New Roman" w:eastAsia="Times New Roman" w:hAnsi="Times New Roman" w:cs="Times New Roman"/>
                <w:spacing w:val="-7"/>
                <w:position w:val="7"/>
                <w:sz w:val="15"/>
                <w:szCs w:val="15"/>
              </w:rPr>
              <w:t xml:space="preserve">2  </w:t>
            </w:r>
            <w:r>
              <w:rPr>
                <w:spacing w:val="-7"/>
              </w:rPr>
              <w:t>以内；交通、水利及其他建设用地规模将达到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346.21km</w:t>
            </w:r>
            <w:r>
              <w:rPr>
                <w:rFonts w:ascii="Times New Roman" w:eastAsia="Times New Roman" w:hAnsi="Times New Roman" w:cs="Times New Roman"/>
                <w:spacing w:val="-7"/>
                <w:position w:val="7"/>
                <w:sz w:val="15"/>
                <w:szCs w:val="15"/>
              </w:rPr>
              <w:t>2</w:t>
            </w:r>
            <w:r>
              <w:rPr>
                <w:spacing w:val="-7"/>
              </w:rPr>
              <w:t>，</w:t>
            </w:r>
            <w:r>
              <w:t xml:space="preserve"> </w:t>
            </w:r>
            <w:r>
              <w:rPr>
                <w:spacing w:val="18"/>
              </w:rPr>
              <w:t>基础设施发展用地需求得到保障</w:t>
            </w:r>
            <w:r>
              <w:rPr>
                <w:spacing w:val="-53"/>
              </w:rPr>
              <w:t xml:space="preserve"> </w:t>
            </w:r>
            <w:r>
              <w:rPr>
                <w:spacing w:val="18"/>
              </w:rPr>
              <w:t>。土地资源开发利用程度达到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19.61%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t>，土地资源开发利用效率提高到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50.86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</w:t>
            </w:r>
            <w:r>
              <w:rPr>
                <w:spacing w:val="-1"/>
              </w:rPr>
              <w:t>公顷。林地面积</w:t>
            </w:r>
            <w:r>
              <w:t xml:space="preserve"> </w:t>
            </w:r>
            <w:r>
              <w:rPr>
                <w:spacing w:val="14"/>
              </w:rPr>
              <w:t>不低于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4"/>
              </w:rPr>
              <w:t>575.36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14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8"/>
                <w:w w:val="102"/>
                <w:position w:val="7"/>
                <w:sz w:val="15"/>
                <w:szCs w:val="15"/>
              </w:rPr>
              <w:t xml:space="preserve"> </w:t>
            </w:r>
            <w:r>
              <w:rPr>
                <w:spacing w:val="14"/>
              </w:rPr>
              <w:t>，全市林木覆盖率达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45% </w:t>
            </w:r>
            <w:r>
              <w:rPr>
                <w:spacing w:val="14"/>
              </w:rPr>
              <w:t>，人均绿地面积达</w:t>
            </w:r>
          </w:p>
          <w:p>
            <w:pPr>
              <w:pStyle w:val="TableText"/>
              <w:spacing w:before="1" w:line="198" w:lineRule="auto"/>
              <w:ind w:left="129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12.00m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2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90" w:line="220" w:lineRule="auto"/>
              <w:ind w:left="590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通过对我市近十年土地利用变化规律进行分析后预测，到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2035</w:t>
            </w:r>
          </w:p>
          <w:p>
            <w:pPr>
              <w:pStyle w:val="TableText"/>
              <w:spacing w:before="144" w:line="339" w:lineRule="auto"/>
              <w:ind w:left="106" w:right="102" w:firstLine="5"/>
              <w:jc w:val="both"/>
            </w:pPr>
            <w:r>
              <w:rPr>
                <w:spacing w:val="6"/>
              </w:rPr>
              <w:t>年，全市耕地保有量控制在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6379.92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6"/>
                <w:position w:val="8"/>
                <w:sz w:val="15"/>
                <w:szCs w:val="15"/>
              </w:rPr>
              <w:t xml:space="preserve">2  </w:t>
            </w:r>
            <w:r>
              <w:rPr>
                <w:spacing w:val="6"/>
              </w:rPr>
              <w:t>以上，建设用地总规</w:t>
            </w:r>
            <w:r>
              <w:rPr>
                <w:spacing w:val="5"/>
              </w:rPr>
              <w:t>模达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2208.70km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7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，交通、水利及其他建设用地规模将达到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95.49km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  <w:position w:val="7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，土</w:t>
            </w:r>
            <w:r>
              <w:t xml:space="preserve"> </w:t>
            </w:r>
            <w:r>
              <w:rPr>
                <w:spacing w:val="-1"/>
              </w:rPr>
              <w:t>地资源开发利用程度控制在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21.32%</w:t>
            </w:r>
            <w:r>
              <w:rPr>
                <w:spacing w:val="-1"/>
              </w:rPr>
              <w:t>，土地资源开发利用效率提高到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95.47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3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</w:t>
            </w:r>
            <w:r>
              <w:rPr>
                <w:spacing w:val="-3"/>
              </w:rPr>
              <w:t>公顷。</w:t>
            </w:r>
          </w:p>
          <w:p>
            <w:pPr>
              <w:pStyle w:val="TableText"/>
              <w:spacing w:before="143" w:line="220" w:lineRule="auto"/>
              <w:ind w:left="594"/>
            </w:pPr>
            <w:r>
              <w:rPr>
                <w:spacing w:val="-1"/>
              </w:rPr>
              <w:t>项目占地为建设用地，符合规划要求。</w:t>
            </w:r>
          </w:p>
          <w:p>
            <w:pPr>
              <w:pStyle w:val="TableText"/>
              <w:spacing w:before="182" w:line="220" w:lineRule="auto"/>
              <w:ind w:left="602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4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）综合管控单元划分及生态环境准入清单</w:t>
            </w:r>
          </w:p>
          <w:p>
            <w:pPr>
              <w:pStyle w:val="TableText"/>
              <w:spacing w:before="179" w:line="218" w:lineRule="auto"/>
              <w:ind w:left="590"/>
            </w:pPr>
            <w:r>
              <w:rPr>
                <w:spacing w:val="-1"/>
              </w:rPr>
              <w:t>①综合管控单元划定</w:t>
            </w:r>
          </w:p>
          <w:p>
            <w:pPr>
              <w:pStyle w:val="TableText"/>
              <w:spacing w:before="182" w:line="360" w:lineRule="auto"/>
              <w:ind w:left="110" w:right="102" w:firstLine="480"/>
            </w:pPr>
            <w:r>
              <w:rPr>
                <w:spacing w:val="1"/>
              </w:rPr>
              <w:t>全市共划定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154 </w:t>
            </w:r>
            <w:r>
              <w:rPr>
                <w:spacing w:val="1"/>
              </w:rPr>
              <w:t>个管控单元，其中优先保护单元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6 </w:t>
            </w:r>
            <w:r>
              <w:rPr>
                <w:spacing w:val="1"/>
              </w:rPr>
              <w:t>个、重点管</w:t>
            </w:r>
            <w:r>
              <w:t xml:space="preserve"> </w:t>
            </w:r>
            <w:r>
              <w:rPr>
                <w:spacing w:val="1"/>
              </w:rPr>
              <w:t>控单元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59 </w:t>
            </w:r>
            <w:r>
              <w:rPr>
                <w:spacing w:val="1"/>
              </w:rPr>
              <w:t>个、一般管控单元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89 </w:t>
            </w:r>
            <w:r>
              <w:rPr>
                <w:spacing w:val="1"/>
              </w:rPr>
              <w:t>个。本项目位于平原经济开发区，</w:t>
            </w:r>
          </w:p>
          <w:p>
            <w:pPr>
              <w:pStyle w:val="TableText"/>
              <w:spacing w:line="220" w:lineRule="auto"/>
              <w:ind w:left="112"/>
            </w:pPr>
            <w:r>
              <w:rPr>
                <w:spacing w:val="-1"/>
              </w:rPr>
              <w:t>属于重点管控区（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ZH37142620006</w:t>
            </w:r>
            <w:r>
              <w:rPr>
                <w:spacing w:val="-1"/>
              </w:rPr>
              <w:t>）。</w:t>
            </w:r>
          </w:p>
        </w:tc>
      </w:tr>
    </w:tbl>
    <w:p>
      <w:pPr>
        <w:pStyle w:val="BodyText"/>
      </w:pPr>
    </w:p>
    <w:p>
      <w:pPr>
        <w:sectPr>
          <w:footerReference w:type="default" r:id="rId11"/>
          <w:pgSz w:w="11906" w:h="16839"/>
          <w:pgMar w:top="1431" w:right="1564" w:bottom="1237" w:left="1563" w:header="0" w:footer="1078" w:gutter="0"/>
          <w:pgNumType w:start="8"/>
          <w:cols w:num="1" w:space="720"/>
        </w:sectPr>
      </w:pPr>
    </w:p>
    <w:p>
      <w:pPr>
        <w:spacing w:before="28"/>
      </w:pPr>
    </w:p>
    <w:tbl>
      <w:tblPr>
        <w:tblStyle w:val="TableNormal07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7258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4"/>
        </w:trPr>
        <w:tc>
          <w:tcPr>
            <w:tcW w:w="1505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25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18" w:lineRule="auto"/>
              <w:ind w:left="589"/>
            </w:pPr>
            <w:r>
              <w:rPr>
                <w:spacing w:val="-1"/>
              </w:rPr>
              <w:t>②生态环境准入要求</w:t>
            </w:r>
          </w:p>
          <w:p>
            <w:pPr>
              <w:pStyle w:val="TableText"/>
              <w:spacing w:before="183" w:line="359" w:lineRule="auto"/>
              <w:ind w:left="115" w:right="39" w:firstLine="475"/>
            </w:pPr>
            <w:r>
              <w:rPr>
                <w:spacing w:val="-4"/>
              </w:rPr>
              <w:t>基于生态环境、水环境、大气环境、土壤环境等分区管控方案，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结合山东省规划目标以及德州市规划要求，对优先保护单元、重点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管控单元、一般管控单元分类制定准入要求，制定德州市生态环境</w:t>
            </w:r>
          </w:p>
          <w:p>
            <w:pPr>
              <w:pStyle w:val="TableText"/>
              <w:spacing w:line="219" w:lineRule="auto"/>
              <w:ind w:left="112"/>
            </w:pPr>
            <w:r>
              <w:rPr>
                <w:spacing w:val="-1"/>
              </w:rPr>
              <w:t>准入清单（总则）及德州市生态环境准入清单（单元）。</w:t>
            </w:r>
          </w:p>
          <w:p>
            <w:pPr>
              <w:pStyle w:val="TableText"/>
              <w:spacing w:before="182" w:line="220" w:lineRule="auto"/>
              <w:ind w:left="590"/>
            </w:pPr>
            <w:r>
              <w:rPr>
                <w:rFonts w:ascii="Times New Roman" w:eastAsia="Times New Roman" w:hAnsi="Times New Roman" w:cs="Times New Roman"/>
                <w:spacing w:val="-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4"/>
              </w:rPr>
              <w:t>、重点管控区管控要求</w:t>
            </w:r>
          </w:p>
          <w:p>
            <w:pPr>
              <w:pStyle w:val="TableText"/>
              <w:spacing w:before="183" w:line="219" w:lineRule="auto"/>
              <w:jc w:val="right"/>
            </w:pPr>
            <w:r>
              <w:rPr>
                <w:spacing w:val="-4"/>
              </w:rPr>
              <w:t>本项目位于平原经济开发区，属于重点管控区，管控要求如下：</w:t>
            </w:r>
          </w:p>
          <w:p>
            <w:pPr>
              <w:pStyle w:val="TableText"/>
              <w:spacing w:before="180" w:line="359" w:lineRule="auto"/>
              <w:ind w:left="110" w:right="102" w:firstLine="507"/>
            </w:pPr>
            <w:r>
              <w:rPr>
                <w:spacing w:val="2"/>
              </w:rPr>
              <w:t>以产业高质量发展和生态环境保护协调为主</w:t>
            </w:r>
            <w:r>
              <w:rPr>
                <w:spacing w:val="1"/>
              </w:rPr>
              <w:t>，重点推进空间布</w:t>
            </w:r>
            <w:r>
              <w:t xml:space="preserve"> </w:t>
            </w:r>
            <w:r>
              <w:rPr>
                <w:spacing w:val="2"/>
              </w:rPr>
              <w:t>局优化、产业布局转型升级，不断提高资源利用效率，加强污染物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排放控制和环境风险防控，解决突出的生态环境问题，提高资源利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用率。重点管控单元内的生态保护红线和一般生态空间严格按照相</w:t>
            </w:r>
          </w:p>
          <w:p>
            <w:pPr>
              <w:pStyle w:val="TableText"/>
              <w:spacing w:before="1" w:line="220" w:lineRule="auto"/>
              <w:ind w:left="114"/>
            </w:pPr>
            <w:r>
              <w:rPr>
                <w:spacing w:val="-2"/>
              </w:rPr>
              <w:t>关要求进行管理。</w:t>
            </w:r>
          </w:p>
          <w:p>
            <w:pPr>
              <w:pStyle w:val="TableText"/>
              <w:spacing w:before="144" w:line="359" w:lineRule="exact"/>
              <w:ind w:left="581"/>
            </w:pP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3"/>
                <w:position w:val="2"/>
              </w:rPr>
              <w:t xml:space="preserve"> </w:t>
            </w:r>
            <w:r>
              <w:rPr>
                <w:spacing w:val="-2"/>
                <w:position w:val="2"/>
              </w:rPr>
              <w:t>、德州市生态环境准入清单（总则）要求</w:t>
            </w:r>
          </w:p>
          <w:p>
            <w:pPr>
              <w:pStyle w:val="TableText"/>
              <w:spacing w:before="139" w:line="224" w:lineRule="auto"/>
              <w:ind w:left="175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1-3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德州市生态环境准入清单（总则）要求</w:t>
            </w:r>
          </w:p>
          <w:tbl>
            <w:tblPr>
              <w:tblStyle w:val="TableNormal07"/>
              <w:tblW w:w="7143" w:type="dxa"/>
              <w:tblInd w:w="51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18"/>
              <w:gridCol w:w="415"/>
              <w:gridCol w:w="5468"/>
              <w:gridCol w:w="742"/>
            </w:tblGrid>
            <w:tr>
              <w:tblPrEx>
                <w:tblW w:w="7143" w:type="dxa"/>
                <w:tblInd w:w="51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68"/>
              </w:trPr>
              <w:tc>
                <w:tcPr>
                  <w:tcW w:w="518" w:type="dxa"/>
                  <w:textDirection w:val="tbRlV"/>
                  <w:vAlign w:val="top"/>
                </w:tcPr>
                <w:p>
                  <w:pPr>
                    <w:pStyle w:val="TableText"/>
                    <w:spacing w:before="162" w:line="209" w:lineRule="auto"/>
                    <w:ind w:left="41"/>
                    <w:rPr>
                      <w:sz w:val="18"/>
                      <w:szCs w:val="18"/>
                    </w:rPr>
                  </w:pPr>
                  <w:r>
                    <w:rPr>
                      <w:spacing w:val="40"/>
                      <w:sz w:val="18"/>
                      <w:szCs w:val="18"/>
                    </w:rPr>
                    <w:t>管控维度</w:t>
                  </w:r>
                </w:p>
              </w:tc>
              <w:tc>
                <w:tcPr>
                  <w:tcW w:w="5883" w:type="dxa"/>
                  <w:gridSpan w:val="2"/>
                  <w:vAlign w:val="top"/>
                </w:tcPr>
                <w:p>
                  <w:pPr>
                    <w:spacing w:line="331" w:lineRule="auto"/>
                  </w:pPr>
                </w:p>
                <w:p>
                  <w:pPr>
                    <w:pStyle w:val="TableText"/>
                    <w:spacing w:before="58" w:line="220" w:lineRule="auto"/>
                    <w:ind w:left="2583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管控要求</w:t>
                  </w:r>
                </w:p>
              </w:tc>
              <w:tc>
                <w:tcPr>
                  <w:tcW w:w="742" w:type="dxa"/>
                  <w:vAlign w:val="top"/>
                </w:tcPr>
                <w:p>
                  <w:pPr>
                    <w:pStyle w:val="TableText"/>
                    <w:spacing w:before="158" w:line="239" w:lineRule="auto"/>
                    <w:ind w:left="194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符合</w:t>
                  </w:r>
                </w:p>
                <w:p>
                  <w:pPr>
                    <w:pStyle w:val="TableText"/>
                    <w:spacing w:line="221" w:lineRule="auto"/>
                    <w:ind w:left="28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性</w:t>
                  </w:r>
                </w:p>
                <w:p>
                  <w:pPr>
                    <w:pStyle w:val="TableText"/>
                    <w:spacing w:before="16" w:line="221" w:lineRule="auto"/>
                    <w:ind w:left="195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分析</w:t>
                  </w:r>
                </w:p>
              </w:tc>
            </w:tr>
            <w:tr>
              <w:tblPrEx>
                <w:tblW w:w="7143" w:type="dxa"/>
                <w:tblInd w:w="5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30"/>
              </w:trPr>
              <w:tc>
                <w:tcPr>
                  <w:tcW w:w="518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62" w:line="207" w:lineRule="auto"/>
                    <w:ind w:left="2250"/>
                    <w:rPr>
                      <w:sz w:val="18"/>
                      <w:szCs w:val="18"/>
                    </w:rPr>
                  </w:pPr>
                  <w:r>
                    <w:rPr>
                      <w:spacing w:val="44"/>
                      <w:sz w:val="18"/>
                      <w:szCs w:val="18"/>
                    </w:rPr>
                    <w:t>空间布局约束</w:t>
                  </w:r>
                </w:p>
              </w:tc>
              <w:tc>
                <w:tcPr>
                  <w:tcW w:w="415" w:type="dxa"/>
                  <w:textDirection w:val="tbRlV"/>
                  <w:vAlign w:val="top"/>
                </w:tcPr>
                <w:p>
                  <w:pPr>
                    <w:pStyle w:val="TableText"/>
                    <w:spacing w:before="114" w:line="208" w:lineRule="auto"/>
                    <w:ind w:left="956"/>
                    <w:rPr>
                      <w:sz w:val="18"/>
                      <w:szCs w:val="18"/>
                    </w:rPr>
                  </w:pPr>
                  <w:r>
                    <w:rPr>
                      <w:spacing w:val="16"/>
                      <w:w w:val="118"/>
                      <w:sz w:val="18"/>
                      <w:szCs w:val="18"/>
                    </w:rPr>
                    <w:t>禁止开发建设活动的要求</w:t>
                  </w:r>
                </w:p>
              </w:tc>
              <w:tc>
                <w:tcPr>
                  <w:tcW w:w="5468" w:type="dxa"/>
                  <w:vAlign w:val="top"/>
                </w:tcPr>
                <w:p>
                  <w:pPr>
                    <w:pStyle w:val="TableText"/>
                    <w:spacing w:before="26" w:line="229" w:lineRule="auto"/>
                    <w:ind w:left="105" w:right="93" w:firstLine="11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、禁止新建国家《产业结构调整指导目录》规定的限制类和淘汰类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工艺、技术、装备及产品的生产项目。</w:t>
                  </w:r>
                </w:p>
                <w:p>
                  <w:pPr>
                    <w:pStyle w:val="TableText"/>
                    <w:spacing w:before="17" w:line="239" w:lineRule="auto"/>
                    <w:ind w:left="99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、禁止新建光气生产项目（不含延长产业链项目）。</w:t>
                  </w:r>
                </w:p>
                <w:p>
                  <w:pPr>
                    <w:pStyle w:val="TableText"/>
                    <w:spacing w:line="220" w:lineRule="auto"/>
                    <w:ind w:left="1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、禁止新建有色金属冶炼项目（不含压延加工）。</w:t>
                  </w:r>
                </w:p>
                <w:p>
                  <w:pPr>
                    <w:pStyle w:val="TableText"/>
                    <w:spacing w:before="18" w:line="220" w:lineRule="auto"/>
                    <w:ind w:left="98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、禁止新建再生铅项目。</w:t>
                  </w:r>
                </w:p>
                <w:p>
                  <w:pPr>
                    <w:pStyle w:val="TableText"/>
                    <w:spacing w:before="20" w:line="220" w:lineRule="auto"/>
                    <w:ind w:left="104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、禁止新建石棉制品项目。</w:t>
                  </w:r>
                </w:p>
                <w:p>
                  <w:pPr>
                    <w:pStyle w:val="TableText"/>
                    <w:spacing w:before="19" w:line="229" w:lineRule="auto"/>
                    <w:ind w:left="102" w:right="78" w:firstLine="1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、禁止开采深层地下水的取水项目（饮用水按照相关要求执行）。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、禁止新建石灰窑、粘土砖瓦窑项目。</w:t>
                  </w:r>
                </w:p>
                <w:p>
                  <w:pPr>
                    <w:pStyle w:val="TableText"/>
                    <w:spacing w:before="19" w:line="235" w:lineRule="auto"/>
                    <w:ind w:left="103" w:right="93" w:firstLine="3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、禁止钢铁、平板玻璃、水泥（含熟料生产和粉磨站，资源综合利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用除外）、铸造、生活垃圾填埋（含新建、改建、扩建）等行业新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增产能项目（生活垃圾焚烧处置产生的飞灰填埋场除外，但应符合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相应规划）。</w:t>
                  </w:r>
                </w:p>
                <w:p>
                  <w:pPr>
                    <w:pStyle w:val="TableText"/>
                    <w:spacing w:before="19" w:line="229" w:lineRule="auto"/>
                    <w:ind w:left="104" w:right="93" w:hanging="1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9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、禁止新建、改建（新增设备和产能）及扩建不符合国家和省有关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危险化学品生产、储存的行业规划和布局的生产项目。</w:t>
                  </w:r>
                </w:p>
                <w:p>
                  <w:pPr>
                    <w:pStyle w:val="TableText"/>
                    <w:spacing w:before="17" w:line="235" w:lineRule="auto"/>
                    <w:ind w:left="102" w:right="92" w:firstLine="14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18"/>
                      <w:szCs w:val="18"/>
                    </w:rPr>
                    <w:t>10</w:t>
                  </w:r>
                  <w:r>
                    <w:rPr>
                      <w:spacing w:val="-7"/>
                      <w:sz w:val="18"/>
                      <w:szCs w:val="18"/>
                    </w:rPr>
                    <w:t>、禁止新（扩）建集中处置焚烧设施（年危险废物</w:t>
                  </w:r>
                  <w:r>
                    <w:rPr>
                      <w:spacing w:val="-8"/>
                      <w:sz w:val="18"/>
                      <w:szCs w:val="18"/>
                    </w:rPr>
                    <w:t xml:space="preserve">产生量大于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18"/>
                      <w:szCs w:val="18"/>
                    </w:rPr>
                    <w:t>5000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吨的企业自建配套焚烧设施除外）和填埋场项目；对于其他已建及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在建的危险废物利用处置能力接近饱和或过剩的危险废物类别，禁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止新（扩）建该类别危险废物利用处置设施项目。</w:t>
                  </w:r>
                </w:p>
                <w:p>
                  <w:pPr>
                    <w:pStyle w:val="TableText"/>
                    <w:spacing w:before="18" w:line="200" w:lineRule="auto"/>
                    <w:ind w:left="117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11</w:t>
                  </w:r>
                  <w:r>
                    <w:rPr>
                      <w:spacing w:val="-2"/>
                      <w:sz w:val="18"/>
                      <w:szCs w:val="18"/>
                    </w:rPr>
                    <w:t>、禁止新（扩）建废矿物油综合利用项目。</w:t>
                  </w:r>
                </w:p>
              </w:tc>
              <w:tc>
                <w:tcPr>
                  <w:tcW w:w="742" w:type="dxa"/>
                  <w:textDirection w:val="tbRlV"/>
                  <w:vAlign w:val="top"/>
                </w:tcPr>
                <w:p>
                  <w:pPr>
                    <w:pStyle w:val="TableText"/>
                    <w:spacing w:before="101" w:line="207" w:lineRule="auto"/>
                    <w:ind w:left="956"/>
                    <w:rPr>
                      <w:sz w:val="18"/>
                      <w:szCs w:val="18"/>
                    </w:rPr>
                  </w:pPr>
                  <w:r>
                    <w:rPr>
                      <w:spacing w:val="17"/>
                      <w:w w:val="117"/>
                      <w:sz w:val="18"/>
                      <w:szCs w:val="18"/>
                    </w:rPr>
                    <w:t>目属管要列的止项符要</w:t>
                  </w:r>
                </w:p>
                <w:p>
                  <w:pPr>
                    <w:pStyle w:val="TableText"/>
                    <w:spacing w:before="79" w:line="51" w:lineRule="exact"/>
                    <w:ind w:left="2935"/>
                    <w:rPr>
                      <w:sz w:val="18"/>
                      <w:szCs w:val="18"/>
                    </w:rPr>
                  </w:pPr>
                  <w:r>
                    <w:rPr>
                      <w:position w:val="1"/>
                      <w:sz w:val="18"/>
                      <w:szCs w:val="18"/>
                    </w:rPr>
                    <w:t>,</w:t>
                  </w:r>
                </w:p>
                <w:p>
                  <w:pPr>
                    <w:pStyle w:val="TableText"/>
                    <w:spacing w:line="208" w:lineRule="auto"/>
                    <w:ind w:left="956"/>
                    <w:rPr>
                      <w:sz w:val="18"/>
                      <w:szCs w:val="18"/>
                    </w:rPr>
                  </w:pPr>
                  <w:r>
                    <w:rPr>
                      <w:spacing w:val="18"/>
                      <w:w w:val="117"/>
                      <w:sz w:val="18"/>
                      <w:szCs w:val="18"/>
                    </w:rPr>
                    <w:t>项不于控求出禁类目合求</w:t>
                  </w:r>
                </w:p>
              </w:tc>
            </w:tr>
            <w:tr>
              <w:tblPrEx>
                <w:tblW w:w="7143" w:type="dxa"/>
                <w:tblInd w:w="5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11"/>
              </w:trPr>
              <w:tc>
                <w:tcPr>
                  <w:tcW w:w="518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415" w:type="dxa"/>
                  <w:textDirection w:val="tbRlV"/>
                  <w:vAlign w:val="top"/>
                </w:tcPr>
                <w:p>
                  <w:pPr>
                    <w:pStyle w:val="TableText"/>
                    <w:spacing w:before="114" w:line="208" w:lineRule="auto"/>
                    <w:ind w:left="34"/>
                    <w:rPr>
                      <w:sz w:val="18"/>
                      <w:szCs w:val="18"/>
                    </w:rPr>
                  </w:pPr>
                  <w:r>
                    <w:rPr>
                      <w:spacing w:val="44"/>
                      <w:sz w:val="18"/>
                      <w:szCs w:val="18"/>
                    </w:rPr>
                    <w:t>限制开发建设</w:t>
                  </w:r>
                </w:p>
              </w:tc>
              <w:tc>
                <w:tcPr>
                  <w:tcW w:w="5468" w:type="dxa"/>
                  <w:vAlign w:val="top"/>
                </w:tcPr>
                <w:p>
                  <w:pPr>
                    <w:pStyle w:val="TableText"/>
                    <w:spacing w:before="34" w:line="220" w:lineRule="auto"/>
                    <w:ind w:left="103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敏感区域限制开发建设活动的要求：</w:t>
                  </w:r>
                </w:p>
                <w:p>
                  <w:pPr>
                    <w:pStyle w:val="TableText"/>
                    <w:spacing w:before="15" w:line="233" w:lineRule="auto"/>
                    <w:ind w:left="102" w:right="93" w:firstLine="14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1</w:t>
                  </w:r>
                  <w:r>
                    <w:rPr>
                      <w:spacing w:val="-2"/>
                      <w:sz w:val="18"/>
                      <w:szCs w:val="18"/>
                    </w:rPr>
                    <w:t>、集中式供水的饮用水地表水源地、地下水源</w:t>
                  </w:r>
                  <w:r>
                    <w:rPr>
                      <w:spacing w:val="-3"/>
                      <w:sz w:val="18"/>
                      <w:szCs w:val="18"/>
                    </w:rPr>
                    <w:t>地及为地表水源地输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水的引黄、引江河道范围内进行开发建设，执行《德州市饮用水水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源保护区划分方案》《山东省灌区管理办法》中相关规定。其中，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饮用水地表水源一级保护区禁止新建、扩建与供水设施和保护水源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无关的建设项目；在饮用水水源二级保护区内，禁止新建、改建、</w:t>
                  </w:r>
                </w:p>
              </w:tc>
              <w:tc>
                <w:tcPr>
                  <w:tcW w:w="742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14" w:right="10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9"/>
                      <w:sz w:val="18"/>
                      <w:szCs w:val="18"/>
                    </w:rPr>
                    <w:t>本</w:t>
                  </w:r>
                  <w:r>
                    <w:rPr>
                      <w:spacing w:val="7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项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目</w:t>
                  </w:r>
                  <w:r>
                    <w:rPr>
                      <w:spacing w:val="7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不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位</w:t>
                  </w:r>
                  <w:r>
                    <w:rPr>
                      <w:spacing w:val="7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于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5"/>
                      <w:sz w:val="18"/>
                      <w:szCs w:val="18"/>
                    </w:rPr>
                    <w:t>列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15"/>
                      <w:sz w:val="18"/>
                      <w:szCs w:val="18"/>
                    </w:rPr>
                    <w:t>出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的</w:t>
                  </w:r>
                  <w:r>
                    <w:rPr>
                      <w:spacing w:val="7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敏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4"/>
                      <w:sz w:val="18"/>
                      <w:szCs w:val="18"/>
                    </w:rPr>
                    <w:t>感</w:t>
                  </w:r>
                  <w:r>
                    <w:rPr>
                      <w:spacing w:val="8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4"/>
                      <w:sz w:val="18"/>
                      <w:szCs w:val="18"/>
                    </w:rPr>
                    <w:t>区</w:t>
                  </w:r>
                </w:p>
              </w:tc>
            </w:tr>
          </w:tbl>
          <w:p>
            <w:pPr>
              <w:spacing w:line="198" w:lineRule="exact"/>
              <w:rPr>
                <w:sz w:val="17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2"/>
          <w:pgSz w:w="11906" w:h="16839"/>
          <w:pgMar w:top="1431" w:right="1564" w:bottom="1240" w:left="1563" w:header="0" w:footer="1078" w:gutter="0"/>
          <w:pgNumType w:start="9"/>
          <w:cols w:num="1" w:space="720"/>
        </w:sectPr>
      </w:pPr>
    </w:p>
    <w:p>
      <w:pPr>
        <w:spacing w:before="28"/>
      </w:pPr>
    </w:p>
    <w:tbl>
      <w:tblPr>
        <w:tblStyle w:val="TableNormal08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6"/>
        <w:gridCol w:w="509"/>
        <w:gridCol w:w="415"/>
        <w:gridCol w:w="5470"/>
        <w:gridCol w:w="733"/>
        <w:gridCol w:w="70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4"/>
        </w:trPr>
        <w:tc>
          <w:tcPr>
            <w:tcW w:w="1566" w:type="dxa"/>
            <w:vMerge w:val="restart"/>
            <w:tcBorders>
              <w:bottom w:val="nil"/>
            </w:tcBorders>
            <w:vAlign w:val="top"/>
          </w:tcPr>
          <w:p>
            <w:r>
              <w:pict>
                <v:rect id="_x0000_s1027" o:spid="_x0000_s1026" style="width:0.5pt;height:670.8pt;margin-top:0.95pt;margin-left:74.8pt;mso-height-relative:page;mso-position-horizontal-relative:page;mso-position-vertical-relative:page;mso-width-relative:page;position:absolute;z-index:251659264" coordsize="21600,21600" filled="t" fillcolor="black" stroked="f"/>
              </w:pict>
            </w:r>
          </w:p>
        </w:tc>
        <w:tc>
          <w:tcPr>
            <w:tcW w:w="509" w:type="dxa"/>
            <w:vAlign w:val="top"/>
          </w:tcPr>
          <w:p/>
        </w:tc>
        <w:tc>
          <w:tcPr>
            <w:tcW w:w="415" w:type="dxa"/>
            <w:textDirection w:val="tbRlV"/>
            <w:vAlign w:val="top"/>
          </w:tcPr>
          <w:p>
            <w:pPr>
              <w:pStyle w:val="TableText"/>
              <w:spacing w:before="112" w:line="208" w:lineRule="auto"/>
              <w:ind w:left="52"/>
              <w:rPr>
                <w:sz w:val="18"/>
                <w:szCs w:val="18"/>
              </w:rPr>
            </w:pPr>
            <w:r>
              <w:rPr>
                <w:spacing w:val="42"/>
                <w:sz w:val="18"/>
                <w:szCs w:val="18"/>
              </w:rPr>
              <w:t>活动的要求</w:t>
            </w:r>
          </w:p>
        </w:tc>
        <w:tc>
          <w:tcPr>
            <w:tcW w:w="5470" w:type="dxa"/>
            <w:vAlign w:val="top"/>
          </w:tcPr>
          <w:p>
            <w:pPr>
              <w:pStyle w:val="TableText"/>
              <w:spacing w:before="52" w:line="221" w:lineRule="auto"/>
              <w:ind w:left="10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扩建排放污染物的建设项目。</w:t>
            </w:r>
          </w:p>
          <w:p>
            <w:pPr>
              <w:pStyle w:val="TableText"/>
              <w:spacing w:before="16" w:line="233" w:lineRule="auto"/>
              <w:ind w:left="107" w:right="17" w:hanging="6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、南水北调工程管理范围和保护范围内进行</w:t>
            </w:r>
            <w:r>
              <w:rPr>
                <w:spacing w:val="-3"/>
                <w:sz w:val="18"/>
                <w:szCs w:val="18"/>
              </w:rPr>
              <w:t>开发建设，执行《山东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2"/>
                <w:sz w:val="18"/>
                <w:szCs w:val="18"/>
              </w:rPr>
              <w:t>省南水北调条例》《山东省南水北调工程沿</w:t>
            </w:r>
            <w:r>
              <w:rPr>
                <w:spacing w:val="-3"/>
                <w:sz w:val="18"/>
                <w:szCs w:val="18"/>
              </w:rPr>
              <w:t>线区域水污染防治条例》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中相关规定。</w:t>
            </w:r>
          </w:p>
          <w:p>
            <w:pPr>
              <w:pStyle w:val="TableText"/>
              <w:spacing w:before="22" w:line="237" w:lineRule="auto"/>
              <w:ind w:left="105" w:right="36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3</w:t>
            </w:r>
            <w:r>
              <w:rPr>
                <w:spacing w:val="-6"/>
                <w:sz w:val="18"/>
                <w:szCs w:val="18"/>
              </w:rPr>
              <w:t>、漳卫新河、马颊河、德惠新河、徒骇河干流禁止新设入河排污口，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严格控制改设、扩建入河排污口，潘庄引黄干渠、李家岸引黄干渠、</w:t>
            </w:r>
            <w:r>
              <w:rPr>
                <w:spacing w:val="2"/>
                <w:sz w:val="18"/>
                <w:szCs w:val="18"/>
              </w:rPr>
              <w:t xml:space="preserve"> 引徒总干、七一河、六五河等引黄、引江河道以及其他</w:t>
            </w:r>
            <w:r>
              <w:rPr>
                <w:spacing w:val="1"/>
                <w:sz w:val="18"/>
                <w:szCs w:val="18"/>
              </w:rPr>
              <w:t>具有引黄、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引江功能的河道均禁止设置排污口，其他河流限制新设入河排污口，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必须设置的须经行政主管部门批准。加强对主要河</w:t>
            </w:r>
            <w:r>
              <w:rPr>
                <w:sz w:val="18"/>
                <w:szCs w:val="18"/>
              </w:rPr>
              <w:t xml:space="preserve">流及岸线的管理 </w:t>
            </w:r>
            <w:r>
              <w:rPr>
                <w:spacing w:val="1"/>
                <w:sz w:val="18"/>
                <w:szCs w:val="18"/>
              </w:rPr>
              <w:t>和保护，河道两侧管理和保护区范围内进行开发建</w:t>
            </w:r>
            <w:r>
              <w:rPr>
                <w:sz w:val="18"/>
                <w:szCs w:val="18"/>
              </w:rPr>
              <w:t xml:space="preserve">设，执行《德州 </w:t>
            </w:r>
            <w:r>
              <w:rPr>
                <w:spacing w:val="1"/>
                <w:sz w:val="18"/>
                <w:szCs w:val="18"/>
              </w:rPr>
              <w:t>市河道管理办法》中相关规定。其中，在河道管理</w:t>
            </w:r>
            <w:r>
              <w:rPr>
                <w:sz w:val="18"/>
                <w:szCs w:val="18"/>
              </w:rPr>
              <w:t xml:space="preserve">范围内进行建设 </w:t>
            </w:r>
            <w:r>
              <w:rPr>
                <w:spacing w:val="1"/>
                <w:sz w:val="18"/>
                <w:szCs w:val="18"/>
              </w:rPr>
              <w:t>活动须经主管部门批准同意，在保护范围内进行建</w:t>
            </w:r>
            <w:r>
              <w:rPr>
                <w:sz w:val="18"/>
                <w:szCs w:val="18"/>
              </w:rPr>
              <w:t xml:space="preserve">设活动须征求主 </w:t>
            </w:r>
            <w:r>
              <w:rPr>
                <w:spacing w:val="-2"/>
                <w:sz w:val="18"/>
                <w:szCs w:val="18"/>
              </w:rPr>
              <w:t>管部门意见。</w:t>
            </w:r>
          </w:p>
          <w:p>
            <w:pPr>
              <w:pStyle w:val="TableText"/>
              <w:spacing w:before="18" w:line="230" w:lineRule="auto"/>
              <w:ind w:left="105" w:right="93" w:hanging="5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4</w:t>
            </w:r>
            <w:r>
              <w:rPr>
                <w:spacing w:val="-2"/>
                <w:sz w:val="18"/>
                <w:szCs w:val="18"/>
              </w:rPr>
              <w:t>、加强对黄河的保护，沿黄区域开发建设须满足相应管理和保护要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求。</w:t>
            </w:r>
          </w:p>
          <w:p>
            <w:pPr>
              <w:pStyle w:val="TableText"/>
              <w:spacing w:before="23" w:line="237" w:lineRule="auto"/>
              <w:ind w:left="104" w:right="93" w:firstLine="2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、加强对大运河的保护（包括卫运河、南运河）。在大运河核心监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控区进行建设，必须符合《山东省大运河文化保护传承利用实施规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划》。大运河遗产保护范围和建设控制地带内进行开发建设，执行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《大运河山东省德州段遗产保护规划》、《关于进一步加强大运河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（德州段）遗产保护管理和开发利用的通知》中相关规定，实行建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设项目遗产环境影响评价制度和项目申报审批制度。未经文物部门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批准实施的项目，一律不予审批。除依法批准的防洪、航道疏浚、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水工设施维护、输水河道等关系国计民生的重点工程外，任何单位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或者个人不得在大运河遗产保护规划范围内进行破坏大运河遗产本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体的工程建设。</w:t>
            </w:r>
          </w:p>
          <w:p>
            <w:pPr>
              <w:pStyle w:val="TableText"/>
              <w:spacing w:before="18" w:line="237" w:lineRule="auto"/>
              <w:ind w:left="105" w:right="9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、国家级森林公园规划范围内进行开发建设，执行《国家级森林公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园管理办法》中相关规定，严格按照总体规划要求进行，同时须经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森林公园主管部门批准同意。省级及以下森林公园执行《森林公园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管理办法》《山东省森林资源管理条例》等相关规定，已编制总体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规划的应按照总体规划要求进行建设，其他有具体管理要求的可在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要求范围内进行，并经主管部门或管理部门批准同意。未列入生态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红线但具有保护意义的大型集中林地、森林公园等区域应加强管理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和保护，禁止工业项目建设。</w:t>
            </w:r>
          </w:p>
          <w:p>
            <w:pPr>
              <w:pStyle w:val="TableText"/>
              <w:spacing w:before="18" w:line="236" w:lineRule="auto"/>
              <w:ind w:left="104" w:right="9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、湿地自然保护区、湿地公园、湿地保护小区等湿地保护范围内或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规划范围内进行开发建设，执行《德州市湿地保护条例》，须符合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总体规划要求或管理要求，其中湿地自然保护区的建设活动应符合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法律、法规等相关管理要求，实行分区管理的湿地公园其建设活动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应符合分区管理要求，各种建设活动须经主管部门批准同意。</w:t>
            </w:r>
          </w:p>
          <w:p>
            <w:pPr>
              <w:pStyle w:val="TableText"/>
              <w:spacing w:before="16" w:line="236" w:lineRule="auto"/>
              <w:ind w:left="104" w:right="93" w:firstLine="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4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、风景名胜区内进行开发建设，执行《山东省风景名胜区条例》中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相关规定，禁止进行条例明确禁止的行为，进行条例禁止范围外的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建设活动，应当经风景名胜区管理机构审核同意，重大建设工程，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在报经风景名胜区管理机构审核前，应报相应级别住房城乡建设主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管部门核准。</w:t>
            </w:r>
          </w:p>
          <w:p>
            <w:pPr>
              <w:pStyle w:val="TableText"/>
              <w:spacing w:before="17" w:line="235" w:lineRule="auto"/>
              <w:ind w:left="105" w:right="36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、国家级、省级、市级、县级等各级文物保护单位，在保护范围内 和建设控制地带禁止进行开发建设，执行《山东省文物保护条例》、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《德州市文物保护条例》中相关规定，开发建设工</w:t>
            </w:r>
            <w:r>
              <w:rPr>
                <w:sz w:val="18"/>
                <w:szCs w:val="18"/>
              </w:rPr>
              <w:t xml:space="preserve">程应根据文物保 </w:t>
            </w:r>
            <w:r>
              <w:rPr>
                <w:spacing w:val="-1"/>
                <w:sz w:val="18"/>
                <w:szCs w:val="18"/>
              </w:rPr>
              <w:t>护单位的级别报相应的文物行政部门批准。</w:t>
            </w:r>
          </w:p>
          <w:p>
            <w:pPr>
              <w:pStyle w:val="TableText"/>
              <w:spacing w:before="16" w:line="237" w:lineRule="auto"/>
              <w:ind w:left="104" w:right="93" w:firstLine="1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、严格遵守《基本农田保护条例》，已划定的永久基本农田实行 </w:t>
            </w:r>
            <w:r>
              <w:rPr>
                <w:spacing w:val="1"/>
                <w:sz w:val="18"/>
                <w:szCs w:val="18"/>
              </w:rPr>
              <w:t>严格保护，确保其面积不减少、土壤环境质量不下降。严格控制在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优先保护类耕地集中区域新建有色金属冶炼、石油加工、化工、煤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炭、聚氯乙烯、医药、焦化、电镀、制革、铅蓄电池制造、危险废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物处置、加油站等排放重金属、持久性有机物和挥发性有机物的项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目。</w:t>
            </w:r>
          </w:p>
          <w:p>
            <w:pPr>
              <w:pStyle w:val="TableText"/>
              <w:spacing w:before="19" w:line="229" w:lineRule="auto"/>
              <w:ind w:left="105" w:right="93" w:firstLine="1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、水土流失重点预防区和重点治理区内进行开发建设，执行《中 </w:t>
            </w:r>
            <w:r>
              <w:rPr>
                <w:spacing w:val="-1"/>
                <w:sz w:val="18"/>
                <w:szCs w:val="18"/>
              </w:rPr>
              <w:t>华人民共和国水土保持法》中相关规定。</w:t>
            </w:r>
          </w:p>
          <w:p>
            <w:pPr>
              <w:pStyle w:val="TableText"/>
              <w:spacing w:before="18" w:line="217" w:lineRule="auto"/>
              <w:ind w:left="106" w:right="96" w:firstLine="12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2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、沙化土地范围内进行开发建设，执行《中华人民共和国防沙治 </w:t>
            </w:r>
            <w:r>
              <w:rPr>
                <w:spacing w:val="-1"/>
                <w:sz w:val="18"/>
                <w:szCs w:val="18"/>
              </w:rPr>
              <w:t>沙法》《全国防沙治沙规划》中相关规定。</w:t>
            </w:r>
          </w:p>
        </w:tc>
        <w:tc>
          <w:tcPr>
            <w:tcW w:w="733" w:type="dxa"/>
            <w:vAlign w:val="top"/>
          </w:tcPr>
          <w:p>
            <w:pPr>
              <w:pStyle w:val="TableText"/>
              <w:spacing w:before="52" w:line="233" w:lineRule="auto"/>
              <w:ind w:left="114" w:right="92"/>
              <w:jc w:val="both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域，符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合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要</w:t>
            </w:r>
            <w:r>
              <w:rPr>
                <w:sz w:val="18"/>
                <w:szCs w:val="18"/>
              </w:rPr>
              <w:t xml:space="preserve"> 求</w:t>
            </w:r>
          </w:p>
        </w:tc>
        <w:tc>
          <w:tcPr>
            <w:tcW w:w="70" w:type="dxa"/>
            <w:vAlign w:val="top"/>
          </w:tcPr>
          <w:p/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/>
        </w:trPr>
        <w:tc>
          <w:tcPr>
            <w:tcW w:w="1566" w:type="dxa"/>
            <w:vMerge/>
            <w:tcBorders>
              <w:top w:val="nil"/>
            </w:tcBorders>
            <w:vAlign w:val="top"/>
          </w:tcPr>
          <w:p/>
        </w:tc>
        <w:tc>
          <w:tcPr>
            <w:tcW w:w="509" w:type="dxa"/>
            <w:tcBorders>
              <w:left w:val="nil"/>
              <w:right w:val="nil"/>
            </w:tcBorders>
            <w:vAlign w:val="top"/>
          </w:tcPr>
          <w:p>
            <w:pPr>
              <w:spacing w:line="75" w:lineRule="exact"/>
              <w:rPr>
                <w:sz w:val="6"/>
              </w:rPr>
            </w:pPr>
          </w:p>
        </w:tc>
        <w:tc>
          <w:tcPr>
            <w:tcW w:w="415" w:type="dxa"/>
            <w:tcBorders>
              <w:left w:val="nil"/>
              <w:right w:val="nil"/>
            </w:tcBorders>
            <w:vAlign w:val="top"/>
          </w:tcPr>
          <w:p>
            <w:pPr>
              <w:spacing w:line="75" w:lineRule="exact"/>
              <w:rPr>
                <w:sz w:val="6"/>
              </w:rPr>
            </w:pPr>
          </w:p>
        </w:tc>
        <w:tc>
          <w:tcPr>
            <w:tcW w:w="5470" w:type="dxa"/>
            <w:tcBorders>
              <w:left w:val="nil"/>
              <w:right w:val="nil"/>
            </w:tcBorders>
            <w:vAlign w:val="top"/>
          </w:tcPr>
          <w:p>
            <w:pPr>
              <w:spacing w:line="75" w:lineRule="exact"/>
              <w:rPr>
                <w:sz w:val="6"/>
              </w:rPr>
            </w:pPr>
          </w:p>
        </w:tc>
        <w:tc>
          <w:tcPr>
            <w:tcW w:w="803" w:type="dxa"/>
            <w:gridSpan w:val="2"/>
            <w:tcBorders>
              <w:left w:val="nil"/>
            </w:tcBorders>
            <w:vAlign w:val="top"/>
          </w:tcPr>
          <w:p>
            <w:pPr>
              <w:spacing w:line="75" w:lineRule="exact"/>
              <w:rPr>
                <w:sz w:val="6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3"/>
          <w:pgSz w:w="11906" w:h="16839"/>
          <w:pgMar w:top="1431" w:right="1564" w:bottom="1240" w:left="1563" w:header="0" w:footer="1078" w:gutter="0"/>
          <w:pgNumType w:start="10"/>
          <w:cols w:num="1" w:space="720"/>
        </w:sectPr>
      </w:pPr>
    </w:p>
    <w:p>
      <w:pPr>
        <w:spacing w:before="28"/>
      </w:pPr>
      <w:r>
        <w:pict>
          <v:rect id="_x0000_s1028" o:spid="_x0000_s1027" style="width:1pt;height:667.25pt;margin-top:87pt;margin-left:513.05pt;mso-height-relative:page;mso-position-horizontal-relative:page;mso-position-vertical-relative:page;mso-width-relative:page;position:absolute;z-index:251660288" coordsize="21600,21600" o:allowincell="f" filled="t" fillcolor="black" stroked="f"/>
        </w:pict>
      </w:r>
    </w:p>
    <w:tbl>
      <w:tblPr>
        <w:tblStyle w:val="TableNormal09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6"/>
        <w:gridCol w:w="509"/>
        <w:gridCol w:w="415"/>
        <w:gridCol w:w="5470"/>
        <w:gridCol w:w="803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0"/>
        </w:trPr>
        <w:tc>
          <w:tcPr>
            <w:tcW w:w="1566" w:type="dxa"/>
            <w:vMerge w:val="restart"/>
            <w:tcBorders>
              <w:bottom w:val="nil"/>
            </w:tcBorders>
            <w:vAlign w:val="top"/>
          </w:tcPr>
          <w:p>
            <w:r>
              <w:pict>
                <v:rect id="_x0000_s1029" o:spid="_x0000_s1028" style="width:0.5pt;height:670.8pt;margin-top:0.95pt;margin-left:74.8pt;mso-height-relative:page;mso-position-horizontal-relative:page;mso-position-vertical-relative:page;mso-width-relative:page;position:absolute;z-index:251661312" coordsize="21600,21600" filled="t" fillcolor="black" stroked="f"/>
              </w:pict>
            </w:r>
          </w:p>
        </w:tc>
        <w:tc>
          <w:tcPr>
            <w:tcW w:w="50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415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5470" w:type="dxa"/>
            <w:vAlign w:val="top"/>
          </w:tcPr>
          <w:p>
            <w:pPr>
              <w:pStyle w:val="TableText"/>
              <w:spacing w:before="53" w:line="234" w:lineRule="auto"/>
              <w:ind w:left="105" w:right="93" w:firstLine="14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eastAsia="Times New Roman" w:hAnsi="Times New Roman" w:cs="Times New Roman"/>
                <w:spacing w:val="-2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、各县、市、区划定的限养区内禁止扩大养殖规模，禁养区范围 </w:t>
            </w:r>
            <w:r>
              <w:rPr>
                <w:spacing w:val="1"/>
                <w:sz w:val="18"/>
                <w:szCs w:val="18"/>
              </w:rPr>
              <w:t>内禁止新、改、扩建各类畜禽养殖项目；德州市划定的水产禁养区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内禁止进行人工水产养殖，限养区禁止一切设施性、投饵性、施肥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性渔业养殖生产。</w:t>
            </w:r>
          </w:p>
          <w:p>
            <w:pPr>
              <w:pStyle w:val="TableText"/>
              <w:spacing w:before="20" w:line="229" w:lineRule="auto"/>
              <w:ind w:left="105" w:right="96" w:firstLine="1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2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、落实并执行《德州市城市总体规划》及各县、市、区城市总体 </w:t>
            </w:r>
            <w:r>
              <w:rPr>
                <w:spacing w:val="-1"/>
                <w:sz w:val="18"/>
                <w:szCs w:val="18"/>
              </w:rPr>
              <w:t>规划中区域管控要求，特别是生态和产业布局要求。</w:t>
            </w:r>
          </w:p>
          <w:p>
            <w:pPr>
              <w:pStyle w:val="TableText"/>
              <w:spacing w:before="18" w:line="225" w:lineRule="auto"/>
              <w:ind w:left="105" w:right="96" w:firstLine="1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2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、在限制要求中，确需实施的公共交通、医疗卫生、民生保障及 </w:t>
            </w:r>
            <w:r>
              <w:rPr>
                <w:spacing w:val="-1"/>
                <w:sz w:val="18"/>
                <w:szCs w:val="18"/>
              </w:rPr>
              <w:t>基础设施等建设活动须经主管部门批复同意。</w:t>
            </w:r>
          </w:p>
        </w:tc>
        <w:tc>
          <w:tcPr>
            <w:tcW w:w="803" w:type="dxa"/>
            <w:vAlign w:val="top"/>
          </w:tcPr>
          <w:p/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8"/>
        </w:trPr>
        <w:tc>
          <w:tcPr>
            <w:tcW w:w="1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09" w:type="dxa"/>
            <w:vMerge/>
            <w:tcBorders>
              <w:top w:val="nil"/>
            </w:tcBorders>
            <w:vAlign w:val="top"/>
          </w:tcPr>
          <w:p/>
        </w:tc>
        <w:tc>
          <w:tcPr>
            <w:tcW w:w="415" w:type="dxa"/>
            <w:vMerge/>
            <w:tcBorders>
              <w:top w:val="nil"/>
            </w:tcBorders>
            <w:vAlign w:val="top"/>
          </w:tcPr>
          <w:p/>
        </w:tc>
        <w:tc>
          <w:tcPr>
            <w:tcW w:w="5470" w:type="dxa"/>
            <w:vAlign w:val="top"/>
          </w:tcPr>
          <w:p>
            <w:pPr>
              <w:pStyle w:val="TableText"/>
              <w:spacing w:before="23" w:line="221" w:lineRule="auto"/>
              <w:ind w:left="107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工业项目限制开发建设的要求：</w:t>
            </w:r>
          </w:p>
          <w:p>
            <w:pPr>
              <w:pStyle w:val="TableText"/>
              <w:spacing w:before="16" w:line="235" w:lineRule="auto"/>
              <w:ind w:left="105" w:right="93" w:firstLine="13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、新建排放二氧化硫、氮氧化物、工业烟粉尘、挥发性有机物的项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 xml:space="preserve">目，新增污染物原则上实行区域污染物排放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2  </w:t>
            </w:r>
            <w:r>
              <w:rPr>
                <w:spacing w:val="-2"/>
                <w:sz w:val="18"/>
                <w:szCs w:val="18"/>
              </w:rPr>
              <w:t>倍量替代（按鲁环发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[2019]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132  </w:t>
            </w:r>
            <w:r>
              <w:rPr>
                <w:spacing w:val="-2"/>
                <w:sz w:val="18"/>
                <w:szCs w:val="18"/>
              </w:rPr>
              <w:t>号要求执行</w:t>
            </w:r>
            <w:r>
              <w:rPr>
                <w:spacing w:val="-15"/>
                <w:sz w:val="18"/>
                <w:szCs w:val="18"/>
              </w:rPr>
              <w:t>），</w:t>
            </w:r>
            <w:r>
              <w:rPr>
                <w:spacing w:val="-2"/>
                <w:sz w:val="18"/>
                <w:szCs w:val="18"/>
              </w:rPr>
              <w:t>确保增产减污。省</w:t>
            </w:r>
            <w:r>
              <w:rPr>
                <w:spacing w:val="-3"/>
                <w:sz w:val="18"/>
                <w:szCs w:val="18"/>
              </w:rPr>
              <w:t>委、省政府确定的新旧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动能转换重大项目和省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‘</w:t>
            </w:r>
            <w:r>
              <w:rPr>
                <w:spacing w:val="-1"/>
                <w:sz w:val="18"/>
                <w:szCs w:val="18"/>
              </w:rPr>
              <w:t>双</w:t>
            </w:r>
          </w:p>
          <w:p>
            <w:pPr>
              <w:pStyle w:val="TableText"/>
              <w:spacing w:before="19" w:line="229" w:lineRule="auto"/>
              <w:ind w:left="105" w:right="9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招双引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’</w:t>
            </w:r>
            <w:r>
              <w:rPr>
                <w:spacing w:val="-3"/>
                <w:sz w:val="18"/>
                <w:szCs w:val="18"/>
              </w:rPr>
              <w:t>十强产业中的重点项目，按照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‘</w:t>
            </w:r>
            <w:r>
              <w:rPr>
                <w:spacing w:val="-3"/>
                <w:sz w:val="18"/>
                <w:szCs w:val="18"/>
              </w:rPr>
              <w:t>减量替代是原则，等量替代是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例外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’</w:t>
            </w:r>
            <w:r>
              <w:rPr>
                <w:spacing w:val="-1"/>
                <w:sz w:val="18"/>
                <w:szCs w:val="18"/>
              </w:rPr>
              <w:t>的要求进行管理。</w:t>
            </w:r>
          </w:p>
          <w:p>
            <w:pPr>
              <w:pStyle w:val="TableText"/>
              <w:spacing w:before="18" w:line="236" w:lineRule="auto"/>
              <w:ind w:left="104" w:right="36" w:hanging="3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 xml:space="preserve">、涉及通航、渔业水域的，其环境影响评价文件在审批时，应当征 </w:t>
            </w:r>
            <w:r>
              <w:rPr>
                <w:spacing w:val="1"/>
                <w:sz w:val="18"/>
                <w:szCs w:val="18"/>
              </w:rPr>
              <w:t>求相应主管部门的意见；限制高耗水、高污染排放</w:t>
            </w:r>
            <w:r>
              <w:rPr>
                <w:sz w:val="18"/>
                <w:szCs w:val="18"/>
              </w:rPr>
              <w:t xml:space="preserve">、产生有毒有害 </w:t>
            </w:r>
            <w:r>
              <w:rPr>
                <w:spacing w:val="-3"/>
                <w:sz w:val="18"/>
                <w:szCs w:val="18"/>
              </w:rPr>
              <w:t>物质的建设项目，对制浆造纸、焦化、氮肥、印染、农副食品加工、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原料药制造、制革、农药、电镀等重点行业，实行</w:t>
            </w:r>
            <w:r>
              <w:rPr>
                <w:sz w:val="18"/>
                <w:szCs w:val="18"/>
              </w:rPr>
              <w:t xml:space="preserve">新（改、扩）建 </w:t>
            </w:r>
            <w:r>
              <w:rPr>
                <w:spacing w:val="-1"/>
                <w:sz w:val="18"/>
                <w:szCs w:val="18"/>
              </w:rPr>
              <w:t>项目主要污染物排放等量或减量置换。</w:t>
            </w:r>
          </w:p>
          <w:p>
            <w:pPr>
              <w:pStyle w:val="TableText"/>
              <w:spacing w:before="17" w:line="235" w:lineRule="auto"/>
              <w:ind w:left="104" w:right="91" w:firstLine="1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、严格控制新建危险化学品项目，严格限制新建剧毒化学品项目，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严把危险化学品建设项目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‘</w:t>
            </w:r>
            <w:r>
              <w:rPr>
                <w:spacing w:val="-3"/>
                <w:sz w:val="18"/>
                <w:szCs w:val="18"/>
              </w:rPr>
              <w:t>三同时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’</w:t>
            </w:r>
            <w:r>
              <w:rPr>
                <w:spacing w:val="-3"/>
                <w:sz w:val="18"/>
                <w:szCs w:val="18"/>
              </w:rPr>
              <w:t>审查许可关，对不符合安全生产条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件和产业发展规划的新建项目一律不予批准。未建立健全安全生产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风险分级管控和隐患排查治</w:t>
            </w:r>
          </w:p>
          <w:p>
            <w:pPr>
              <w:pStyle w:val="TableText"/>
              <w:spacing w:before="22" w:line="237" w:lineRule="auto"/>
              <w:ind w:left="105" w:right="93" w:firstLine="1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理，双重预防体系，安全生产得不到有效保障的危险品生产项目，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不得新建、改建、扩建。控制化工项目建设，新建化工项目执行山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东省人民政府、山东省化工产业安全生产转型升级专项行动领导小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组要求及《山东省化工行业投资项目管理规定》《德州市化工园区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管理办法》《山东省专业化工园区认定管理办法》中相关规定。在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省政府认定的化工园区、专业化工园区和重点监控点等实施的化工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>项目须满足园区审查的规划环评要求。禁止新建固定投资额低于</w:t>
            </w:r>
            <w:r>
              <w:rPr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亿元（不含土地费用）的生产危 险化学品的化工项目（危险化学品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详见《危险化学品目录》</w:t>
            </w:r>
            <w:r>
              <w:rPr>
                <w:sz w:val="18"/>
                <w:szCs w:val="18"/>
              </w:rPr>
              <w:t>），</w:t>
            </w:r>
            <w:r>
              <w:rPr>
                <w:spacing w:val="1"/>
                <w:sz w:val="18"/>
                <w:szCs w:val="18"/>
              </w:rPr>
              <w:t>列入国家《产业结构调整指导目录》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和《外商投资产业指导目录》鼓励类以及搬迁入园项目除外。</w:t>
            </w:r>
          </w:p>
          <w:p>
            <w:pPr>
              <w:pStyle w:val="TableText"/>
              <w:spacing w:before="21" w:line="232" w:lineRule="auto"/>
              <w:ind w:left="103" w:right="65" w:hanging="3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4</w:t>
            </w:r>
            <w:r>
              <w:rPr>
                <w:spacing w:val="-3"/>
                <w:sz w:val="18"/>
                <w:szCs w:val="18"/>
              </w:rPr>
              <w:t>、淘汰落后动能，落实能耗双控，严控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‘</w:t>
            </w:r>
            <w:r>
              <w:rPr>
                <w:spacing w:val="-3"/>
                <w:sz w:val="18"/>
                <w:szCs w:val="18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’</w:t>
            </w:r>
            <w:r>
              <w:rPr>
                <w:spacing w:val="-3"/>
                <w:sz w:val="18"/>
                <w:szCs w:val="18"/>
              </w:rPr>
              <w:t>项目建设，新建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‘</w:t>
            </w:r>
            <w:r>
              <w:rPr>
                <w:spacing w:val="-3"/>
                <w:sz w:val="18"/>
                <w:szCs w:val="18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’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项目须满足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‘</w:t>
            </w:r>
            <w:r>
              <w:rPr>
                <w:spacing w:val="-1"/>
                <w:sz w:val="18"/>
                <w:szCs w:val="18"/>
              </w:rPr>
              <w:t>五个减量替代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’</w:t>
            </w:r>
            <w:r>
              <w:rPr>
                <w:spacing w:val="-1"/>
                <w:sz w:val="18"/>
                <w:szCs w:val="18"/>
              </w:rPr>
              <w:t>要求，确保煤炭消费只减不增、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‘</w:t>
            </w:r>
            <w:r>
              <w:rPr>
                <w:spacing w:val="-1"/>
                <w:sz w:val="18"/>
                <w:szCs w:val="18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’</w:t>
            </w:r>
            <w:r>
              <w:rPr>
                <w:spacing w:val="-1"/>
                <w:sz w:val="18"/>
                <w:szCs w:val="18"/>
              </w:rPr>
              <w:t>行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业能耗只减不增。有效提高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‘</w:t>
            </w:r>
            <w:r>
              <w:rPr>
                <w:sz w:val="18"/>
                <w:szCs w:val="18"/>
              </w:rPr>
              <w:t>两高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’</w:t>
            </w:r>
            <w:r>
              <w:rPr>
                <w:sz w:val="18"/>
                <w:szCs w:val="18"/>
              </w:rPr>
              <w:t>行业信</w:t>
            </w:r>
            <w:r>
              <w:rPr>
                <w:spacing w:val="-1"/>
                <w:sz w:val="18"/>
                <w:szCs w:val="18"/>
              </w:rPr>
              <w:t>息化精准化监管水平。</w:t>
            </w:r>
          </w:p>
          <w:p>
            <w:pPr>
              <w:pStyle w:val="TableText"/>
              <w:spacing w:before="18" w:line="234" w:lineRule="auto"/>
              <w:ind w:left="106" w:right="93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</w:t>
            </w:r>
            <w:r>
              <w:rPr>
                <w:spacing w:val="-2"/>
                <w:sz w:val="18"/>
                <w:szCs w:val="18"/>
              </w:rPr>
              <w:t>、严格落实水资源双控制度，控制高耗水产业发展和高耗水项目建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设，加强固定资产投资项目节水审查，严格建设项目水资源论证审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查把关。</w:t>
            </w:r>
          </w:p>
          <w:p>
            <w:pPr>
              <w:pStyle w:val="TableText"/>
              <w:spacing w:before="14" w:line="238" w:lineRule="auto"/>
              <w:ind w:left="101" w:right="36" w:firstLine="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 xml:space="preserve">、碳素、印染、铅蓄电池、皮革鞣制、电镀、废弃电器电子产品集 </w:t>
            </w:r>
            <w:r>
              <w:rPr>
                <w:spacing w:val="1"/>
                <w:sz w:val="18"/>
                <w:szCs w:val="18"/>
              </w:rPr>
              <w:t>中处理等行业及其他涉及重金属的新上项目原则上应进入国</w:t>
            </w:r>
            <w:r>
              <w:rPr>
                <w:sz w:val="18"/>
                <w:szCs w:val="18"/>
              </w:rPr>
              <w:t xml:space="preserve">务院和 </w:t>
            </w:r>
            <w:r>
              <w:rPr>
                <w:spacing w:val="1"/>
                <w:sz w:val="18"/>
                <w:szCs w:val="18"/>
              </w:rPr>
              <w:t>省级政府批准设立的经济开发区、高新技术开发区等开发区</w:t>
            </w:r>
            <w:r>
              <w:rPr>
                <w:sz w:val="18"/>
                <w:szCs w:val="18"/>
              </w:rPr>
              <w:t xml:space="preserve">。其他 </w:t>
            </w:r>
            <w:r>
              <w:rPr>
                <w:spacing w:val="1"/>
                <w:sz w:val="18"/>
                <w:szCs w:val="18"/>
              </w:rPr>
              <w:t>新建污染较重的建设项目原则上只能在国务院和省级政府批</w:t>
            </w:r>
            <w:r>
              <w:rPr>
                <w:sz w:val="18"/>
                <w:szCs w:val="18"/>
              </w:rPr>
              <w:t xml:space="preserve">准设立 </w:t>
            </w:r>
            <w:r>
              <w:rPr>
                <w:spacing w:val="1"/>
                <w:sz w:val="18"/>
                <w:szCs w:val="18"/>
              </w:rPr>
              <w:t>的经济开发区、高新技术开发区等开发区（包括其相邻管理</w:t>
            </w:r>
            <w:r>
              <w:rPr>
                <w:sz w:val="18"/>
                <w:szCs w:val="18"/>
              </w:rPr>
              <w:t xml:space="preserve">区域） </w:t>
            </w:r>
            <w:r>
              <w:rPr>
                <w:spacing w:val="1"/>
                <w:sz w:val="18"/>
                <w:szCs w:val="18"/>
              </w:rPr>
              <w:t>建设，一般不得在乡镇工业园区或工业集中区建设，具体包</w:t>
            </w:r>
            <w:r>
              <w:rPr>
                <w:sz w:val="18"/>
                <w:szCs w:val="18"/>
              </w:rPr>
              <w:t xml:space="preserve">括：制 </w:t>
            </w:r>
            <w:r>
              <w:rPr>
                <w:spacing w:val="-3"/>
                <w:sz w:val="18"/>
                <w:szCs w:val="18"/>
              </w:rPr>
              <w:t>浆纸浆、溶解浆、纤维浆等制造；化纤（除单纯纺丝外</w:t>
            </w:r>
            <w:r>
              <w:rPr>
                <w:sz w:val="18"/>
                <w:szCs w:val="18"/>
              </w:rPr>
              <w:t>）；</w:t>
            </w:r>
            <w:r>
              <w:rPr>
                <w:spacing w:val="-3"/>
                <w:sz w:val="18"/>
                <w:szCs w:val="18"/>
              </w:rPr>
              <w:t>人造革、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>发泡胶等塑料制品制造；羊绒及羊毛清洗；大豆蛋白；玉米淀粉、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味精、柠檬酸、赖氨酸制造；有提炼工艺的中成药制造、中</w:t>
            </w:r>
            <w:r>
              <w:rPr>
                <w:sz w:val="18"/>
                <w:szCs w:val="18"/>
              </w:rPr>
              <w:t xml:space="preserve">药饮片 </w:t>
            </w:r>
            <w:r>
              <w:rPr>
                <w:spacing w:val="-2"/>
                <w:sz w:val="18"/>
                <w:szCs w:val="18"/>
              </w:rPr>
              <w:t>加工；太阳能电池片；含钝化工艺的热镀锌；专业</w:t>
            </w:r>
            <w:r>
              <w:rPr>
                <w:spacing w:val="-3"/>
                <w:sz w:val="18"/>
                <w:szCs w:val="18"/>
              </w:rPr>
              <w:t>实验室（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DA003</w:t>
            </w:r>
            <w:r>
              <w:rPr>
                <w:spacing w:val="-3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DA004  </w:t>
            </w:r>
            <w:r>
              <w:rPr>
                <w:spacing w:val="-1"/>
                <w:sz w:val="18"/>
                <w:szCs w:val="18"/>
              </w:rPr>
              <w:t>生物安全实验室；转基因实验室</w:t>
            </w:r>
            <w:r>
              <w:rPr>
                <w:spacing w:val="-7"/>
                <w:sz w:val="18"/>
                <w:szCs w:val="18"/>
              </w:rPr>
              <w:t>）；</w:t>
            </w:r>
            <w:r>
              <w:rPr>
                <w:spacing w:val="-1"/>
                <w:sz w:val="18"/>
                <w:szCs w:val="18"/>
              </w:rPr>
              <w:t>含医</w:t>
            </w:r>
            <w:r>
              <w:rPr>
                <w:spacing w:val="-2"/>
                <w:sz w:val="18"/>
                <w:szCs w:val="18"/>
              </w:rPr>
              <w:t xml:space="preserve">药、化工类等专业 </w:t>
            </w:r>
            <w:r>
              <w:rPr>
                <w:spacing w:val="-1"/>
                <w:sz w:val="18"/>
                <w:szCs w:val="18"/>
              </w:rPr>
              <w:t>中试内容的研发基地；防水建筑材料制造等。</w:t>
            </w:r>
          </w:p>
          <w:p>
            <w:pPr>
              <w:pStyle w:val="TableText"/>
              <w:spacing w:before="22" w:line="230" w:lineRule="auto"/>
              <w:ind w:left="104" w:right="93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、新（改、扩）建耗煤项目执行《山东省耗煤项目煤炭消费减量替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代管理办法》中相关规定，须取得投资主管部门核定同意的煤炭消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费减量替代方案，其中，新上燃煤发电项目须取得市级及以上煤炭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消费总量控制部门出具的审查意见；全市区域内禁止燃烧煤矸石等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高硫燃料；高污染燃料禁燃区内禁止建设燃烧高污染燃料的工业锅</w:t>
            </w:r>
          </w:p>
        </w:tc>
        <w:tc>
          <w:tcPr>
            <w:tcW w:w="803" w:type="dxa"/>
            <w:textDirection w:val="tbRlV"/>
            <w:vAlign w:val="top"/>
          </w:tcPr>
          <w:p>
            <w:pPr>
              <w:pStyle w:val="TableText"/>
              <w:spacing w:before="162" w:line="209" w:lineRule="auto"/>
              <w:ind w:left="4574"/>
              <w:rPr>
                <w:sz w:val="18"/>
                <w:szCs w:val="18"/>
              </w:rPr>
            </w:pPr>
            <w:r>
              <w:rPr>
                <w:spacing w:val="18"/>
                <w:w w:val="116"/>
                <w:sz w:val="18"/>
                <w:szCs w:val="18"/>
              </w:rPr>
              <w:t>目设要进建运管符要</w:t>
            </w:r>
          </w:p>
          <w:p>
            <w:pPr>
              <w:pStyle w:val="TableText"/>
              <w:spacing w:before="64" w:line="64" w:lineRule="exact"/>
              <w:ind w:left="5858"/>
              <w:rPr>
                <w:sz w:val="18"/>
                <w:szCs w:val="18"/>
              </w:rPr>
            </w:pPr>
            <w:r>
              <w:rPr>
                <w:spacing w:val="-35"/>
                <w:w w:val="88"/>
                <w:sz w:val="18"/>
                <w:szCs w:val="18"/>
              </w:rPr>
              <w:t>、</w:t>
            </w:r>
            <w:r>
              <w:rPr>
                <w:spacing w:val="26"/>
                <w:sz w:val="18"/>
                <w:szCs w:val="18"/>
              </w:rPr>
              <w:t xml:space="preserve">   </w:t>
            </w:r>
            <w:r>
              <w:rPr>
                <w:spacing w:val="-35"/>
                <w:w w:val="88"/>
                <w:sz w:val="18"/>
                <w:szCs w:val="18"/>
              </w:rPr>
              <w:t>，</w:t>
            </w:r>
          </w:p>
          <w:p>
            <w:pPr>
              <w:pStyle w:val="TableText"/>
              <w:spacing w:line="207" w:lineRule="auto"/>
              <w:ind w:left="4574"/>
              <w:rPr>
                <w:sz w:val="18"/>
                <w:szCs w:val="18"/>
              </w:rPr>
            </w:pPr>
            <w:r>
              <w:rPr>
                <w:spacing w:val="17"/>
                <w:w w:val="117"/>
                <w:sz w:val="18"/>
                <w:szCs w:val="18"/>
              </w:rPr>
              <w:t>项建按求行设营理合求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"/>
        </w:trPr>
        <w:tc>
          <w:tcPr>
            <w:tcW w:w="1566" w:type="dxa"/>
            <w:vMerge/>
            <w:tcBorders>
              <w:top w:val="nil"/>
            </w:tcBorders>
            <w:vAlign w:val="top"/>
          </w:tcPr>
          <w:p/>
        </w:tc>
        <w:tc>
          <w:tcPr>
            <w:tcW w:w="509" w:type="dxa"/>
            <w:tcBorders>
              <w:left w:val="nil"/>
              <w:right w:val="nil"/>
            </w:tcBorders>
            <w:vAlign w:val="top"/>
          </w:tcPr>
          <w:p>
            <w:pPr>
              <w:spacing w:line="56" w:lineRule="exact"/>
              <w:rPr>
                <w:sz w:val="4"/>
              </w:rPr>
            </w:pPr>
          </w:p>
        </w:tc>
        <w:tc>
          <w:tcPr>
            <w:tcW w:w="415" w:type="dxa"/>
            <w:tcBorders>
              <w:left w:val="nil"/>
              <w:right w:val="nil"/>
            </w:tcBorders>
            <w:vAlign w:val="top"/>
          </w:tcPr>
          <w:p>
            <w:pPr>
              <w:spacing w:line="56" w:lineRule="exact"/>
              <w:rPr>
                <w:sz w:val="4"/>
              </w:rPr>
            </w:pPr>
          </w:p>
        </w:tc>
        <w:tc>
          <w:tcPr>
            <w:tcW w:w="5470" w:type="dxa"/>
            <w:tcBorders>
              <w:left w:val="nil"/>
              <w:right w:val="nil"/>
            </w:tcBorders>
            <w:vAlign w:val="top"/>
          </w:tcPr>
          <w:p>
            <w:pPr>
              <w:spacing w:line="56" w:lineRule="exact"/>
              <w:rPr>
                <w:sz w:val="4"/>
              </w:rPr>
            </w:pPr>
          </w:p>
        </w:tc>
        <w:tc>
          <w:tcPr>
            <w:tcW w:w="803" w:type="dxa"/>
            <w:tcBorders>
              <w:left w:val="nil"/>
            </w:tcBorders>
            <w:vAlign w:val="top"/>
          </w:tcPr>
          <w:p>
            <w:pPr>
              <w:spacing w:line="56" w:lineRule="exact"/>
              <w:rPr>
                <w:sz w:val="4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4"/>
          <w:pgSz w:w="11906" w:h="16839"/>
          <w:pgMar w:top="1431" w:right="1564" w:bottom="1240" w:left="1563" w:header="0" w:footer="1078" w:gutter="0"/>
          <w:pgNumType w:start="11"/>
          <w:cols w:num="1" w:space="720"/>
        </w:sectPr>
      </w:pPr>
    </w:p>
    <w:p>
      <w:pPr>
        <w:spacing w:before="28"/>
      </w:pPr>
      <w:r>
        <w:pict>
          <v:rect id="_x0000_s1030" o:spid="_x0000_s1029" style="width:1pt;height:667.25pt;margin-top:87pt;margin-left:513.05pt;mso-height-relative:page;mso-position-horizontal-relative:page;mso-position-vertical-relative:page;mso-width-relative:page;position:absolute;z-index:251662336" coordsize="21600,21600" o:allowincell="f" filled="t" fillcolor="black" stroked="f"/>
        </w:pict>
      </w:r>
    </w:p>
    <w:tbl>
      <w:tblPr>
        <w:tblStyle w:val="TableNormal010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6"/>
        <w:gridCol w:w="509"/>
        <w:gridCol w:w="415"/>
        <w:gridCol w:w="5470"/>
        <w:gridCol w:w="803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0"/>
        </w:trPr>
        <w:tc>
          <w:tcPr>
            <w:tcW w:w="1566" w:type="dxa"/>
            <w:vMerge w:val="restart"/>
            <w:tcBorders>
              <w:bottom w:val="nil"/>
            </w:tcBorders>
            <w:vAlign w:val="top"/>
          </w:tcPr>
          <w:p>
            <w:r>
              <w:pict>
                <v:rect id="_x0000_s1031" o:spid="_x0000_s1030" style="width:0.5pt;height:670.8pt;margin-top:0.95pt;margin-left:74.8pt;mso-height-relative:page;mso-position-horizontal-relative:page;mso-position-vertical-relative:page;mso-width-relative:page;position:absolute;z-index:251663360" coordsize="21600,21600" filled="t" fillcolor="black" stroked="f"/>
              </w:pict>
            </w:r>
          </w:p>
        </w:tc>
        <w:tc>
          <w:tcPr>
            <w:tcW w:w="50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415" w:type="dxa"/>
            <w:vAlign w:val="top"/>
          </w:tcPr>
          <w:p/>
        </w:tc>
        <w:tc>
          <w:tcPr>
            <w:tcW w:w="5470" w:type="dxa"/>
            <w:vAlign w:val="top"/>
          </w:tcPr>
          <w:p>
            <w:pPr>
              <w:pStyle w:val="TableText"/>
              <w:spacing w:before="52" w:line="239" w:lineRule="auto"/>
              <w:ind w:left="105" w:right="36" w:firstLine="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炉（集中供热除外）；经济开发区、工业园区、高新区等集中供热、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供汽管网覆盖范围内，禁止新建、改建、扩建燃煤</w:t>
            </w:r>
            <w:r>
              <w:rPr>
                <w:sz w:val="18"/>
                <w:szCs w:val="18"/>
              </w:rPr>
              <w:t xml:space="preserve">锅炉；全市禁止 </w:t>
            </w:r>
            <w:r>
              <w:rPr>
                <w:spacing w:val="-3"/>
                <w:sz w:val="18"/>
                <w:szCs w:val="18"/>
              </w:rPr>
              <w:t xml:space="preserve">新上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35t/h</w:t>
            </w:r>
            <w:r>
              <w:rPr>
                <w:rFonts w:ascii="Times New Roman" w:eastAsia="Times New Roman" w:hAnsi="Times New Roman" w:cs="Times New Roman"/>
                <w:spacing w:val="18"/>
                <w:sz w:val="18"/>
                <w:szCs w:val="18"/>
              </w:rPr>
              <w:t xml:space="preserve">  </w:t>
            </w:r>
            <w:r>
              <w:rPr>
                <w:spacing w:val="-3"/>
                <w:sz w:val="18"/>
                <w:szCs w:val="18"/>
              </w:rPr>
              <w:t>以下燃煤锅炉。</w:t>
            </w:r>
          </w:p>
          <w:p>
            <w:pPr>
              <w:pStyle w:val="TableText"/>
              <w:spacing w:before="4" w:line="235" w:lineRule="auto"/>
              <w:ind w:left="99" w:right="21" w:firstLine="9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 xml:space="preserve">、新建涉高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 </w:t>
            </w:r>
            <w:r>
              <w:rPr>
                <w:spacing w:val="1"/>
                <w:sz w:val="18"/>
                <w:szCs w:val="18"/>
              </w:rPr>
              <w:t>排放的建设项目，即石化、化工、包装印</w:t>
            </w:r>
            <w:r>
              <w:rPr>
                <w:sz w:val="18"/>
                <w:szCs w:val="18"/>
              </w:rPr>
              <w:t xml:space="preserve">刷、 </w:t>
            </w:r>
            <w:r>
              <w:rPr>
                <w:spacing w:val="-2"/>
                <w:sz w:val="18"/>
                <w:szCs w:val="18"/>
              </w:rPr>
              <w:t xml:space="preserve">工业涂装等重点行业及其他工业行业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VOCs  </w:t>
            </w:r>
            <w:r>
              <w:rPr>
                <w:spacing w:val="-2"/>
                <w:sz w:val="18"/>
                <w:szCs w:val="18"/>
              </w:rPr>
              <w:t>排放量大、排放强度高</w:t>
            </w:r>
            <w:r>
              <w:rPr>
                <w:spacing w:val="8"/>
                <w:sz w:val="18"/>
                <w:szCs w:val="18"/>
              </w:rPr>
              <w:t xml:space="preserve">  </w:t>
            </w:r>
            <w:r>
              <w:rPr>
                <w:spacing w:val="-2"/>
                <w:sz w:val="18"/>
                <w:szCs w:val="18"/>
              </w:rPr>
              <w:t xml:space="preserve">的新建项目应进入园区。严格涉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VOCs  </w:t>
            </w:r>
            <w:r>
              <w:rPr>
                <w:spacing w:val="-2"/>
                <w:sz w:val="18"/>
                <w:szCs w:val="18"/>
              </w:rPr>
              <w:t>建设项目环境影响评价，新</w:t>
            </w:r>
            <w:r>
              <w:rPr>
                <w:spacing w:val="8"/>
                <w:sz w:val="18"/>
                <w:szCs w:val="18"/>
              </w:rPr>
              <w:t xml:space="preserve">  </w:t>
            </w:r>
            <w:r>
              <w:rPr>
                <w:spacing w:val="-1"/>
                <w:sz w:val="18"/>
                <w:szCs w:val="18"/>
              </w:rPr>
              <w:t>（改、扩）建涉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VOCs</w:t>
            </w:r>
            <w:r>
              <w:rPr>
                <w:spacing w:val="-1"/>
                <w:sz w:val="18"/>
                <w:szCs w:val="18"/>
              </w:rPr>
              <w:t>排放项目，应从源头加强控制，使用低（无）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VOCs  </w:t>
            </w:r>
            <w:r>
              <w:rPr>
                <w:sz w:val="18"/>
                <w:szCs w:val="18"/>
              </w:rPr>
              <w:t>含量的原辅材料，加强废气收集，安装高效治理</w:t>
            </w:r>
            <w:r>
              <w:rPr>
                <w:spacing w:val="-1"/>
                <w:sz w:val="18"/>
                <w:szCs w:val="18"/>
              </w:rPr>
              <w:t>设施。</w:t>
            </w:r>
          </w:p>
          <w:p>
            <w:pPr>
              <w:pStyle w:val="TableText"/>
              <w:spacing w:before="13" w:line="238" w:lineRule="auto"/>
              <w:ind w:left="104" w:right="79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、新、改、扩建有色金属冶炼（铜冶炼、金冶炼、铅锌冶炼等）、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铅蓄电池制造、皮革鞣制加工、金属表面处理（电镀）、化学原料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和化学品制造（聚氯乙烯）等涉重金属重点行业建设项目（不包括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电子及新材料工业项目以及不列入重金属总量管理的生活垃圾及危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废焚烧项目</w:t>
            </w:r>
            <w:r>
              <w:rPr>
                <w:spacing w:val="11"/>
                <w:sz w:val="18"/>
                <w:szCs w:val="18"/>
              </w:rPr>
              <w:t>），</w:t>
            </w:r>
            <w:r>
              <w:rPr>
                <w:spacing w:val="1"/>
                <w:sz w:val="18"/>
                <w:szCs w:val="18"/>
              </w:rPr>
              <w:t>实施重金属排放量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“</w:t>
            </w:r>
            <w:r>
              <w:rPr>
                <w:spacing w:val="1"/>
                <w:sz w:val="18"/>
                <w:szCs w:val="18"/>
              </w:rPr>
              <w:t>等量置换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”</w:t>
            </w:r>
            <w:r>
              <w:rPr>
                <w:spacing w:val="1"/>
                <w:sz w:val="18"/>
                <w:szCs w:val="18"/>
              </w:rPr>
              <w:t>或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“</w:t>
            </w:r>
            <w:r>
              <w:rPr>
                <w:spacing w:val="1"/>
                <w:sz w:val="18"/>
                <w:szCs w:val="18"/>
              </w:rPr>
              <w:t>减量置换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，涉重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8"/>
                <w:sz w:val="18"/>
                <w:szCs w:val="18"/>
              </w:rPr>
              <w:t>金属重点行业企业落实减排措施和工程削减</w:t>
            </w:r>
            <w:r>
              <w:rPr>
                <w:spacing w:val="7"/>
                <w:sz w:val="18"/>
                <w:szCs w:val="18"/>
              </w:rPr>
              <w:t>的重金属污染物排放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量，经监测并可核实的，可作为涉重金属行业新、改、扩建企业重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金属污染物排放总量的来源。无明确具体总量来源的，不得批准相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关环境影响评价文件。禁止在土壤重金属质量超标区域、群众反映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强烈的重金属污染区域、土壤污染防治目标责任书有关重金属减排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任务考核不合格区域建设增加重金属污染物排放的项目。</w:t>
            </w:r>
          </w:p>
          <w:p>
            <w:pPr>
              <w:pStyle w:val="TableText"/>
              <w:spacing w:before="19" w:line="238" w:lineRule="auto"/>
              <w:ind w:left="107" w:right="94" w:firstLine="1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、禁止企业独自新建燃料类煤气发生炉，集中使用煤气发生炉、 </w:t>
            </w:r>
            <w:r>
              <w:rPr>
                <w:spacing w:val="7"/>
                <w:sz w:val="18"/>
                <w:szCs w:val="18"/>
              </w:rPr>
              <w:t>暂不具备改用天然气条件的工业园区应建设统一的清洁煤制气中</w:t>
            </w:r>
            <w:r>
              <w:rPr>
                <w:spacing w:val="16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心。</w:t>
            </w:r>
          </w:p>
          <w:p>
            <w:pPr>
              <w:pStyle w:val="TableText"/>
              <w:spacing w:before="4" w:line="235" w:lineRule="auto"/>
              <w:ind w:left="104" w:right="35" w:firstLine="1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11</w:t>
            </w:r>
            <w:r>
              <w:rPr>
                <w:spacing w:val="-3"/>
                <w:sz w:val="18"/>
                <w:szCs w:val="18"/>
              </w:rPr>
              <w:t>、控制碳排放总量，严格控制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‘</w:t>
            </w:r>
            <w:r>
              <w:rPr>
                <w:spacing w:val="-3"/>
                <w:sz w:val="18"/>
                <w:szCs w:val="18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’</w:t>
            </w:r>
            <w:r>
              <w:rPr>
                <w:spacing w:val="-3"/>
                <w:sz w:val="18"/>
                <w:szCs w:val="18"/>
              </w:rPr>
              <w:t>项目</w:t>
            </w:r>
            <w:r>
              <w:rPr>
                <w:spacing w:val="-4"/>
                <w:sz w:val="18"/>
                <w:szCs w:val="18"/>
              </w:rPr>
              <w:t xml:space="preserve">建设，高耗能、高排放建 </w:t>
            </w:r>
            <w:r>
              <w:rPr>
                <w:spacing w:val="1"/>
                <w:sz w:val="18"/>
                <w:szCs w:val="18"/>
              </w:rPr>
              <w:t>设项目应满足《山东省高耗能高排放建设项目碳排放减</w:t>
            </w:r>
            <w:r>
              <w:rPr>
                <w:sz w:val="18"/>
                <w:szCs w:val="18"/>
              </w:rPr>
              <w:t xml:space="preserve">量替代办法 </w:t>
            </w:r>
            <w:r>
              <w:rPr>
                <w:spacing w:val="1"/>
                <w:sz w:val="18"/>
                <w:szCs w:val="18"/>
              </w:rPr>
              <w:t>（试行）》要求。开展二氧化碳排放达峰行动，深入推</w:t>
            </w:r>
            <w:r>
              <w:rPr>
                <w:sz w:val="18"/>
                <w:szCs w:val="18"/>
              </w:rPr>
              <w:t xml:space="preserve">进产业绿色 </w:t>
            </w:r>
            <w:r>
              <w:rPr>
                <w:spacing w:val="1"/>
                <w:sz w:val="18"/>
                <w:szCs w:val="18"/>
              </w:rPr>
              <w:t>低碳发展，构建清洁低碳安全高效能源体系，深化工业</w:t>
            </w:r>
            <w:r>
              <w:rPr>
                <w:sz w:val="18"/>
                <w:szCs w:val="18"/>
              </w:rPr>
              <w:t xml:space="preserve">领域绿色低 </w:t>
            </w:r>
            <w:r>
              <w:rPr>
                <w:spacing w:val="-3"/>
                <w:sz w:val="18"/>
                <w:szCs w:val="18"/>
              </w:rPr>
              <w:t>碳转型，推动建筑领域绿色低碳建设，推进低碳交通运输体系构建。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12</w:t>
            </w:r>
            <w:r>
              <w:rPr>
                <w:spacing w:val="-3"/>
                <w:sz w:val="18"/>
                <w:szCs w:val="18"/>
              </w:rPr>
              <w:t>、符合城市规划要求的乡镇及街道应设立工业园区或工业集中区，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新建工业项目应进入工业园区或工业集中区，现有工业</w:t>
            </w:r>
            <w:r>
              <w:rPr>
                <w:sz w:val="18"/>
                <w:szCs w:val="18"/>
              </w:rPr>
              <w:t xml:space="preserve">企业应逐步 </w:t>
            </w:r>
            <w:r>
              <w:rPr>
                <w:spacing w:val="-1"/>
                <w:sz w:val="18"/>
                <w:szCs w:val="18"/>
              </w:rPr>
              <w:t>向工业园区或工业集中区搬迁。</w:t>
            </w:r>
          </w:p>
        </w:tc>
        <w:tc>
          <w:tcPr>
            <w:tcW w:w="803" w:type="dxa"/>
            <w:vAlign w:val="top"/>
          </w:tcPr>
          <w:p/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9"/>
        </w:trPr>
        <w:tc>
          <w:tcPr>
            <w:tcW w:w="1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09" w:type="dxa"/>
            <w:vMerge/>
            <w:tcBorders>
              <w:top w:val="nil"/>
            </w:tcBorders>
            <w:vAlign w:val="top"/>
          </w:tcPr>
          <w:p/>
        </w:tc>
        <w:tc>
          <w:tcPr>
            <w:tcW w:w="415" w:type="dxa"/>
            <w:textDirection w:val="tbRlV"/>
            <w:vAlign w:val="top"/>
          </w:tcPr>
          <w:p>
            <w:pPr>
              <w:pStyle w:val="TableText"/>
              <w:spacing w:before="107" w:line="217" w:lineRule="auto"/>
              <w:ind w:left="1209"/>
              <w:rPr>
                <w:sz w:val="18"/>
                <w:szCs w:val="18"/>
              </w:rPr>
            </w:pPr>
            <w:r>
              <w:rPr>
                <w:spacing w:val="10"/>
                <w:sz w:val="18"/>
                <w:szCs w:val="18"/>
              </w:rPr>
              <w:t>不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符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合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空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间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布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局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要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求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活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动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的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退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出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要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求</w:t>
            </w:r>
          </w:p>
        </w:tc>
        <w:tc>
          <w:tcPr>
            <w:tcW w:w="5470" w:type="dxa"/>
            <w:vAlign w:val="top"/>
          </w:tcPr>
          <w:p>
            <w:pPr>
              <w:pStyle w:val="TableText"/>
              <w:spacing w:before="30" w:line="220" w:lineRule="auto"/>
              <w:ind w:left="105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逐步调整退出（退出地方、退出产能）：</w:t>
            </w:r>
          </w:p>
          <w:p>
            <w:pPr>
              <w:pStyle w:val="TableText"/>
              <w:spacing w:before="17" w:line="235" w:lineRule="auto"/>
              <w:ind w:left="105" w:right="93" w:firstLine="13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、位于生态红线区域、饮用水水源保护区、风景名胜区、南水北调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工程核心保护区及重点保护区等敏感区域，不符合区域定位和相关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规定的企业，通过搬迁入园、限期整改等措施进行整顿，逾期整改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不到位的企业予以关闭退出。</w:t>
            </w:r>
          </w:p>
          <w:p>
            <w:pPr>
              <w:pStyle w:val="TableText"/>
              <w:spacing w:before="15" w:line="236" w:lineRule="auto"/>
              <w:ind w:left="103" w:right="93" w:hanging="2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、未按规定进入省政府公布的化工园区、专</w:t>
            </w:r>
            <w:r>
              <w:rPr>
                <w:spacing w:val="-3"/>
                <w:sz w:val="18"/>
                <w:szCs w:val="18"/>
              </w:rPr>
              <w:t>业化工园区，也未列入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重点监控点，经山东省化工生产企业评级评价结果为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“</w:t>
            </w:r>
            <w:r>
              <w:rPr>
                <w:spacing w:val="1"/>
                <w:sz w:val="18"/>
                <w:szCs w:val="18"/>
              </w:rPr>
              <w:t>差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19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的化工企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业，限期整改，逾期整改不到位的企业予以关闭退出。不在化工园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区、专业化工园区、重点监控点区域的重点化工项目，不符合安全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和卫生防护距离要求的，必须搬迁入</w:t>
            </w:r>
          </w:p>
          <w:p>
            <w:pPr>
              <w:pStyle w:val="TableText"/>
              <w:spacing w:before="19" w:line="222" w:lineRule="auto"/>
              <w:ind w:left="119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园。</w:t>
            </w:r>
          </w:p>
          <w:p>
            <w:pPr>
              <w:pStyle w:val="TableText"/>
              <w:spacing w:before="17" w:line="229" w:lineRule="auto"/>
              <w:ind w:left="107" w:right="93" w:hanging="2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、对无项目核准备案、建设用地、规划、环评、安评等法定手续的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企业，由有关部门依法限期整改，逾期未整改的予以关闭退出。</w:t>
            </w:r>
          </w:p>
          <w:p>
            <w:pPr>
              <w:pStyle w:val="TableText"/>
              <w:spacing w:before="18" w:line="235" w:lineRule="auto"/>
              <w:ind w:left="103" w:right="79" w:hanging="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、城市建成区内及主要人口密集区周边石化、钢铁、火电、水泥、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危险废物经营处置等重污染企业应搬迁。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2025  </w:t>
            </w:r>
            <w:r>
              <w:rPr>
                <w:spacing w:val="-2"/>
                <w:sz w:val="18"/>
                <w:szCs w:val="18"/>
              </w:rPr>
              <w:t>年，城镇人口密集区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现有不符合安全和卫生防护距离要求的危险化学品生产企业就地改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造达标、搬迁进入规范化工园区或关闭退出。</w:t>
            </w:r>
          </w:p>
          <w:p>
            <w:pPr>
              <w:pStyle w:val="TableText"/>
              <w:spacing w:before="17" w:line="232" w:lineRule="auto"/>
              <w:ind w:left="119" w:right="93" w:hanging="1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、淘汰《产业结构调整指导目录》中淘汰类工艺、技术、装备及产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1"/>
                <w:sz w:val="18"/>
                <w:szCs w:val="18"/>
              </w:rPr>
              <w:t>品。</w:t>
            </w:r>
          </w:p>
          <w:p>
            <w:pPr>
              <w:pStyle w:val="TableText"/>
              <w:spacing w:before="17" w:line="229" w:lineRule="auto"/>
              <w:ind w:left="107" w:right="96" w:hanging="2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、落实《关于进一步加强危险化学品安全生产管理工作的若干意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见》，关闭不具备安全生产条件企业。</w:t>
            </w:r>
          </w:p>
          <w:p>
            <w:pPr>
              <w:pStyle w:val="TableText"/>
              <w:spacing w:before="20" w:line="235" w:lineRule="auto"/>
              <w:ind w:left="104" w:right="93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、淘汰不达标工业炉窑，逐步取缔燃煤热风炉，淘汰热电联产供热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管网覆盖范围内的燃煤加热、烘干炉（窑</w:t>
            </w:r>
            <w:r>
              <w:rPr>
                <w:spacing w:val="-40"/>
                <w:sz w:val="18"/>
                <w:szCs w:val="18"/>
              </w:rPr>
              <w:t>）；</w:t>
            </w:r>
            <w:r>
              <w:rPr>
                <w:spacing w:val="-5"/>
                <w:sz w:val="18"/>
                <w:szCs w:val="18"/>
              </w:rPr>
              <w:t xml:space="preserve">淘汰炉膛直径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3  </w:t>
            </w:r>
            <w:r>
              <w:rPr>
                <w:spacing w:val="-5"/>
                <w:sz w:val="18"/>
                <w:szCs w:val="18"/>
              </w:rPr>
              <w:t>米（不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含）以下燃料类煤气发生炉；对热效率低下、敞开未封闭，装备简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易落后、</w:t>
            </w:r>
            <w:r>
              <w:rPr>
                <w:spacing w:val="-5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自动化程度低，无组织排放突出，以及无治理设</w:t>
            </w:r>
            <w:r>
              <w:rPr>
                <w:spacing w:val="-1"/>
                <w:sz w:val="18"/>
                <w:szCs w:val="18"/>
              </w:rPr>
              <w:t>施或治理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设施工艺落后等严重污染环境的工业炉窑，责令停业关闭。</w:t>
            </w:r>
          </w:p>
          <w:p>
            <w:pPr>
              <w:pStyle w:val="TableText"/>
              <w:spacing w:before="22" w:line="194" w:lineRule="auto"/>
              <w:ind w:left="108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</w:t>
            </w:r>
            <w:r>
              <w:rPr>
                <w:spacing w:val="-2"/>
                <w:sz w:val="18"/>
                <w:szCs w:val="18"/>
              </w:rPr>
              <w:t>、优化燃煤机组发电组合，提升高效大容量机组发电利用率，减少</w:t>
            </w:r>
          </w:p>
        </w:tc>
        <w:tc>
          <w:tcPr>
            <w:tcW w:w="803" w:type="dxa"/>
            <w:textDirection w:val="tbRlV"/>
            <w:vAlign w:val="top"/>
          </w:tcPr>
          <w:p>
            <w:pPr>
              <w:pStyle w:val="TableText"/>
              <w:spacing w:before="162" w:line="208" w:lineRule="auto"/>
              <w:ind w:left="1897"/>
              <w:rPr>
                <w:sz w:val="18"/>
                <w:szCs w:val="18"/>
              </w:rPr>
            </w:pPr>
            <w:r>
              <w:rPr>
                <w:spacing w:val="21"/>
                <w:w w:val="115"/>
                <w:sz w:val="18"/>
                <w:szCs w:val="18"/>
              </w:rPr>
              <w:t>目属逐调退地退产符要</w:t>
            </w:r>
          </w:p>
          <w:p>
            <w:pPr>
              <w:pStyle w:val="TableText"/>
              <w:spacing w:before="65" w:line="64" w:lineRule="exact"/>
              <w:ind w:left="3411"/>
              <w:rPr>
                <w:sz w:val="18"/>
                <w:szCs w:val="18"/>
              </w:rPr>
            </w:pPr>
            <w:r>
              <w:rPr>
                <w:spacing w:val="-35"/>
                <w:w w:val="88"/>
                <w:sz w:val="18"/>
                <w:szCs w:val="18"/>
              </w:rPr>
              <w:t>、</w:t>
            </w:r>
            <w:r>
              <w:rPr>
                <w:spacing w:val="27"/>
                <w:sz w:val="18"/>
                <w:szCs w:val="18"/>
              </w:rPr>
              <w:t xml:space="preserve">   </w:t>
            </w:r>
            <w:r>
              <w:rPr>
                <w:spacing w:val="-35"/>
                <w:w w:val="88"/>
                <w:sz w:val="18"/>
                <w:szCs w:val="18"/>
              </w:rPr>
              <w:t>，</w:t>
            </w:r>
          </w:p>
          <w:p>
            <w:pPr>
              <w:pStyle w:val="TableText"/>
              <w:spacing w:line="207" w:lineRule="auto"/>
              <w:ind w:left="1897"/>
              <w:rPr>
                <w:sz w:val="18"/>
                <w:szCs w:val="18"/>
              </w:rPr>
            </w:pPr>
            <w:r>
              <w:rPr>
                <w:spacing w:val="17"/>
                <w:w w:val="117"/>
                <w:sz w:val="18"/>
                <w:szCs w:val="18"/>
              </w:rPr>
              <w:t>项不于步整出方出能合求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/>
        </w:trPr>
        <w:tc>
          <w:tcPr>
            <w:tcW w:w="1566" w:type="dxa"/>
            <w:vMerge/>
            <w:tcBorders>
              <w:top w:val="nil"/>
            </w:tcBorders>
            <w:vAlign w:val="top"/>
          </w:tcPr>
          <w:p/>
        </w:tc>
        <w:tc>
          <w:tcPr>
            <w:tcW w:w="509" w:type="dxa"/>
            <w:tcBorders>
              <w:left w:val="nil"/>
              <w:right w:val="nil"/>
            </w:tcBorders>
            <w:vAlign w:val="top"/>
          </w:tcPr>
          <w:p>
            <w:pPr>
              <w:spacing w:line="55" w:lineRule="exact"/>
              <w:rPr>
                <w:sz w:val="4"/>
              </w:rPr>
            </w:pPr>
          </w:p>
        </w:tc>
        <w:tc>
          <w:tcPr>
            <w:tcW w:w="415" w:type="dxa"/>
            <w:tcBorders>
              <w:left w:val="nil"/>
              <w:right w:val="nil"/>
            </w:tcBorders>
            <w:vAlign w:val="top"/>
          </w:tcPr>
          <w:p>
            <w:pPr>
              <w:spacing w:line="55" w:lineRule="exact"/>
              <w:rPr>
                <w:sz w:val="4"/>
              </w:rPr>
            </w:pPr>
          </w:p>
        </w:tc>
        <w:tc>
          <w:tcPr>
            <w:tcW w:w="5470" w:type="dxa"/>
            <w:tcBorders>
              <w:left w:val="nil"/>
              <w:right w:val="nil"/>
            </w:tcBorders>
            <w:vAlign w:val="top"/>
          </w:tcPr>
          <w:p>
            <w:pPr>
              <w:spacing w:line="55" w:lineRule="exact"/>
              <w:rPr>
                <w:sz w:val="4"/>
              </w:rPr>
            </w:pPr>
          </w:p>
        </w:tc>
        <w:tc>
          <w:tcPr>
            <w:tcW w:w="803" w:type="dxa"/>
            <w:tcBorders>
              <w:left w:val="nil"/>
            </w:tcBorders>
            <w:vAlign w:val="top"/>
          </w:tcPr>
          <w:p>
            <w:pPr>
              <w:spacing w:line="55" w:lineRule="exact"/>
              <w:rPr>
                <w:sz w:val="4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5"/>
          <w:pgSz w:w="11906" w:h="16839"/>
          <w:pgMar w:top="1431" w:right="1564" w:bottom="1240" w:left="1563" w:header="0" w:footer="1078" w:gutter="0"/>
          <w:pgNumType w:start="12"/>
          <w:cols w:num="1" w:space="720"/>
        </w:sectPr>
      </w:pPr>
    </w:p>
    <w:p>
      <w:pPr>
        <w:spacing w:before="28"/>
      </w:pPr>
      <w:r>
        <w:pict>
          <v:rect id="_x0000_s1032" o:spid="_x0000_s1031" style="width:1pt;height:668.25pt;margin-top:87pt;margin-left:513.05pt;mso-height-relative:page;mso-position-horizontal-relative:page;mso-position-vertical-relative:page;mso-width-relative:page;position:absolute;z-index:251666432" coordsize="21600,21600" o:allowincell="f" filled="t" fillcolor="black" stroked="f"/>
        </w:pict>
      </w:r>
      <w:r>
        <mc:AlternateContent>
          <mc:Choice Requires="wps">
            <w:drawing>
              <wp:anchor distT="0" distB="0" distL="0" distR="0" simplePos="0" relativeHeight="251665408" behindDoc="1" locked="0" layoutInCell="0" allowOverlap="1">
                <wp:simplePos x="0" y="0"/>
                <wp:positionH relativeFrom="page">
                  <wp:posOffset>1982470</wp:posOffset>
                </wp:positionH>
                <wp:positionV relativeFrom="page">
                  <wp:posOffset>9578975</wp:posOffset>
                </wp:positionV>
                <wp:extent cx="4545965" cy="12700"/>
                <wp:effectExtent l="0" t="0" r="0" b="0"/>
                <wp:wrapNone/>
                <wp:docPr id="18" name="Rect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982724" y="9578975"/>
                          <a:ext cx="45459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8" o:spid="_x0000_s1032" style="width:357.95pt;height:1pt;margin-top:754.25pt;margin-left:156.1pt;mso-position-horizontal-relative:page;mso-position-vertical-relative:page;mso-wrap-distance-bottom:0;mso-wrap-distance-left:0;mso-wrap-distance-right:0;mso-wrap-distance-top:0;position:absolute;v-text-anchor:top;z-index:-251652096" o:allowincell="f" fillcolor="black" stroked="f"/>
            </w:pict>
          </mc:Fallback>
        </mc:AlternateContent>
      </w:r>
    </w:p>
    <w:tbl>
      <w:tblPr>
        <w:tblStyle w:val="TableNormal011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6"/>
        <w:gridCol w:w="509"/>
        <w:gridCol w:w="415"/>
        <w:gridCol w:w="5470"/>
        <w:gridCol w:w="803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0"/>
        </w:trPr>
        <w:tc>
          <w:tcPr>
            <w:tcW w:w="1566" w:type="dxa"/>
            <w:vMerge w:val="restart"/>
            <w:tcBorders>
              <w:bottom w:val="nil"/>
            </w:tcBorders>
            <w:vAlign w:val="top"/>
          </w:tcPr>
          <w:p>
            <w:r>
              <w:pict>
                <v:rect id="_x0000_s1033" o:spid="_x0000_s1033" style="width:0.5pt;height:670.8pt;margin-top:0.95pt;margin-left:74.8pt;mso-height-relative:page;mso-position-horizontal-relative:page;mso-position-vertical-relative:page;mso-width-relative:page;position:absolute;z-index:251667456" coordsize="21600,21600" filled="t" fillcolor="black" stroked="f"/>
              </w:pict>
            </w:r>
          </w:p>
        </w:tc>
        <w:tc>
          <w:tcPr>
            <w:tcW w:w="509" w:type="dxa"/>
            <w:vAlign w:val="top"/>
          </w:tcPr>
          <w:p/>
        </w:tc>
        <w:tc>
          <w:tcPr>
            <w:tcW w:w="415" w:type="dxa"/>
            <w:vAlign w:val="top"/>
          </w:tcPr>
          <w:p/>
        </w:tc>
        <w:tc>
          <w:tcPr>
            <w:tcW w:w="5470" w:type="dxa"/>
            <w:vAlign w:val="top"/>
          </w:tcPr>
          <w:p>
            <w:pPr>
              <w:pStyle w:val="TableText"/>
              <w:spacing w:before="53" w:line="232" w:lineRule="auto"/>
              <w:ind w:left="105" w:right="93" w:hanging="1"/>
              <w:jc w:val="both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低效机组运行时间。逐步推进现役燃煤发电机组改造，加大落后机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组淘汰力度，除所在地区唯一、不可替代民生热源机组外，逐步关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 xml:space="preserve">停单机容量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30  </w:t>
            </w:r>
            <w:r>
              <w:rPr>
                <w:spacing w:val="-1"/>
                <w:sz w:val="18"/>
                <w:szCs w:val="18"/>
              </w:rPr>
              <w:t>万千瓦以下燃煤机组及配套锅炉。</w:t>
            </w:r>
          </w:p>
          <w:p>
            <w:pPr>
              <w:pStyle w:val="TableText"/>
              <w:spacing w:before="18" w:line="231" w:lineRule="auto"/>
              <w:ind w:left="107" w:right="93" w:hanging="2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</w:t>
            </w:r>
            <w:r>
              <w:rPr>
                <w:spacing w:val="-2"/>
                <w:sz w:val="18"/>
                <w:szCs w:val="18"/>
              </w:rPr>
              <w:t>、加强监管工业用地控制线范围以外区域已建排放重金属污染物的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项目，逐步实施搬迁、转产、转型。</w:t>
            </w:r>
          </w:p>
          <w:p>
            <w:pPr>
              <w:pStyle w:val="TableText"/>
              <w:spacing w:before="19" w:line="229" w:lineRule="auto"/>
              <w:ind w:left="105" w:right="93" w:firstLine="14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</w:t>
            </w:r>
            <w:r>
              <w:rPr>
                <w:spacing w:val="-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2022  </w:t>
            </w:r>
            <w:r>
              <w:rPr>
                <w:spacing w:val="-2"/>
                <w:sz w:val="18"/>
                <w:szCs w:val="18"/>
              </w:rPr>
              <w:t>年年底，阳煤平原化工完成产业升级搬迁改造一期建设项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目，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2025  </w:t>
            </w:r>
            <w:r>
              <w:rPr>
                <w:spacing w:val="-3"/>
                <w:sz w:val="18"/>
                <w:szCs w:val="18"/>
              </w:rPr>
              <w:t>年底前完成二期建设项目，淘汰现有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万吨落后工艺的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氨醇装置。</w:t>
            </w:r>
          </w:p>
        </w:tc>
        <w:tc>
          <w:tcPr>
            <w:tcW w:w="803" w:type="dxa"/>
            <w:vAlign w:val="top"/>
          </w:tcPr>
          <w:p/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6"/>
        </w:trPr>
        <w:tc>
          <w:tcPr>
            <w:tcW w:w="1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0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17" w:line="209" w:lineRule="auto"/>
              <w:ind w:left="4934"/>
              <w:rPr>
                <w:sz w:val="18"/>
                <w:szCs w:val="18"/>
              </w:rPr>
            </w:pPr>
            <w:r>
              <w:rPr>
                <w:spacing w:val="15"/>
                <w:w w:val="117"/>
                <w:sz w:val="18"/>
                <w:szCs w:val="18"/>
              </w:rPr>
              <w:t>污染物排放管控</w:t>
            </w:r>
          </w:p>
        </w:tc>
        <w:tc>
          <w:tcPr>
            <w:tcW w:w="415" w:type="dxa"/>
            <w:textDirection w:val="tbRlV"/>
            <w:vAlign w:val="top"/>
          </w:tcPr>
          <w:p>
            <w:pPr>
              <w:pStyle w:val="TableText"/>
              <w:spacing w:before="112" w:line="208" w:lineRule="auto"/>
              <w:ind w:left="722"/>
              <w:rPr>
                <w:sz w:val="18"/>
                <w:szCs w:val="18"/>
              </w:rPr>
            </w:pPr>
            <w:r>
              <w:rPr>
                <w:spacing w:val="15"/>
                <w:w w:val="117"/>
                <w:sz w:val="18"/>
                <w:szCs w:val="18"/>
              </w:rPr>
              <w:t>允许排放量要求</w:t>
            </w:r>
          </w:p>
        </w:tc>
        <w:tc>
          <w:tcPr>
            <w:tcW w:w="5470" w:type="dxa"/>
            <w:vAlign w:val="top"/>
          </w:tcPr>
          <w:p>
            <w:pPr>
              <w:pStyle w:val="TableText"/>
              <w:spacing w:before="23" w:line="212" w:lineRule="auto"/>
              <w:ind w:left="10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大气污染物允许排放要求：</w:t>
            </w:r>
          </w:p>
          <w:p>
            <w:pPr>
              <w:pStyle w:val="TableText"/>
              <w:spacing w:before="1" w:line="239" w:lineRule="auto"/>
              <w:ind w:left="105" w:right="93" w:firstLine="14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</w:t>
            </w:r>
            <w:r>
              <w:rPr>
                <w:spacing w:val="-4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2025 </w:t>
            </w:r>
            <w:r>
              <w:rPr>
                <w:spacing w:val="-4"/>
                <w:sz w:val="18"/>
                <w:szCs w:val="18"/>
              </w:rPr>
              <w:t>年：区域内相比</w:t>
            </w:r>
            <w:r>
              <w:rPr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2017 </w:t>
            </w:r>
            <w:r>
              <w:rPr>
                <w:spacing w:val="-4"/>
                <w:sz w:val="18"/>
                <w:szCs w:val="18"/>
              </w:rPr>
              <w:t>年，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1"/>
                <w:szCs w:val="11"/>
              </w:rPr>
              <w:t xml:space="preserve">2  </w:t>
            </w:r>
            <w:r>
              <w:rPr>
                <w:spacing w:val="-4"/>
                <w:sz w:val="18"/>
                <w:szCs w:val="18"/>
              </w:rPr>
              <w:t>削减比例不低于</w:t>
            </w:r>
            <w:r>
              <w:rPr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12.9%</w:t>
            </w:r>
            <w:r>
              <w:rPr>
                <w:spacing w:val="-5"/>
                <w:sz w:val="18"/>
                <w:szCs w:val="18"/>
              </w:rPr>
              <w:t>；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NOx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削减比例不低于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18.7%</w:t>
            </w:r>
            <w:r>
              <w:rPr>
                <w:spacing w:val="-2"/>
                <w:sz w:val="18"/>
                <w:szCs w:val="18"/>
              </w:rPr>
              <w:t>；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1"/>
                <w:szCs w:val="1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position w:val="-1"/>
                <w:sz w:val="11"/>
                <w:szCs w:val="11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削减比例不低于</w:t>
            </w:r>
            <w:r>
              <w:rPr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23.6%</w:t>
            </w:r>
            <w:r>
              <w:rPr>
                <w:spacing w:val="-2"/>
                <w:sz w:val="18"/>
                <w:szCs w:val="18"/>
              </w:rPr>
              <w:t>；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1"/>
                <w:szCs w:val="11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22"/>
                <w:position w:val="-1"/>
                <w:sz w:val="11"/>
                <w:szCs w:val="11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削减比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例不低于</w:t>
            </w:r>
            <w:r>
              <w:rPr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15.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1%</w:t>
            </w:r>
            <w:r>
              <w:rPr>
                <w:spacing w:val="-4"/>
                <w:sz w:val="18"/>
                <w:szCs w:val="18"/>
              </w:rPr>
              <w:t>；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VOCs  </w:t>
            </w:r>
            <w:r>
              <w:rPr>
                <w:spacing w:val="-4"/>
                <w:sz w:val="18"/>
                <w:szCs w:val="18"/>
              </w:rPr>
              <w:t>削减比例不低于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18.0%</w:t>
            </w:r>
            <w:r>
              <w:rPr>
                <w:spacing w:val="-4"/>
                <w:sz w:val="18"/>
                <w:szCs w:val="18"/>
              </w:rPr>
              <w:t>；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1"/>
                <w:szCs w:val="11"/>
              </w:rPr>
              <w:t xml:space="preserve">3  </w:t>
            </w:r>
            <w:r>
              <w:rPr>
                <w:spacing w:val="-4"/>
                <w:sz w:val="18"/>
                <w:szCs w:val="18"/>
              </w:rPr>
              <w:t>削减比例不低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于</w:t>
            </w:r>
            <w:r>
              <w:rPr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10.6%</w:t>
            </w:r>
            <w:r>
              <w:rPr>
                <w:spacing w:val="-5"/>
                <w:sz w:val="18"/>
                <w:szCs w:val="18"/>
              </w:rPr>
              <w:t>。</w:t>
            </w:r>
          </w:p>
          <w:p>
            <w:pPr>
              <w:pStyle w:val="TableText"/>
              <w:spacing w:before="1" w:line="248" w:lineRule="auto"/>
              <w:ind w:left="103" w:right="35" w:hanging="2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2035 </w:t>
            </w:r>
            <w:r>
              <w:rPr>
                <w:spacing w:val="-2"/>
                <w:sz w:val="18"/>
                <w:szCs w:val="18"/>
              </w:rPr>
              <w:t xml:space="preserve">年：区域内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1"/>
                <w:szCs w:val="11"/>
              </w:rPr>
              <w:t xml:space="preserve">2  </w:t>
            </w:r>
            <w:r>
              <w:rPr>
                <w:spacing w:val="-2"/>
                <w:sz w:val="18"/>
                <w:szCs w:val="18"/>
              </w:rPr>
              <w:t>削减比例不低于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26.2%</w:t>
            </w:r>
            <w:r>
              <w:rPr>
                <w:spacing w:val="-2"/>
                <w:sz w:val="18"/>
                <w:szCs w:val="18"/>
              </w:rPr>
              <w:t>；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NOx  </w:t>
            </w:r>
            <w:r>
              <w:rPr>
                <w:spacing w:val="-2"/>
                <w:sz w:val="18"/>
                <w:szCs w:val="18"/>
              </w:rPr>
              <w:t xml:space="preserve">削减比例不 </w:t>
            </w:r>
            <w:r>
              <w:rPr>
                <w:spacing w:val="2"/>
                <w:sz w:val="18"/>
                <w:szCs w:val="18"/>
              </w:rPr>
              <w:t>低于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37.9%</w:t>
            </w:r>
            <w:r>
              <w:rPr>
                <w:spacing w:val="2"/>
                <w:sz w:val="18"/>
                <w:szCs w:val="18"/>
              </w:rPr>
              <w:t>；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11"/>
                <w:szCs w:val="11"/>
              </w:rPr>
              <w:t>10</w:t>
            </w:r>
            <w:r>
              <w:rPr>
                <w:rFonts w:ascii="Times New Roman" w:eastAsia="Times New Roman" w:hAnsi="Times New Roman" w:cs="Times New Roman"/>
                <w:position w:val="-1"/>
                <w:sz w:val="11"/>
                <w:szCs w:val="11"/>
              </w:rPr>
              <w:t xml:space="preserve">   </w:t>
            </w:r>
            <w:r>
              <w:rPr>
                <w:spacing w:val="2"/>
                <w:sz w:val="18"/>
                <w:szCs w:val="18"/>
              </w:rPr>
              <w:t>削减比例不低于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47.9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%</w:t>
            </w:r>
            <w:r>
              <w:rPr>
                <w:spacing w:val="1"/>
                <w:sz w:val="18"/>
                <w:szCs w:val="18"/>
              </w:rPr>
              <w:t>；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1"/>
                <w:szCs w:val="11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27"/>
                <w:w w:val="102"/>
                <w:position w:val="-1"/>
                <w:sz w:val="11"/>
                <w:szCs w:val="11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 xml:space="preserve">削减比例不低于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30.7%</w:t>
            </w:r>
            <w:r>
              <w:rPr>
                <w:spacing w:val="-3"/>
                <w:sz w:val="18"/>
                <w:szCs w:val="18"/>
              </w:rPr>
              <w:t>；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VOCs  </w:t>
            </w:r>
            <w:r>
              <w:rPr>
                <w:spacing w:val="-3"/>
                <w:sz w:val="18"/>
                <w:szCs w:val="18"/>
              </w:rPr>
              <w:t>削减比例不低于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36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.7%</w:t>
            </w:r>
            <w:r>
              <w:rPr>
                <w:spacing w:val="-4"/>
                <w:sz w:val="18"/>
                <w:szCs w:val="18"/>
              </w:rPr>
              <w:t>；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1"/>
                <w:szCs w:val="11"/>
              </w:rPr>
              <w:t xml:space="preserve">3  </w:t>
            </w:r>
            <w:r>
              <w:rPr>
                <w:spacing w:val="-4"/>
                <w:sz w:val="18"/>
                <w:szCs w:val="18"/>
              </w:rPr>
              <w:t>削减比例不低于</w:t>
            </w:r>
            <w:r>
              <w:rPr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21.5%</w:t>
            </w:r>
            <w:r>
              <w:rPr>
                <w:spacing w:val="-4"/>
                <w:sz w:val="18"/>
                <w:szCs w:val="18"/>
              </w:rPr>
              <w:t>。</w:t>
            </w:r>
          </w:p>
          <w:p>
            <w:pPr>
              <w:pStyle w:val="TableText"/>
              <w:spacing w:line="220" w:lineRule="auto"/>
              <w:ind w:left="107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水环境污染物允许排放量要求：</w:t>
            </w:r>
          </w:p>
          <w:p>
            <w:pPr>
              <w:pStyle w:val="TableText"/>
              <w:spacing w:before="18" w:line="231" w:lineRule="auto"/>
              <w:ind w:left="105" w:right="93" w:firstLine="1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2025 </w:t>
            </w:r>
            <w:r>
              <w:rPr>
                <w:spacing w:val="-1"/>
                <w:sz w:val="18"/>
                <w:szCs w:val="18"/>
              </w:rPr>
              <w:t>年：区域内总氮最大允许排放量为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22.99  </w:t>
            </w:r>
            <w:r>
              <w:rPr>
                <w:spacing w:val="-2"/>
                <w:sz w:val="18"/>
                <w:szCs w:val="18"/>
              </w:rPr>
              <w:t>吨；总磷最大允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许排放量为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64.58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吨。</w:t>
            </w:r>
          </w:p>
          <w:p>
            <w:pPr>
              <w:pStyle w:val="TableText"/>
              <w:spacing w:before="18" w:line="222" w:lineRule="auto"/>
              <w:ind w:left="104" w:right="96" w:hanging="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2035 </w:t>
            </w:r>
            <w:r>
              <w:rPr>
                <w:sz w:val="18"/>
                <w:szCs w:val="18"/>
              </w:rPr>
              <w:t>年：区域内总氮最大允许排放量为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5.41</w:t>
            </w:r>
            <w:r>
              <w:rPr>
                <w:rFonts w:ascii="Times New Roman" w:eastAsia="Times New Roman" w:hAnsi="Times New Roman" w:cs="Times New Roman"/>
                <w:spacing w:val="17"/>
                <w:w w:val="10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吨；总磷最大允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许排放量为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61.08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吨。</w:t>
            </w:r>
          </w:p>
        </w:tc>
        <w:tc>
          <w:tcPr>
            <w:tcW w:w="803" w:type="dxa"/>
            <w:textDirection w:val="tbRlV"/>
            <w:vAlign w:val="top"/>
          </w:tcPr>
          <w:p>
            <w:pPr>
              <w:pStyle w:val="TableText"/>
              <w:spacing w:before="161" w:line="209" w:lineRule="auto"/>
              <w:ind w:left="256"/>
              <w:rPr>
                <w:sz w:val="18"/>
                <w:szCs w:val="18"/>
              </w:rPr>
            </w:pPr>
            <w:r>
              <w:rPr>
                <w:spacing w:val="17"/>
                <w:w w:val="117"/>
                <w:sz w:val="18"/>
                <w:szCs w:val="18"/>
              </w:rPr>
              <w:t>目染排执总控排要符要</w:t>
            </w:r>
          </w:p>
          <w:p>
            <w:pPr>
              <w:pStyle w:val="TableText"/>
              <w:spacing w:before="64" w:line="65" w:lineRule="exact"/>
              <w:ind w:left="2236"/>
              <w:rPr>
                <w:sz w:val="18"/>
                <w:szCs w:val="18"/>
              </w:rPr>
            </w:pPr>
            <w:r>
              <w:rPr>
                <w:spacing w:val="-21"/>
                <w:position w:val="1"/>
                <w:sz w:val="18"/>
                <w:szCs w:val="18"/>
              </w:rPr>
              <w:t>,</w:t>
            </w:r>
            <w:r>
              <w:rPr>
                <w:spacing w:val="1"/>
                <w:position w:val="1"/>
                <w:sz w:val="18"/>
                <w:szCs w:val="18"/>
              </w:rPr>
              <w:t xml:space="preserve">    </w:t>
            </w:r>
            <w:r>
              <w:rPr>
                <w:spacing w:val="-21"/>
                <w:position w:val="1"/>
                <w:sz w:val="18"/>
                <w:szCs w:val="18"/>
              </w:rPr>
              <w:t>。</w:t>
            </w:r>
          </w:p>
          <w:p>
            <w:pPr>
              <w:pStyle w:val="TableText"/>
              <w:spacing w:line="208" w:lineRule="auto"/>
              <w:ind w:left="256"/>
              <w:rPr>
                <w:sz w:val="18"/>
                <w:szCs w:val="18"/>
              </w:rPr>
            </w:pPr>
            <w:r>
              <w:rPr>
                <w:spacing w:val="16"/>
                <w:w w:val="118"/>
                <w:sz w:val="18"/>
                <w:szCs w:val="18"/>
              </w:rPr>
              <w:t>项污物放行量制放求合求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8"/>
        </w:trPr>
        <w:tc>
          <w:tcPr>
            <w:tcW w:w="1566" w:type="dxa"/>
            <w:vMerge/>
            <w:tcBorders>
              <w:top w:val="nil"/>
            </w:tcBorders>
            <w:vAlign w:val="top"/>
          </w:tcPr>
          <w:p/>
        </w:tc>
        <w:tc>
          <w:tcPr>
            <w:tcW w:w="509" w:type="dxa"/>
            <w:vMerge/>
            <w:tcBorders>
              <w:top w:val="nil"/>
            </w:tcBorders>
            <w:textDirection w:val="tbRlV"/>
            <w:vAlign w:val="top"/>
          </w:tcPr>
          <w:p/>
        </w:tc>
        <w:tc>
          <w:tcPr>
            <w:tcW w:w="415" w:type="dxa"/>
            <w:textDirection w:val="tbRlV"/>
            <w:vAlign w:val="top"/>
          </w:tcPr>
          <w:p>
            <w:pPr>
              <w:pStyle w:val="TableText"/>
              <w:spacing w:before="112" w:line="209" w:lineRule="auto"/>
              <w:ind w:left="3179"/>
              <w:rPr>
                <w:sz w:val="18"/>
                <w:szCs w:val="18"/>
              </w:rPr>
            </w:pPr>
            <w:r>
              <w:rPr>
                <w:spacing w:val="16"/>
                <w:w w:val="117"/>
                <w:sz w:val="18"/>
                <w:szCs w:val="18"/>
              </w:rPr>
              <w:t>现有源提标升级改造</w:t>
            </w:r>
          </w:p>
        </w:tc>
        <w:tc>
          <w:tcPr>
            <w:tcW w:w="5470" w:type="dxa"/>
            <w:vAlign w:val="top"/>
          </w:tcPr>
          <w:p>
            <w:pPr>
              <w:pStyle w:val="TableText"/>
              <w:spacing w:before="28" w:line="236" w:lineRule="auto"/>
              <w:ind w:left="105" w:right="48" w:firstLine="1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</w:t>
            </w:r>
            <w:r>
              <w:rPr>
                <w:spacing w:val="-8"/>
                <w:sz w:val="18"/>
                <w:szCs w:val="18"/>
              </w:rPr>
              <w:t>、工业炉窑升级改造，执行《工业炉窑大气污染综合治理方案》《山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东省工业炉窑大气污染综合治理实施方案》中相关规定。进行燃料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清洁能源替代对，以煤、石油焦、渣油、重油</w:t>
            </w:r>
            <w:r>
              <w:rPr>
                <w:spacing w:val="-4"/>
                <w:sz w:val="18"/>
                <w:szCs w:val="18"/>
              </w:rPr>
              <w:t>等为燃料的工业炉窑，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加快使用清洁低碳能源以及利用工厂余热、电厂热力等进行替代；</w:t>
            </w:r>
            <w:r>
              <w:rPr>
                <w:spacing w:val="3"/>
                <w:sz w:val="18"/>
                <w:szCs w:val="18"/>
              </w:rPr>
              <w:t xml:space="preserve"> 禁止掺烧高硫石油焦（硫含量大于 </w:t>
            </w:r>
            <w:r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>3%</w:t>
            </w:r>
            <w:r>
              <w:rPr>
                <w:spacing w:val="9"/>
                <w:sz w:val="18"/>
                <w:szCs w:val="18"/>
              </w:rPr>
              <w:t>）；</w:t>
            </w:r>
            <w:r>
              <w:rPr>
                <w:spacing w:val="3"/>
                <w:sz w:val="18"/>
                <w:szCs w:val="18"/>
              </w:rPr>
              <w:t>加快推动</w:t>
            </w:r>
            <w:r>
              <w:rPr>
                <w:spacing w:val="2"/>
                <w:sz w:val="18"/>
                <w:szCs w:val="18"/>
              </w:rPr>
              <w:t>铸造（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10  </w:t>
            </w:r>
            <w:r>
              <w:rPr>
                <w:spacing w:val="2"/>
                <w:sz w:val="18"/>
                <w:szCs w:val="18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/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spacing w:val="-1"/>
                <w:sz w:val="18"/>
                <w:szCs w:val="18"/>
              </w:rPr>
              <w:t>小时及以下）、岩棉等行业冲天炉改为电炉。</w:t>
            </w:r>
          </w:p>
          <w:p>
            <w:pPr>
              <w:pStyle w:val="TableText"/>
              <w:spacing w:before="18" w:line="237" w:lineRule="auto"/>
              <w:ind w:left="103" w:right="35" w:hanging="2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spacing w:val="-2"/>
                <w:sz w:val="18"/>
                <w:szCs w:val="18"/>
              </w:rPr>
              <w:t>、工业炉窑全面达标排放，加大热残极冷却过程无组织排放治理</w:t>
            </w:r>
            <w:r>
              <w:rPr>
                <w:spacing w:val="-3"/>
                <w:sz w:val="18"/>
                <w:szCs w:val="18"/>
              </w:rPr>
              <w:t xml:space="preserve">力 </w:t>
            </w:r>
            <w:r>
              <w:rPr>
                <w:spacing w:val="1"/>
                <w:sz w:val="18"/>
                <w:szCs w:val="18"/>
              </w:rPr>
              <w:t>度，建设封闭高效的烟气收集系统，实现残极冷却烟气</w:t>
            </w:r>
            <w:r>
              <w:rPr>
                <w:sz w:val="18"/>
                <w:szCs w:val="18"/>
              </w:rPr>
              <w:t xml:space="preserve">有效处理； </w:t>
            </w:r>
            <w:r>
              <w:rPr>
                <w:spacing w:val="1"/>
                <w:sz w:val="18"/>
                <w:szCs w:val="18"/>
              </w:rPr>
              <w:t>逐步取消平板玻璃、建筑陶瓷企业脱硫脱硝旁路或设置</w:t>
            </w:r>
            <w:r>
              <w:rPr>
                <w:sz w:val="18"/>
                <w:szCs w:val="18"/>
              </w:rPr>
              <w:t xml:space="preserve">备用脱硫脱 </w:t>
            </w:r>
            <w:r>
              <w:rPr>
                <w:spacing w:val="1"/>
                <w:sz w:val="18"/>
                <w:szCs w:val="18"/>
              </w:rPr>
              <w:t>硝设施；鼓励水泥企业实施全流程污染深度治理。现有</w:t>
            </w:r>
            <w:r>
              <w:rPr>
                <w:sz w:val="18"/>
                <w:szCs w:val="18"/>
              </w:rPr>
              <w:t xml:space="preserve">工业炉窑和 </w:t>
            </w:r>
            <w:r>
              <w:rPr>
                <w:spacing w:val="14"/>
                <w:sz w:val="18"/>
                <w:szCs w:val="18"/>
              </w:rPr>
              <w:t>新建工业炉窑项目除应执行《工业窑炉大气污</w:t>
            </w:r>
            <w:r>
              <w:rPr>
                <w:spacing w:val="13"/>
                <w:sz w:val="18"/>
                <w:szCs w:val="18"/>
              </w:rPr>
              <w:t xml:space="preserve">染物排放标准》 </w:t>
            </w:r>
            <w:r>
              <w:rPr>
                <w:spacing w:val="-2"/>
                <w:sz w:val="18"/>
                <w:szCs w:val="1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DB37/2375-2019</w:t>
            </w:r>
            <w:r>
              <w:rPr>
                <w:spacing w:val="-2"/>
                <w:sz w:val="18"/>
                <w:szCs w:val="18"/>
              </w:rPr>
              <w:t>）外，还应按规定达到</w:t>
            </w:r>
            <w:r>
              <w:rPr>
                <w:spacing w:val="-3"/>
                <w:sz w:val="18"/>
                <w:szCs w:val="18"/>
              </w:rPr>
              <w:t>国家标准中特别排放限值。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铸造行业烧结、高炉工序污染物排放控制按照钢铁行业</w:t>
            </w:r>
            <w:r>
              <w:rPr>
                <w:sz w:val="18"/>
                <w:szCs w:val="18"/>
              </w:rPr>
              <w:t xml:space="preserve">相关标准要 </w:t>
            </w:r>
            <w:r>
              <w:rPr>
                <w:spacing w:val="-2"/>
                <w:sz w:val="18"/>
                <w:szCs w:val="18"/>
              </w:rPr>
              <w:t>求执行。</w:t>
            </w:r>
          </w:p>
          <w:p>
            <w:pPr>
              <w:pStyle w:val="TableText"/>
              <w:spacing w:before="20" w:line="235" w:lineRule="auto"/>
              <w:ind w:left="105" w:right="9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</w:t>
            </w:r>
            <w:r>
              <w:rPr>
                <w:spacing w:val="-2"/>
                <w:sz w:val="18"/>
                <w:szCs w:val="18"/>
              </w:rPr>
              <w:t>、钢铁行业升级改造，执行《山东省钢铁行业超低排放改造实施方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案》《关于加快六大高耗能行业高质量发展的实施方案》中相关规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定，推动现有（含新建和搬迁）钢铁企业超低排放改造，确保大气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污染物有组织排放、无组织排放符合特别排放限值要求；钢铁冶炼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流程进一步优化。</w:t>
            </w:r>
          </w:p>
          <w:p>
            <w:pPr>
              <w:pStyle w:val="TableText"/>
              <w:spacing w:before="21" w:line="229" w:lineRule="auto"/>
              <w:ind w:left="103" w:right="93" w:hanging="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 xml:space="preserve">、加快焦化行业、水泥行业升级改造，到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2023  </w:t>
            </w:r>
            <w:r>
              <w:rPr>
                <w:spacing w:val="-3"/>
                <w:sz w:val="18"/>
                <w:szCs w:val="18"/>
              </w:rPr>
              <w:t>年</w:t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月底前完成超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低排放改造。</w:t>
            </w:r>
          </w:p>
          <w:p>
            <w:pPr>
              <w:pStyle w:val="TableText"/>
              <w:spacing w:before="23" w:line="239" w:lineRule="auto"/>
              <w:ind w:left="104" w:right="93" w:firstLine="2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、化工行业升级改造，执行《关于加快六大高耗能行业高质量发展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的实施方案》中相关规定，合成氨和尿素产能控制在现有水平，洁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 xml:space="preserve">净煤气化占合成氨总产能的比重提高到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90%</w:t>
            </w:r>
            <w:r>
              <w:rPr>
                <w:spacing w:val="-1"/>
                <w:sz w:val="18"/>
                <w:szCs w:val="18"/>
              </w:rPr>
              <w:t>左右，固定床气化炉淘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 xml:space="preserve">汰率达到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90%</w:t>
            </w:r>
            <w:r>
              <w:rPr>
                <w:spacing w:val="-1"/>
                <w:sz w:val="18"/>
                <w:szCs w:val="18"/>
              </w:rPr>
              <w:t>以上，尿素生产企业固定床气化炉全部予以淘汰，氮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肥行业基本实现第三代洁净煤气化，煤气化制氨和精细化学品工艺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达到国际先进水平；废气排放总量减少</w:t>
            </w:r>
            <w:r>
              <w:rPr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50%</w:t>
            </w:r>
            <w:r>
              <w:rPr>
                <w:spacing w:val="-3"/>
                <w:sz w:val="18"/>
                <w:szCs w:val="18"/>
              </w:rPr>
              <w:t>；到</w:t>
            </w:r>
            <w:r>
              <w:rPr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2022 </w:t>
            </w:r>
            <w:r>
              <w:rPr>
                <w:spacing w:val="-3"/>
                <w:sz w:val="18"/>
                <w:szCs w:val="18"/>
              </w:rPr>
              <w:t>年，氯碱行业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电解单元吨碱能耗强度由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360 </w:t>
            </w:r>
            <w:r>
              <w:rPr>
                <w:spacing w:val="1"/>
                <w:sz w:val="18"/>
                <w:szCs w:val="18"/>
              </w:rPr>
              <w:t>千克标准</w:t>
            </w:r>
            <w:r>
              <w:rPr>
                <w:sz w:val="18"/>
                <w:szCs w:val="18"/>
              </w:rPr>
              <w:t>煤下降到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325 </w:t>
            </w:r>
            <w:r>
              <w:rPr>
                <w:sz w:val="18"/>
                <w:szCs w:val="18"/>
              </w:rPr>
              <w:t>千克标准煤， 对能耗达不到标准的电解槽予以淘汰，确保行业能耗总量减少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左右；液氯就地消化率提高到</w:t>
            </w:r>
            <w:r>
              <w:rPr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85%</w:t>
            </w:r>
            <w:r>
              <w:rPr>
                <w:sz w:val="18"/>
                <w:szCs w:val="18"/>
              </w:rPr>
              <w:t xml:space="preserve">以上，显著降低液氯道路运输安 </w:t>
            </w:r>
            <w:r>
              <w:rPr>
                <w:spacing w:val="1"/>
                <w:sz w:val="18"/>
                <w:szCs w:val="18"/>
              </w:rPr>
              <w:t>全风险；烧碱电解装备技术达到世界先进水平，膜极距改造率达到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100%</w:t>
            </w:r>
            <w:r>
              <w:rPr>
                <w:spacing w:val="-2"/>
                <w:sz w:val="18"/>
                <w:szCs w:val="18"/>
              </w:rPr>
              <w:t>。</w:t>
            </w:r>
          </w:p>
          <w:p>
            <w:pPr>
              <w:pStyle w:val="TableText"/>
              <w:spacing w:before="2" w:line="234" w:lineRule="auto"/>
              <w:ind w:left="104" w:right="93" w:firstLine="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、涉挥发性有机物行业升级改造，执行《山东省涉挥发性有机物企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业分行业治理指导意见》等相关规定，石化、化工、工业涂装、包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装印刷等重点行业推行源头替代、加强过程控制和末端治理，新、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 xml:space="preserve">改、扩建工业涂装、包装印刷等含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VOCs  </w:t>
            </w:r>
            <w:r>
              <w:rPr>
                <w:spacing w:val="-2"/>
                <w:sz w:val="18"/>
                <w:szCs w:val="18"/>
              </w:rPr>
              <w:t>原辅材料使用的项目，原</w:t>
            </w:r>
          </w:p>
        </w:tc>
        <w:tc>
          <w:tcPr>
            <w:tcW w:w="803" w:type="dxa"/>
            <w:vAlign w:val="top"/>
          </w:tcPr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pStyle w:val="TableText"/>
              <w:spacing w:before="59" w:line="239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本</w:t>
            </w:r>
            <w:r>
              <w:rPr>
                <w:spacing w:val="78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项</w:t>
            </w:r>
          </w:p>
          <w:p>
            <w:pPr>
              <w:pStyle w:val="TableText"/>
              <w:spacing w:line="221" w:lineRule="auto"/>
              <w:ind w:left="148"/>
              <w:rPr>
                <w:sz w:val="18"/>
                <w:szCs w:val="18"/>
              </w:rPr>
            </w:pPr>
            <w:r>
              <w:rPr>
                <w:spacing w:val="-21"/>
                <w:sz w:val="18"/>
                <w:szCs w:val="18"/>
              </w:rPr>
              <w:t>目</w:t>
            </w:r>
            <w:r>
              <w:rPr>
                <w:spacing w:val="77"/>
                <w:sz w:val="18"/>
                <w:szCs w:val="18"/>
              </w:rPr>
              <w:t xml:space="preserve"> </w:t>
            </w:r>
            <w:r>
              <w:rPr>
                <w:spacing w:val="-21"/>
                <w:sz w:val="18"/>
                <w:szCs w:val="18"/>
              </w:rPr>
              <w:t>为</w:t>
            </w:r>
          </w:p>
          <w:p>
            <w:pPr>
              <w:pStyle w:val="TableText"/>
              <w:spacing w:before="16" w:line="221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新</w:t>
            </w:r>
            <w:r>
              <w:rPr>
                <w:spacing w:val="77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建</w:t>
            </w:r>
          </w:p>
          <w:p>
            <w:pPr>
              <w:pStyle w:val="TableText"/>
              <w:spacing w:before="19" w:line="221" w:lineRule="auto"/>
              <w:ind w:left="11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项目，</w:t>
            </w:r>
          </w:p>
          <w:p>
            <w:pPr>
              <w:pStyle w:val="TableText"/>
              <w:spacing w:before="17" w:line="221" w:lineRule="auto"/>
              <w:ind w:left="11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无</w:t>
            </w:r>
            <w:r>
              <w:rPr>
                <w:spacing w:val="77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现</w:t>
            </w:r>
          </w:p>
          <w:p>
            <w:pPr>
              <w:pStyle w:val="TableText"/>
              <w:spacing w:before="17" w:line="221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有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污</w:t>
            </w:r>
          </w:p>
          <w:p>
            <w:pPr>
              <w:pStyle w:val="TableText"/>
              <w:spacing w:before="18" w:line="221" w:lineRule="auto"/>
              <w:ind w:left="11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染源，</w:t>
            </w:r>
          </w:p>
          <w:p>
            <w:pPr>
              <w:pStyle w:val="TableText"/>
              <w:spacing w:before="20" w:line="220" w:lineRule="auto"/>
              <w:ind w:left="11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符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合</w:t>
            </w:r>
          </w:p>
          <w:p>
            <w:pPr>
              <w:pStyle w:val="TableText"/>
              <w:spacing w:before="17" w:line="222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要求</w:t>
            </w:r>
          </w:p>
        </w:tc>
      </w:tr>
    </w:tbl>
    <w:p>
      <w:pPr>
        <w:pStyle w:val="BodyText"/>
      </w:pPr>
    </w:p>
    <w:p>
      <w:pPr>
        <w:sectPr>
          <w:footerReference w:type="default" r:id="rId16"/>
          <w:pgSz w:w="11906" w:h="16839"/>
          <w:pgMar w:top="1431" w:right="1564" w:bottom="1240" w:left="1563" w:header="0" w:footer="1078" w:gutter="0"/>
          <w:pgNumType w:start="13"/>
          <w:cols w:num="1" w:space="720"/>
        </w:sectPr>
      </w:pPr>
    </w:p>
    <w:p>
      <w:pPr>
        <w:spacing w:before="28"/>
      </w:pPr>
      <w:r>
        <w:pict>
          <v:rect id="_x0000_s1034" o:spid="_x0000_s1034" style="width:1pt;height:668.25pt;margin-top:86.05pt;margin-left:513.05pt;mso-height-relative:page;mso-position-horizontal-relative:page;mso-position-vertical-relative:page;mso-width-relative:page;position:absolute;z-index:251670528" coordsize="21600,21600" o:allowincell="f" filled="t" fillcolor="black" stroked="f"/>
        </w:pict>
      </w:r>
      <w:r>
        <w:pict>
          <v:rect id="_x0000_s1035" o:spid="_x0000_s1035" style="width:357.95pt;height:1pt;margin-top:754.25pt;margin-left:156.1pt;mso-height-relative:page;mso-position-horizontal-relative:page;mso-position-vertical-relative:page;mso-width-relative:page;position:absolute;z-index:251668480" coordsize="21600,21600" o:allowincell="f" filled="t" fillcolor="black" stroked="f"/>
        </w:pict>
      </w:r>
    </w:p>
    <w:tbl>
      <w:tblPr>
        <w:tblStyle w:val="TableNormal012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6"/>
        <w:gridCol w:w="509"/>
        <w:gridCol w:w="415"/>
        <w:gridCol w:w="5470"/>
        <w:gridCol w:w="803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6"/>
        </w:trPr>
        <w:tc>
          <w:tcPr>
            <w:tcW w:w="1566" w:type="dxa"/>
            <w:vMerge w:val="restart"/>
            <w:tcBorders>
              <w:bottom w:val="nil"/>
            </w:tcBorders>
            <w:vAlign w:val="top"/>
          </w:tcPr>
          <w:p>
            <w:r>
              <w:pict>
                <v:rect id="_x0000_s1036" o:spid="_x0000_s1036" style="width:0.5pt;height:670.8pt;margin-top:0.95pt;margin-left:74.8pt;mso-height-relative:page;mso-position-horizontal-relative:page;mso-position-vertical-relative:page;mso-width-relative:page;position:absolute;z-index:251669504" coordsize="21600,21600" filled="t" fillcolor="black" stroked="f"/>
              </w:pict>
            </w:r>
          </w:p>
        </w:tc>
        <w:tc>
          <w:tcPr>
            <w:tcW w:w="509" w:type="dxa"/>
            <w:vAlign w:val="top"/>
          </w:tcPr>
          <w:p/>
        </w:tc>
        <w:tc>
          <w:tcPr>
            <w:tcW w:w="415" w:type="dxa"/>
            <w:vAlign w:val="top"/>
          </w:tcPr>
          <w:p/>
        </w:tc>
        <w:tc>
          <w:tcPr>
            <w:tcW w:w="5470" w:type="dxa"/>
            <w:vAlign w:val="top"/>
          </w:tcPr>
          <w:p>
            <w:pPr>
              <w:pStyle w:val="TableText"/>
              <w:spacing w:before="53" w:line="237" w:lineRule="auto"/>
              <w:ind w:left="99" w:right="93" w:firstLine="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则上使用低（无）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VOCs  </w:t>
            </w:r>
            <w:r>
              <w:rPr>
                <w:spacing w:val="-2"/>
                <w:sz w:val="18"/>
                <w:szCs w:val="18"/>
              </w:rPr>
              <w:t xml:space="preserve">含量产品。现有高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VOCs  </w:t>
            </w:r>
            <w:r>
              <w:rPr>
                <w:spacing w:val="-2"/>
                <w:sz w:val="18"/>
                <w:szCs w:val="18"/>
              </w:rPr>
              <w:t>含量产品生产企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业要加快产品升级转型，提高水性、高固体分、无溶剂、粉末等低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VOCs  </w:t>
            </w:r>
            <w:r>
              <w:rPr>
                <w:spacing w:val="-1"/>
                <w:sz w:val="18"/>
                <w:szCs w:val="18"/>
              </w:rPr>
              <w:t xml:space="preserve">含量产品的比重。加大重点行业低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VOCs  </w:t>
            </w:r>
            <w:r>
              <w:rPr>
                <w:spacing w:val="-2"/>
                <w:sz w:val="18"/>
                <w:szCs w:val="18"/>
              </w:rPr>
              <w:t>含量原辅材料的源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头替代力度。加强挥发性有机物（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VOCs</w:t>
            </w:r>
            <w:r>
              <w:rPr>
                <w:spacing w:val="-2"/>
                <w:sz w:val="18"/>
                <w:szCs w:val="18"/>
              </w:rPr>
              <w:t>）废气收集与治理，建设有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 xml:space="preserve">效的废气收集系统和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 xml:space="preserve">处理设施，所有涉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VOCs  </w:t>
            </w:r>
            <w:r>
              <w:rPr>
                <w:spacing w:val="-3"/>
                <w:sz w:val="18"/>
                <w:szCs w:val="18"/>
              </w:rPr>
              <w:t>排放企业应全</w:t>
            </w:r>
            <w:r>
              <w:rPr>
                <w:sz w:val="18"/>
                <w:szCs w:val="18"/>
              </w:rPr>
              <w:t xml:space="preserve"> 面执行《挥发性有机物无组织排放控制标准》（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GB37822-2019</w:t>
            </w:r>
            <w:r>
              <w:rPr>
                <w:sz w:val="18"/>
                <w:szCs w:val="18"/>
              </w:rPr>
              <w:t xml:space="preserve">）， </w:t>
            </w:r>
            <w:r>
              <w:rPr>
                <w:spacing w:val="-1"/>
                <w:sz w:val="18"/>
                <w:szCs w:val="18"/>
              </w:rPr>
              <w:t xml:space="preserve">重点排放源确保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VOCs  </w:t>
            </w:r>
            <w:r>
              <w:rPr>
                <w:spacing w:val="-1"/>
                <w:sz w:val="18"/>
                <w:szCs w:val="18"/>
              </w:rPr>
              <w:t xml:space="preserve">处理效率均达到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80%</w:t>
            </w:r>
            <w:r>
              <w:rPr>
                <w:spacing w:val="-1"/>
                <w:sz w:val="18"/>
                <w:szCs w:val="18"/>
              </w:rPr>
              <w:t xml:space="preserve">以上，确保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VOCs  </w:t>
            </w:r>
            <w:r>
              <w:rPr>
                <w:spacing w:val="-1"/>
                <w:sz w:val="18"/>
                <w:szCs w:val="18"/>
              </w:rPr>
              <w:t>达</w:t>
            </w:r>
            <w:r>
              <w:rPr>
                <w:spacing w:val="18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标排放。</w:t>
            </w:r>
          </w:p>
          <w:p>
            <w:pPr>
              <w:pStyle w:val="TableText"/>
              <w:spacing w:before="17" w:line="233" w:lineRule="auto"/>
              <w:ind w:left="104" w:right="79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、涉重金属重点行业企业升级改造，执行《土壤污染防治计划》、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《关于加强涉重金属行业污染防控的意见》《山东省土壤污染防治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工作方案》中相关规定，推进化工、焦化、电镀、制革、铅蓄电池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制造、聚氯乙烯（电石法工艺使用含汞催化剂）等涉重金属重点行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业实施清洁生产技术改造。</w:t>
            </w:r>
          </w:p>
        </w:tc>
        <w:tc>
          <w:tcPr>
            <w:tcW w:w="803" w:type="dxa"/>
            <w:vAlign w:val="top"/>
          </w:tcPr>
          <w:p/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1"/>
        </w:trPr>
        <w:tc>
          <w:tcPr>
            <w:tcW w:w="1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09" w:type="dxa"/>
            <w:textDirection w:val="tbRlV"/>
            <w:vAlign w:val="top"/>
          </w:tcPr>
          <w:p>
            <w:pPr>
              <w:pStyle w:val="TableText"/>
              <w:spacing w:before="155" w:line="219" w:lineRule="auto"/>
              <w:ind w:left="2437"/>
              <w:rPr>
                <w:sz w:val="18"/>
                <w:szCs w:val="18"/>
              </w:rPr>
            </w:pPr>
            <w:r>
              <w:rPr>
                <w:spacing w:val="10"/>
                <w:sz w:val="18"/>
                <w:szCs w:val="18"/>
              </w:rPr>
              <w:t>环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境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风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险</w:t>
            </w:r>
            <w:r>
              <w:rPr>
                <w:spacing w:val="-35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控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制</w:t>
            </w:r>
          </w:p>
        </w:tc>
        <w:tc>
          <w:tcPr>
            <w:tcW w:w="415" w:type="dxa"/>
            <w:textDirection w:val="tbRlV"/>
            <w:vAlign w:val="top"/>
          </w:tcPr>
          <w:p>
            <w:pPr>
              <w:pStyle w:val="TableText"/>
              <w:spacing w:before="107" w:line="219" w:lineRule="auto"/>
              <w:ind w:left="2437"/>
              <w:rPr>
                <w:sz w:val="18"/>
                <w:szCs w:val="18"/>
              </w:rPr>
            </w:pPr>
            <w:r>
              <w:rPr>
                <w:spacing w:val="10"/>
                <w:sz w:val="18"/>
                <w:szCs w:val="18"/>
              </w:rPr>
              <w:t>联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防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联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控</w:t>
            </w:r>
            <w:r>
              <w:rPr>
                <w:spacing w:val="-35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要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求</w:t>
            </w:r>
          </w:p>
        </w:tc>
        <w:tc>
          <w:tcPr>
            <w:tcW w:w="5470" w:type="dxa"/>
            <w:vAlign w:val="top"/>
          </w:tcPr>
          <w:p>
            <w:pPr>
              <w:pStyle w:val="TableText"/>
              <w:spacing w:before="24" w:line="229" w:lineRule="auto"/>
              <w:ind w:left="105" w:right="93" w:firstLine="1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、建立自然资源（规划）、发改、工信、住建、交通运输、生态环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境、公安等部门间的信息沟通机制，实行联动监管。</w:t>
            </w:r>
          </w:p>
          <w:p>
            <w:pPr>
              <w:pStyle w:val="TableText"/>
              <w:spacing w:before="22" w:line="237" w:lineRule="auto"/>
              <w:ind w:left="103" w:right="93" w:hanging="2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、与山东省济南市、聊城市、滨州市及河北</w:t>
            </w:r>
            <w:r>
              <w:rPr>
                <w:spacing w:val="-3"/>
                <w:sz w:val="18"/>
                <w:szCs w:val="18"/>
              </w:rPr>
              <w:t>省衡水市、沧州市等城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市建立统一的空气重污染预警会商和应急联动协调机制，逐步实现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预警分级标准、应急措施力度的统一，共同提前采取措施，应对区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域性、大范围重污染天气，最大限度减缓不利扩散条件下污染物的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累积速度，有效遏制污染程度，保障公众健康。以大气污染联防联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控为重点，针对跨区域环境污染等问题组织环保执法力量开展联合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执法、跨区域执法、交叉执法，共同打击违法排污行动。针对可能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对区域大气环境产生重大影响的重点行业规划、园区建设规划和重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大工程项目进行会商。</w:t>
            </w:r>
          </w:p>
          <w:p>
            <w:pPr>
              <w:pStyle w:val="TableText"/>
              <w:spacing w:before="17" w:line="235" w:lineRule="auto"/>
              <w:ind w:left="105" w:right="93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、加强风险源监管，完善应急管理体系，通过智能化利用环境应急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值守、风险隐患排查治理、风险源管理、事故应急指挥等模块全面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提高环保部门应急管理、风险防控和应急处置工作水平，有效预防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各类环境事件。</w:t>
            </w:r>
          </w:p>
          <w:p>
            <w:pPr>
              <w:pStyle w:val="TableText"/>
              <w:spacing w:before="19" w:line="231" w:lineRule="auto"/>
              <w:ind w:left="106" w:right="93" w:hanging="6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4</w:t>
            </w:r>
            <w:r>
              <w:rPr>
                <w:spacing w:val="-2"/>
                <w:sz w:val="18"/>
                <w:szCs w:val="18"/>
              </w:rPr>
              <w:t>、合理布局，严格管控高环境风险项目特别是高环境风险工业项目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建设。</w:t>
            </w:r>
          </w:p>
          <w:p>
            <w:pPr>
              <w:pStyle w:val="TableText"/>
              <w:spacing w:before="17" w:line="229" w:lineRule="auto"/>
              <w:ind w:left="116" w:right="93" w:hanging="10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、加强对危险化学品及危废暂存、运输、处置或利用的管理，最大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限度控制环境风险的产生。</w:t>
            </w:r>
          </w:p>
          <w:p>
            <w:pPr>
              <w:pStyle w:val="TableText"/>
              <w:spacing w:before="17" w:line="235" w:lineRule="auto"/>
              <w:ind w:left="104" w:right="93" w:firstLine="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、化工园区严格按照《山东省化工园区管理办法（试行）》（鲁工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信化工〔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2020</w:t>
            </w:r>
            <w:r>
              <w:rPr>
                <w:spacing w:val="1"/>
                <w:sz w:val="18"/>
                <w:szCs w:val="18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141  </w:t>
            </w:r>
            <w:r>
              <w:rPr>
                <w:spacing w:val="1"/>
                <w:sz w:val="18"/>
                <w:szCs w:val="18"/>
              </w:rPr>
              <w:t>号）具体要求执行，推进化工园区安全生产和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环境管理信息化智能平台建设，实现对园区内企业、重点场所、重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大污染源、重大危险源和基础设施实行风险监控预警。各乡镇现有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的具有风险的化工企业，禁止进行改建和扩建，并加强监管力度。</w:t>
            </w:r>
            <w:r>
              <w:rPr>
                <w:spacing w:val="1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</w:t>
            </w:r>
            <w:r>
              <w:rPr>
                <w:spacing w:val="-2"/>
                <w:sz w:val="18"/>
                <w:szCs w:val="18"/>
              </w:rPr>
              <w:t>、建立土壤和地下水污染隐患排查制度、风险防控体系和长效监管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机制。加强对化工、农药等类型企业（包括已经停产）场地土壤污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染环境风险的防控力度。</w:t>
            </w:r>
          </w:p>
        </w:tc>
        <w:tc>
          <w:tcPr>
            <w:tcW w:w="803" w:type="dxa"/>
            <w:vAlign w:val="top"/>
          </w:tcPr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1" w:lineRule="auto"/>
            </w:pPr>
          </w:p>
          <w:p>
            <w:pPr>
              <w:pStyle w:val="TableText"/>
              <w:spacing w:before="59" w:line="239" w:lineRule="auto"/>
              <w:ind w:left="11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项</w:t>
            </w:r>
            <w:r>
              <w:rPr>
                <w:spacing w:val="9"/>
                <w:sz w:val="18"/>
                <w:szCs w:val="18"/>
              </w:rPr>
              <w:t xml:space="preserve">  </w:t>
            </w:r>
            <w:r>
              <w:rPr>
                <w:spacing w:val="-5"/>
                <w:sz w:val="18"/>
                <w:szCs w:val="18"/>
              </w:rPr>
              <w:t>目</w:t>
            </w:r>
          </w:p>
          <w:p>
            <w:pPr>
              <w:pStyle w:val="TableText"/>
              <w:spacing w:line="220" w:lineRule="auto"/>
              <w:ind w:left="11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无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重</w:t>
            </w:r>
          </w:p>
          <w:p>
            <w:pPr>
              <w:pStyle w:val="TableText"/>
              <w:spacing w:before="17" w:line="221" w:lineRule="auto"/>
              <w:ind w:left="11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大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风</w:t>
            </w:r>
          </w:p>
          <w:p>
            <w:pPr>
              <w:pStyle w:val="TableText"/>
              <w:spacing w:before="19" w:line="239" w:lineRule="auto"/>
              <w:ind w:left="12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险源，</w:t>
            </w:r>
          </w:p>
          <w:p>
            <w:pPr>
              <w:pStyle w:val="TableText"/>
              <w:spacing w:line="220" w:lineRule="auto"/>
              <w:ind w:left="11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污</w:t>
            </w:r>
            <w:r>
              <w:rPr>
                <w:spacing w:val="78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染</w:t>
            </w:r>
          </w:p>
          <w:p>
            <w:pPr>
              <w:pStyle w:val="TableText"/>
              <w:spacing w:before="18" w:line="221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环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境</w:t>
            </w:r>
          </w:p>
          <w:p>
            <w:pPr>
              <w:pStyle w:val="TableText"/>
              <w:spacing w:before="19" w:line="221" w:lineRule="auto"/>
              <w:ind w:left="128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的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11"/>
                <w:sz w:val="18"/>
                <w:szCs w:val="18"/>
              </w:rPr>
              <w:t>风</w:t>
            </w:r>
          </w:p>
          <w:p>
            <w:pPr>
              <w:pStyle w:val="TableText"/>
              <w:spacing w:before="18" w:line="221" w:lineRule="auto"/>
              <w:ind w:left="124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险</w:t>
            </w:r>
            <w:r>
              <w:rPr>
                <w:spacing w:val="75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较</w:t>
            </w:r>
          </w:p>
          <w:p>
            <w:pPr>
              <w:pStyle w:val="TableText"/>
              <w:spacing w:before="17" w:line="220" w:lineRule="auto"/>
              <w:ind w:left="119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小，符</w:t>
            </w:r>
          </w:p>
          <w:p>
            <w:pPr>
              <w:pStyle w:val="TableText"/>
              <w:spacing w:before="19" w:line="223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合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要</w:t>
            </w:r>
          </w:p>
          <w:p>
            <w:pPr>
              <w:pStyle w:val="TableText"/>
              <w:spacing w:before="17" w:line="222" w:lineRule="auto"/>
              <w:ind w:left="1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7"/>
        </w:trPr>
        <w:tc>
          <w:tcPr>
            <w:tcW w:w="1566" w:type="dxa"/>
            <w:vMerge/>
            <w:tcBorders>
              <w:top w:val="nil"/>
            </w:tcBorders>
            <w:vAlign w:val="top"/>
          </w:tcPr>
          <w:p/>
        </w:tc>
        <w:tc>
          <w:tcPr>
            <w:tcW w:w="509" w:type="dxa"/>
            <w:textDirection w:val="tbRlV"/>
            <w:vAlign w:val="top"/>
          </w:tcPr>
          <w:p>
            <w:pPr>
              <w:pStyle w:val="TableText"/>
              <w:spacing w:before="160" w:line="209" w:lineRule="auto"/>
              <w:ind w:left="1081"/>
              <w:rPr>
                <w:sz w:val="18"/>
                <w:szCs w:val="18"/>
              </w:rPr>
            </w:pPr>
            <w:r>
              <w:rPr>
                <w:spacing w:val="16"/>
                <w:w w:val="117"/>
                <w:sz w:val="18"/>
                <w:szCs w:val="18"/>
              </w:rPr>
              <w:t>资源利用效率要求</w:t>
            </w:r>
          </w:p>
        </w:tc>
        <w:tc>
          <w:tcPr>
            <w:tcW w:w="415" w:type="dxa"/>
            <w:textDirection w:val="tbRlV"/>
            <w:vAlign w:val="top"/>
          </w:tcPr>
          <w:p>
            <w:pPr>
              <w:pStyle w:val="TableText"/>
              <w:spacing w:before="112" w:line="209" w:lineRule="auto"/>
              <w:ind w:left="966"/>
              <w:rPr>
                <w:sz w:val="18"/>
                <w:szCs w:val="18"/>
              </w:rPr>
            </w:pPr>
            <w:r>
              <w:rPr>
                <w:spacing w:val="16"/>
                <w:w w:val="117"/>
                <w:sz w:val="18"/>
                <w:szCs w:val="18"/>
              </w:rPr>
              <w:t>水资源利用总量要求</w:t>
            </w:r>
          </w:p>
        </w:tc>
        <w:tc>
          <w:tcPr>
            <w:tcW w:w="5470" w:type="dxa"/>
            <w:vAlign w:val="top"/>
          </w:tcPr>
          <w:p>
            <w:pPr>
              <w:pStyle w:val="TableText"/>
              <w:spacing w:before="32" w:line="236" w:lineRule="auto"/>
              <w:ind w:left="104" w:right="93" w:firstLine="14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、统筹全市地表水等各类水资源，优先保证生活用水，合理安排农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业用水和工业用水，实行最严格的水咨源管理制度，把水资源作为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最大的刚性约束，加强水资源的开发利用管理。积极开展再生水利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用，提高再生水利用率。严格落实水资源双控制度，健全市具行政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区域规划期及年度用水总量、用水强度控制指标体系，县级以上行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政区制定年度用水控制目标，规模以上用水</w:t>
            </w:r>
            <w:r>
              <w:rPr>
                <w:spacing w:val="-1"/>
                <w:sz w:val="18"/>
                <w:szCs w:val="18"/>
              </w:rPr>
              <w:t>户实行计划用水。</w:t>
            </w:r>
          </w:p>
          <w:p>
            <w:pPr>
              <w:pStyle w:val="TableText"/>
              <w:spacing w:before="19" w:line="233" w:lineRule="auto"/>
              <w:ind w:left="107" w:right="93" w:hanging="6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spacing w:val="-2"/>
                <w:sz w:val="18"/>
                <w:szCs w:val="18"/>
              </w:rPr>
              <w:t>、根据水资源承载能力合理规划区域发展和产业布局。控制高耗水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行业发展和高耗水工业项目建设，加强固定资产投资项目节能节水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审查，严格建设项目水资源论证审查把关。</w:t>
            </w:r>
          </w:p>
          <w:p>
            <w:pPr>
              <w:pStyle w:val="TableText"/>
              <w:spacing w:before="18" w:line="225" w:lineRule="auto"/>
              <w:ind w:left="106" w:right="93" w:hanging="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、创新水权交易措施，用好财税杠杆，实施水价综合改革，倒逼提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升节水效果。</w:t>
            </w:r>
          </w:p>
          <w:p>
            <w:pPr>
              <w:pStyle w:val="TableText"/>
              <w:spacing w:line="242" w:lineRule="auto"/>
              <w:ind w:left="100" w:right="9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4</w:t>
            </w:r>
            <w:r>
              <w:rPr>
                <w:spacing w:val="-3"/>
                <w:sz w:val="18"/>
                <w:szCs w:val="18"/>
              </w:rPr>
              <w:t>、到</w:t>
            </w:r>
            <w:r>
              <w:rPr>
                <w:spacing w:val="-3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2025 </w:t>
            </w:r>
            <w:r>
              <w:rPr>
                <w:spacing w:val="-3"/>
                <w:sz w:val="18"/>
                <w:szCs w:val="18"/>
              </w:rPr>
              <w:t>年，万元</w:t>
            </w:r>
            <w:r>
              <w:rPr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GDP  </w:t>
            </w:r>
            <w:r>
              <w:rPr>
                <w:spacing w:val="-3"/>
                <w:sz w:val="18"/>
                <w:szCs w:val="18"/>
              </w:rPr>
              <w:t>用水量比</w:t>
            </w:r>
            <w:r>
              <w:rPr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2020 </w:t>
            </w:r>
            <w:r>
              <w:rPr>
                <w:spacing w:val="-3"/>
                <w:sz w:val="18"/>
                <w:szCs w:val="18"/>
              </w:rPr>
              <w:t>年下降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10%</w:t>
            </w:r>
            <w:r>
              <w:rPr>
                <w:spacing w:val="-3"/>
                <w:sz w:val="18"/>
                <w:szCs w:val="18"/>
              </w:rPr>
              <w:t>以上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;</w:t>
            </w:r>
            <w:r>
              <w:rPr>
                <w:spacing w:val="-3"/>
                <w:sz w:val="18"/>
                <w:szCs w:val="18"/>
              </w:rPr>
              <w:t>农田灌溉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水有效利用系数达到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0.6381 </w:t>
            </w:r>
            <w:r>
              <w:rPr>
                <w:spacing w:val="-3"/>
                <w:sz w:val="18"/>
                <w:szCs w:val="18"/>
              </w:rPr>
              <w:t xml:space="preserve">左右。到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2035 </w:t>
            </w:r>
            <w:r>
              <w:rPr>
                <w:spacing w:val="-3"/>
                <w:sz w:val="18"/>
                <w:szCs w:val="18"/>
              </w:rPr>
              <w:t>年，万元</w:t>
            </w:r>
            <w:r>
              <w:rPr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GDP  </w:t>
            </w:r>
            <w:r>
              <w:rPr>
                <w:spacing w:val="-3"/>
                <w:sz w:val="18"/>
                <w:szCs w:val="18"/>
              </w:rPr>
              <w:t>用水量比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2020 </w:t>
            </w:r>
            <w:r>
              <w:rPr>
                <w:sz w:val="18"/>
                <w:szCs w:val="18"/>
              </w:rPr>
              <w:t xml:space="preserve">年下降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21%</w:t>
            </w:r>
            <w:r>
              <w:rPr>
                <w:sz w:val="18"/>
                <w:szCs w:val="18"/>
              </w:rPr>
              <w:t>以上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农田灌溉水有效利用系数达到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0.6411 </w:t>
            </w:r>
            <w:r>
              <w:rPr>
                <w:sz w:val="18"/>
                <w:szCs w:val="18"/>
              </w:rPr>
              <w:t xml:space="preserve">左右。 </w:t>
            </w:r>
            <w:r>
              <w:rPr>
                <w:spacing w:val="-1"/>
                <w:sz w:val="18"/>
                <w:szCs w:val="18"/>
              </w:rPr>
              <w:t>加强水资源利用管控，对于城镇建设和生活用水；</w:t>
            </w:r>
          </w:p>
          <w:p>
            <w:pPr>
              <w:pStyle w:val="TableText"/>
              <w:spacing w:before="19" w:line="229" w:lineRule="auto"/>
              <w:ind w:left="101" w:right="51" w:firstLine="17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spacing w:val="-7"/>
                <w:sz w:val="18"/>
                <w:szCs w:val="18"/>
              </w:rPr>
              <w:t>、深入推进城市建成区雨污分流，建设雨水收集、调蓄、利用设施；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、在具备条件的城镇污水处理厂排污口下游建设水质深度净化工</w:t>
            </w:r>
          </w:p>
        </w:tc>
        <w:tc>
          <w:tcPr>
            <w:tcW w:w="803" w:type="dxa"/>
            <w:vAlign w:val="top"/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pStyle w:val="TableText"/>
              <w:spacing w:before="58" w:line="241" w:lineRule="auto"/>
              <w:ind w:left="11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项</w:t>
            </w:r>
            <w:r>
              <w:rPr>
                <w:spacing w:val="9"/>
                <w:sz w:val="18"/>
                <w:szCs w:val="18"/>
              </w:rPr>
              <w:t xml:space="preserve">  </w:t>
            </w:r>
            <w:r>
              <w:rPr>
                <w:spacing w:val="-5"/>
                <w:sz w:val="18"/>
                <w:szCs w:val="18"/>
              </w:rPr>
              <w:t>目</w:t>
            </w:r>
          </w:p>
          <w:p>
            <w:pPr>
              <w:pStyle w:val="TableText"/>
              <w:spacing w:line="220" w:lineRule="auto"/>
              <w:ind w:left="11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用</w:t>
            </w:r>
            <w:r>
              <w:rPr>
                <w:spacing w:val="78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水</w:t>
            </w:r>
          </w:p>
          <w:p>
            <w:pPr>
              <w:pStyle w:val="TableText"/>
              <w:spacing w:before="18" w:line="222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量</w:t>
            </w:r>
            <w:r>
              <w:rPr>
                <w:spacing w:val="75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较</w:t>
            </w:r>
          </w:p>
          <w:p>
            <w:pPr>
              <w:pStyle w:val="TableText"/>
              <w:spacing w:before="16" w:line="220" w:lineRule="auto"/>
              <w:ind w:left="114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少，符</w:t>
            </w:r>
          </w:p>
          <w:p>
            <w:pPr>
              <w:pStyle w:val="TableText"/>
              <w:spacing w:before="18" w:line="223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合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要</w:t>
            </w:r>
          </w:p>
          <w:p>
            <w:pPr>
              <w:pStyle w:val="TableText"/>
              <w:spacing w:before="17" w:line="222" w:lineRule="auto"/>
              <w:ind w:left="1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求</w:t>
            </w:r>
          </w:p>
        </w:tc>
      </w:tr>
    </w:tbl>
    <w:p>
      <w:pPr>
        <w:pStyle w:val="BodyText"/>
      </w:pPr>
    </w:p>
    <w:p>
      <w:pPr>
        <w:sectPr>
          <w:footerReference w:type="default" r:id="rId17"/>
          <w:pgSz w:w="11906" w:h="16839"/>
          <w:pgMar w:top="1431" w:right="1564" w:bottom="1240" w:left="1563" w:header="0" w:footer="1078" w:gutter="0"/>
          <w:pgNumType w:start="14"/>
          <w:cols w:num="1" w:space="720"/>
        </w:sectPr>
      </w:pPr>
    </w:p>
    <w:p>
      <w:pPr>
        <w:spacing w:before="28"/>
      </w:pPr>
    </w:p>
    <w:tbl>
      <w:tblPr>
        <w:tblStyle w:val="TableNormal013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63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4"/>
        </w:trPr>
        <w:tc>
          <w:tcPr>
            <w:tcW w:w="8763" w:type="dxa"/>
            <w:vAlign w:val="top"/>
          </w:tcPr>
          <w:p>
            <w:pPr>
              <w:spacing w:line="52" w:lineRule="auto"/>
              <w:rPr>
                <w:sz w:val="2"/>
              </w:rPr>
            </w:pPr>
            <w:r>
              <w:pict>
                <v:rect id="_x0000_s1037" o:spid="_x0000_s1037" style="width:0.5pt;height:670.8pt;margin-top:0.95pt;margin-left:74.8pt;mso-height-relative:page;mso-position-horizontal-relative:page;mso-position-vertical-relative:page;mso-width-relative:page;position:absolute;z-index:251671552" coordsize="21600,21600" filled="t" fillcolor="black" stroked="f"/>
              </w:pict>
            </w:r>
          </w:p>
          <w:tbl>
            <w:tblPr>
              <w:tblStyle w:val="TableNormal013"/>
              <w:tblW w:w="7143" w:type="dxa"/>
              <w:tblInd w:w="1551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18"/>
              <w:gridCol w:w="415"/>
              <w:gridCol w:w="5468"/>
              <w:gridCol w:w="742"/>
            </w:tblGrid>
            <w:tr>
              <w:tblPrEx>
                <w:tblW w:w="7143" w:type="dxa"/>
                <w:tblInd w:w="1551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26"/>
              </w:trPr>
              <w:tc>
                <w:tcPr>
                  <w:tcW w:w="518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415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546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7" w:line="220" w:lineRule="auto"/>
                    <w:ind w:left="102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程，完善再生水利用的基础设施和政策措施，提高再生水利用率，</w:t>
                  </w:r>
                </w:p>
                <w:p>
                  <w:pPr>
                    <w:pStyle w:val="TableText"/>
                    <w:spacing w:before="19" w:line="229" w:lineRule="auto"/>
                    <w:ind w:left="103" w:right="90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城市建成区景观绿化、市政清洁等原则上应使</w:t>
                  </w:r>
                  <w:r>
                    <w:rPr>
                      <w:spacing w:val="-3"/>
                      <w:sz w:val="18"/>
                      <w:szCs w:val="18"/>
                    </w:rPr>
                    <w:t>用再生水；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、引导和推动合同节水管理，实行节水奖励补</w:t>
                  </w:r>
                  <w:r>
                    <w:rPr>
                      <w:spacing w:val="-2"/>
                      <w:sz w:val="18"/>
                      <w:szCs w:val="18"/>
                    </w:rPr>
                    <w:t>贴制度。</w:t>
                  </w:r>
                </w:p>
                <w:p>
                  <w:pPr>
                    <w:pStyle w:val="TableText"/>
                    <w:spacing w:before="17" w:line="231" w:lineRule="auto"/>
                    <w:ind w:left="104" w:right="96" w:hanging="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、以学校、医院、景区、体育馆等为重点，开展节水改造，普及节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水器具；</w:t>
                  </w:r>
                </w:p>
                <w:p>
                  <w:pPr>
                    <w:pStyle w:val="TableText"/>
                    <w:spacing w:before="19" w:line="229" w:lineRule="auto"/>
                    <w:ind w:left="102" w:right="93" w:firstLine="2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、加强公共供水系统运行监督管理，健全管网检漏机制，推进老旧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破损管网更新改造。</w:t>
                  </w:r>
                </w:p>
                <w:p>
                  <w:pPr>
                    <w:pStyle w:val="TableText"/>
                    <w:spacing w:before="20" w:line="220" w:lineRule="auto"/>
                    <w:ind w:left="102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对于农业用水：</w:t>
                  </w:r>
                </w:p>
                <w:p>
                  <w:pPr>
                    <w:pStyle w:val="TableText"/>
                    <w:spacing w:before="18" w:line="220" w:lineRule="auto"/>
                    <w:ind w:left="117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、坚持因水施种，降低农业水耗；</w:t>
                  </w:r>
                </w:p>
                <w:p>
                  <w:pPr>
                    <w:pStyle w:val="TableText"/>
                    <w:spacing w:before="19" w:line="219" w:lineRule="auto"/>
                    <w:ind w:left="99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、积极推广水肥一体化和测墒灌溉；</w:t>
                  </w:r>
                </w:p>
                <w:p>
                  <w:pPr>
                    <w:pStyle w:val="TableText"/>
                    <w:spacing w:before="19" w:line="229" w:lineRule="auto"/>
                    <w:ind w:left="104" w:right="93" w:hanging="1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</w:t>
                  </w:r>
                  <w:r>
                    <w:rPr>
                      <w:spacing w:val="-2"/>
                      <w:sz w:val="18"/>
                      <w:szCs w:val="18"/>
                    </w:rPr>
                    <w:t>、推行农业灌溉超定额累进加价制度，建立农业用水精准补贴和节</w:t>
                  </w:r>
                  <w:r>
                    <w:rPr>
                      <w:spacing w:val="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水奖励机制；</w:t>
                  </w:r>
                </w:p>
                <w:p>
                  <w:pPr>
                    <w:pStyle w:val="TableText"/>
                    <w:spacing w:before="22" w:line="229" w:lineRule="auto"/>
                    <w:ind w:left="101" w:right="978" w:hanging="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、大中型养殖场推行节水改造，普及节水型养</w:t>
                  </w:r>
                  <w:r>
                    <w:rPr>
                      <w:spacing w:val="-3"/>
                      <w:sz w:val="18"/>
                      <w:szCs w:val="18"/>
                    </w:rPr>
                    <w:t>殖方式。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对于工业用水：</w:t>
                  </w:r>
                </w:p>
                <w:p>
                  <w:pPr>
                    <w:pStyle w:val="TableText"/>
                    <w:spacing w:before="17" w:line="231" w:lineRule="auto"/>
                    <w:ind w:left="104" w:right="93" w:firstLine="12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1</w:t>
                  </w:r>
                  <w:r>
                    <w:rPr>
                      <w:spacing w:val="-2"/>
                      <w:sz w:val="18"/>
                      <w:szCs w:val="18"/>
                    </w:rPr>
                    <w:t>、控工业项目新鲜水使用量，新建主要耗水工</w:t>
                  </w:r>
                  <w:r>
                    <w:rPr>
                      <w:spacing w:val="-3"/>
                      <w:sz w:val="18"/>
                      <w:szCs w:val="18"/>
                    </w:rPr>
                    <w:t>业项目应优先使用再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生水；</w:t>
                  </w:r>
                </w:p>
                <w:p>
                  <w:pPr>
                    <w:pStyle w:val="TableText"/>
                    <w:spacing w:before="17" w:line="233" w:lineRule="auto"/>
                    <w:ind w:left="100" w:right="93" w:hanging="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、推广高效冷却、洗涤、循环用水、再生水</w:t>
                  </w:r>
                  <w:r>
                    <w:rPr>
                      <w:spacing w:val="-3"/>
                      <w:sz w:val="18"/>
                      <w:szCs w:val="18"/>
                    </w:rPr>
                    <w:t>利用、高耗水工艺替代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等先进节水工艺，在主要高耗水行业开展水效领跑者引领行动，推</w:t>
                  </w:r>
                  <w:r>
                    <w:rPr>
                      <w:spacing w:val="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进工业房水资源化利用；</w:t>
                  </w:r>
                </w:p>
                <w:p>
                  <w:pPr>
                    <w:pStyle w:val="TableText"/>
                    <w:spacing w:before="21" w:line="222" w:lineRule="auto"/>
                    <w:ind w:left="103" w:right="9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</w:t>
                  </w:r>
                  <w:r>
                    <w:rPr>
                      <w:spacing w:val="-2"/>
                      <w:sz w:val="18"/>
                      <w:szCs w:val="18"/>
                    </w:rPr>
                    <w:t>、加强水资源管控，区域黄河干流水资源超载地区销号前原则暂停</w:t>
                  </w:r>
                  <w:r>
                    <w:rPr>
                      <w:spacing w:val="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新增以黄河水为水源的取水许可。</w:t>
                  </w:r>
                </w:p>
              </w:tc>
              <w:tc>
                <w:tcPr>
                  <w:tcW w:w="742" w:type="dxa"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7143" w:type="dxa"/>
                <w:tblInd w:w="155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68"/>
              </w:trPr>
              <w:tc>
                <w:tcPr>
                  <w:tcW w:w="51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415" w:type="dxa"/>
                  <w:textDirection w:val="tbRlV"/>
                  <w:vAlign w:val="top"/>
                </w:tcPr>
                <w:p>
                  <w:pPr>
                    <w:pStyle w:val="TableText"/>
                    <w:spacing w:before="114" w:line="208" w:lineRule="auto"/>
                    <w:ind w:left="1543"/>
                    <w:rPr>
                      <w:sz w:val="18"/>
                      <w:szCs w:val="18"/>
                    </w:rPr>
                  </w:pPr>
                  <w:r>
                    <w:rPr>
                      <w:spacing w:val="17"/>
                      <w:w w:val="116"/>
                      <w:sz w:val="18"/>
                      <w:szCs w:val="18"/>
                    </w:rPr>
                    <w:t>地下水开采要求</w:t>
                  </w:r>
                </w:p>
              </w:tc>
              <w:tc>
                <w:tcPr>
                  <w:tcW w:w="5468" w:type="dxa"/>
                  <w:vAlign w:val="top"/>
                </w:tcPr>
                <w:p>
                  <w:pPr>
                    <w:pStyle w:val="TableText"/>
                    <w:spacing w:before="30" w:line="232" w:lineRule="auto"/>
                    <w:ind w:left="103" w:right="93" w:firstLine="13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1</w:t>
                  </w:r>
                  <w:r>
                    <w:rPr>
                      <w:spacing w:val="-2"/>
                      <w:sz w:val="18"/>
                      <w:szCs w:val="18"/>
                    </w:rPr>
                    <w:t>、实行总量与水位双调控制度，区域内取用地</w:t>
                  </w:r>
                  <w:r>
                    <w:rPr>
                      <w:spacing w:val="-3"/>
                      <w:sz w:val="18"/>
                      <w:szCs w:val="18"/>
                    </w:rPr>
                    <w:t>下水总量已达到或超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过控制指标的地区，暂停审批其建设项目新增取用地下水。在地下</w:t>
                  </w:r>
                  <w:r>
                    <w:rPr>
                      <w:spacing w:val="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水超采区内。</w:t>
                  </w:r>
                </w:p>
                <w:p>
                  <w:pPr>
                    <w:pStyle w:val="TableText"/>
                    <w:spacing w:before="19" w:line="229" w:lineRule="auto"/>
                    <w:ind w:left="124" w:right="93" w:hanging="11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除居民生活用水与应急供水外，严禁新增地下水取水量</w:t>
                  </w:r>
                  <w:r>
                    <w:rPr>
                      <w:sz w:val="18"/>
                      <w:szCs w:val="18"/>
                    </w:rPr>
                    <w:t>。在超采区 内确需取用地下水的，要在现有地下水开采总量控制指标内调剂解</w:t>
                  </w:r>
                </w:p>
                <w:p>
                  <w:pPr>
                    <w:pStyle w:val="TableText"/>
                    <w:spacing w:before="21" w:line="239" w:lineRule="auto"/>
                    <w:ind w:left="108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决，并逐步削减</w:t>
                  </w:r>
                </w:p>
                <w:p>
                  <w:pPr>
                    <w:pStyle w:val="TableText"/>
                    <w:spacing w:line="219" w:lineRule="auto"/>
                    <w:ind w:left="10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地下水开采量。</w:t>
                  </w:r>
                </w:p>
                <w:p>
                  <w:pPr>
                    <w:pStyle w:val="TableText"/>
                    <w:spacing w:before="18" w:line="231" w:lineRule="auto"/>
                    <w:ind w:left="102" w:right="36" w:hanging="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2</w:t>
                  </w:r>
                  <w:r>
                    <w:rPr>
                      <w:spacing w:val="-6"/>
                      <w:sz w:val="18"/>
                      <w:szCs w:val="18"/>
                    </w:rPr>
                    <w:t>、对区域内具备使用再生水条件但未充分利用的钢铁、火电、化工、</w:t>
                  </w:r>
                  <w:r>
                    <w:rPr>
                      <w:spacing w:val="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制浆造纸、印染等项目，不得批准其新增取用地下水。</w:t>
                  </w:r>
                </w:p>
                <w:p>
                  <w:pPr>
                    <w:pStyle w:val="TableText"/>
                    <w:spacing w:before="16" w:line="233" w:lineRule="auto"/>
                    <w:ind w:left="104" w:right="93" w:hanging="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、深层地下水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:</w:t>
                  </w:r>
                  <w:r>
                    <w:rPr>
                      <w:spacing w:val="2"/>
                      <w:sz w:val="18"/>
                      <w:szCs w:val="18"/>
                    </w:rPr>
                    <w:t>深层承压水超采区全部划为禁</w:t>
                  </w:r>
                  <w:r>
                    <w:rPr>
                      <w:spacing w:val="1"/>
                      <w:sz w:val="18"/>
                      <w:szCs w:val="18"/>
                    </w:rPr>
                    <w:t>采区，现状深层承压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水开采井要结合替代水源建设逐步封停。逐步关停非生活用水和部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分有水源替</w:t>
                  </w:r>
                </w:p>
                <w:p>
                  <w:pPr>
                    <w:pStyle w:val="TableText"/>
                    <w:spacing w:before="20" w:line="233" w:lineRule="auto"/>
                    <w:ind w:left="103" w:right="93" w:hanging="1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代条件的深层承压水开采井，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 xml:space="preserve">2025  </w:t>
                  </w:r>
                  <w:r>
                    <w:rPr>
                      <w:spacing w:val="-2"/>
                      <w:sz w:val="18"/>
                      <w:szCs w:val="18"/>
                    </w:rPr>
                    <w:t>年前全部关停深层承压水开采井</w:t>
                  </w:r>
                  <w:r>
                    <w:rPr>
                      <w:spacing w:val="1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(</w:t>
                  </w:r>
                  <w:r>
                    <w:rPr>
                      <w:spacing w:val="-1"/>
                      <w:sz w:val="18"/>
                      <w:szCs w:val="18"/>
                    </w:rPr>
                    <w:t>饮用水按照相关要求执行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)</w:t>
                  </w:r>
                  <w:r>
                    <w:rPr>
                      <w:spacing w:val="-1"/>
                      <w:sz w:val="18"/>
                      <w:szCs w:val="18"/>
                    </w:rPr>
                    <w:t>。</w:t>
                  </w:r>
                </w:p>
                <w:p>
                  <w:pPr>
                    <w:pStyle w:val="TableText"/>
                    <w:spacing w:before="12" w:line="233" w:lineRule="auto"/>
                    <w:ind w:left="101" w:right="93" w:hanging="3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、浅层地下水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:</w:t>
                  </w:r>
                  <w:r>
                    <w:rPr>
                      <w:spacing w:val="2"/>
                      <w:sz w:val="18"/>
                      <w:szCs w:val="18"/>
                    </w:rPr>
                    <w:t>浅层地下水超采区全部划定为限采区，</w:t>
                  </w:r>
                  <w:r>
                    <w:rPr>
                      <w:spacing w:val="1"/>
                      <w:sz w:val="18"/>
                      <w:szCs w:val="18"/>
                    </w:rPr>
                    <w:t>超采区内工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业公共供水管网内浅层地下水分期全部封填。工业公共供水管网外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应逐步关停；</w:t>
                  </w:r>
                </w:p>
                <w:p>
                  <w:pPr>
                    <w:pStyle w:val="TableText"/>
                    <w:spacing w:before="19" w:line="226" w:lineRule="auto"/>
                    <w:ind w:left="103" w:right="93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农业公共供水管网落盖地区的自备井要分期全部封埴，井港区主要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通过节水灌溉、地表水源替代等措施压减地下水开采量，农灌机并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不要求封填，作为干旱年份的备用水源以确保粮食安全。</w:t>
                  </w:r>
                </w:p>
              </w:tc>
              <w:tc>
                <w:tcPr>
                  <w:tcW w:w="742" w:type="dxa"/>
                  <w:vAlign w:val="top"/>
                </w:tcPr>
                <w:p>
                  <w:pPr>
                    <w:spacing w:line="252" w:lineRule="auto"/>
                  </w:pPr>
                </w:p>
                <w:p>
                  <w:pPr>
                    <w:spacing w:line="253" w:lineRule="auto"/>
                  </w:pPr>
                </w:p>
                <w:p>
                  <w:pPr>
                    <w:spacing w:line="253" w:lineRule="auto"/>
                  </w:pPr>
                </w:p>
                <w:p>
                  <w:pPr>
                    <w:spacing w:line="253" w:lineRule="auto"/>
                  </w:pPr>
                </w:p>
                <w:p>
                  <w:pPr>
                    <w:pStyle w:val="TableText"/>
                    <w:spacing w:before="59" w:line="238" w:lineRule="auto"/>
                    <w:ind w:left="113" w:right="101" w:firstLine="3"/>
                    <w:rPr>
                      <w:sz w:val="18"/>
                      <w:szCs w:val="18"/>
                    </w:rPr>
                  </w:pPr>
                  <w:r>
                    <w:rPr>
                      <w:spacing w:val="-26"/>
                      <w:sz w:val="18"/>
                      <w:szCs w:val="18"/>
                    </w:rPr>
                    <w:t>项</w:t>
                  </w:r>
                  <w:r>
                    <w:rPr>
                      <w:spacing w:val="9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26"/>
                      <w:sz w:val="18"/>
                      <w:szCs w:val="18"/>
                    </w:rPr>
                    <w:t>目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不</w:t>
                  </w:r>
                  <w:r>
                    <w:rPr>
                      <w:spacing w:val="7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开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采</w:t>
                  </w:r>
                  <w:r>
                    <w:rPr>
                      <w:spacing w:val="7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地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0"/>
                      <w:sz w:val="18"/>
                      <w:szCs w:val="18"/>
                    </w:rPr>
                    <w:t>下水，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用</w:t>
                  </w:r>
                  <w:r>
                    <w:rPr>
                      <w:spacing w:val="7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水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2"/>
                      <w:sz w:val="18"/>
                      <w:szCs w:val="18"/>
                    </w:rPr>
                    <w:t>由</w:t>
                  </w:r>
                  <w:r>
                    <w:rPr>
                      <w:spacing w:val="7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22"/>
                      <w:sz w:val="18"/>
                      <w:szCs w:val="18"/>
                    </w:rPr>
                    <w:t>自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来</w:t>
                  </w:r>
                  <w:r>
                    <w:rPr>
                      <w:spacing w:val="7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水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4"/>
                      <w:sz w:val="18"/>
                      <w:szCs w:val="18"/>
                    </w:rPr>
                    <w:t>管</w:t>
                  </w:r>
                  <w:r>
                    <w:rPr>
                      <w:spacing w:val="8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4"/>
                      <w:sz w:val="18"/>
                      <w:szCs w:val="18"/>
                    </w:rPr>
                    <w:t>网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0"/>
                      <w:sz w:val="18"/>
                      <w:szCs w:val="18"/>
                    </w:rPr>
                    <w:t>提供，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符</w:t>
                  </w:r>
                  <w:r>
                    <w:rPr>
                      <w:spacing w:val="7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合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要求</w:t>
                  </w:r>
                </w:p>
              </w:tc>
            </w:tr>
            <w:tr>
              <w:tblPrEx>
                <w:tblW w:w="7143" w:type="dxa"/>
                <w:tblInd w:w="155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606"/>
              </w:trPr>
              <w:tc>
                <w:tcPr>
                  <w:tcW w:w="518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415" w:type="dxa"/>
                  <w:textDirection w:val="tbRlV"/>
                  <w:vAlign w:val="top"/>
                </w:tcPr>
                <w:p>
                  <w:pPr>
                    <w:pStyle w:val="TableText"/>
                    <w:spacing w:before="114" w:line="209" w:lineRule="auto"/>
                    <w:ind w:left="47"/>
                    <w:rPr>
                      <w:sz w:val="18"/>
                      <w:szCs w:val="18"/>
                    </w:rPr>
                  </w:pPr>
                  <w:r>
                    <w:rPr>
                      <w:spacing w:val="16"/>
                      <w:w w:val="118"/>
                      <w:sz w:val="18"/>
                      <w:szCs w:val="18"/>
                    </w:rPr>
                    <w:t>能源利用总量及效率要求</w:t>
                  </w:r>
                </w:p>
              </w:tc>
              <w:tc>
                <w:tcPr>
                  <w:tcW w:w="5468" w:type="dxa"/>
                  <w:vAlign w:val="top"/>
                </w:tcPr>
                <w:p>
                  <w:pPr>
                    <w:pStyle w:val="TableText"/>
                    <w:spacing w:before="279" w:line="233" w:lineRule="auto"/>
                    <w:ind w:left="103" w:right="93" w:firstLine="13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、 限制高耗能项目特别是高耗能工业项目建设，严格控制</w:t>
                  </w:r>
                  <w:r>
                    <w:rPr>
                      <w:spacing w:val="-1"/>
                      <w:sz w:val="18"/>
                      <w:szCs w:val="18"/>
                    </w:rPr>
                    <w:t>新增煤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耗项目，新（改、扩）建耗煤项目须取得煤炭消费总量控制部门出</w:t>
                  </w:r>
                  <w:r>
                    <w:rPr>
                      <w:spacing w:val="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具的审查意见。</w:t>
                  </w:r>
                </w:p>
                <w:p>
                  <w:pPr>
                    <w:pStyle w:val="TableText"/>
                    <w:spacing w:before="21" w:line="229" w:lineRule="auto"/>
                    <w:ind w:left="105" w:right="93" w:hanging="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、按照能源消费强度和消费总量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“</w:t>
                  </w:r>
                  <w:r>
                    <w:rPr>
                      <w:spacing w:val="-2"/>
                      <w:sz w:val="18"/>
                      <w:szCs w:val="18"/>
                    </w:rPr>
                    <w:t>双控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”</w:t>
                  </w:r>
                  <w:r>
                    <w:rPr>
                      <w:spacing w:val="-2"/>
                      <w:sz w:val="18"/>
                      <w:szCs w:val="18"/>
                    </w:rPr>
                    <w:t>机制要求，制定实施全市煤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炭消费压减工作方案，完成省定减压任务。</w:t>
                  </w:r>
                </w:p>
                <w:p>
                  <w:pPr>
                    <w:pStyle w:val="TableText"/>
                    <w:spacing w:before="19" w:line="233" w:lineRule="auto"/>
                    <w:ind w:left="103" w:right="48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</w:t>
                  </w:r>
                  <w:r>
                    <w:rPr>
                      <w:spacing w:val="-2"/>
                      <w:sz w:val="18"/>
                      <w:szCs w:val="18"/>
                    </w:rPr>
                    <w:t>、各类工业园区与工业集中区应实施热电联产或集中供热改造，全</w:t>
                  </w:r>
                  <w:r>
                    <w:rPr>
                      <w:spacing w:val="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面取消分散的自备燃煤锅炉。在供热供气管网</w:t>
                  </w:r>
                  <w:r>
                    <w:rPr>
                      <w:spacing w:val="-4"/>
                      <w:sz w:val="18"/>
                      <w:szCs w:val="18"/>
                    </w:rPr>
                    <w:t>覆盖不到的其他地区，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应使用清洁能源。</w:t>
                  </w:r>
                </w:p>
                <w:p>
                  <w:pPr>
                    <w:pStyle w:val="TableText"/>
                    <w:spacing w:before="18" w:line="219" w:lineRule="auto"/>
                    <w:ind w:left="98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、逐步提高城镇建成区集中供暖率，减少散煤消耗量。</w:t>
                  </w:r>
                </w:p>
              </w:tc>
              <w:tc>
                <w:tcPr>
                  <w:tcW w:w="742" w:type="dxa"/>
                  <w:vAlign w:val="top"/>
                </w:tcPr>
                <w:p>
                  <w:pPr>
                    <w:pStyle w:val="TableText"/>
                    <w:spacing w:before="160" w:line="238" w:lineRule="auto"/>
                    <w:ind w:left="113" w:right="101" w:firstLine="1"/>
                    <w:rPr>
                      <w:sz w:val="18"/>
                      <w:szCs w:val="18"/>
                    </w:rPr>
                  </w:pPr>
                  <w:r>
                    <w:rPr>
                      <w:spacing w:val="-9"/>
                      <w:sz w:val="18"/>
                      <w:szCs w:val="18"/>
                    </w:rPr>
                    <w:t>本</w:t>
                  </w:r>
                  <w:r>
                    <w:rPr>
                      <w:spacing w:val="7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项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目</w:t>
                  </w:r>
                  <w:r>
                    <w:rPr>
                      <w:spacing w:val="7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不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消</w:t>
                  </w:r>
                  <w:r>
                    <w:rPr>
                      <w:spacing w:val="7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耗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0"/>
                      <w:sz w:val="18"/>
                      <w:szCs w:val="18"/>
                    </w:rPr>
                    <w:t>煤炭，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不</w:t>
                  </w:r>
                  <w:r>
                    <w:rPr>
                      <w:spacing w:val="7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属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0"/>
                      <w:sz w:val="18"/>
                      <w:szCs w:val="18"/>
                    </w:rPr>
                    <w:t>于</w:t>
                  </w:r>
                  <w:r>
                    <w:rPr>
                      <w:spacing w:val="8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0"/>
                      <w:sz w:val="18"/>
                      <w:szCs w:val="18"/>
                    </w:rPr>
                    <w:t>高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耗  能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0"/>
                      <w:sz w:val="18"/>
                      <w:szCs w:val="18"/>
                    </w:rPr>
                    <w:t>项目，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符</w:t>
                  </w:r>
                  <w:r>
                    <w:rPr>
                      <w:spacing w:val="7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合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要求</w:t>
                  </w:r>
                </w:p>
              </w:tc>
            </w:tr>
          </w:tbl>
          <w:p/>
        </w:tc>
      </w:tr>
    </w:tbl>
    <w:p>
      <w:pPr>
        <w:pStyle w:val="BodyText"/>
      </w:pPr>
    </w:p>
    <w:p>
      <w:pPr>
        <w:sectPr>
          <w:footerReference w:type="default" r:id="rId18"/>
          <w:pgSz w:w="11906" w:h="16839"/>
          <w:pgMar w:top="1431" w:right="1564" w:bottom="1240" w:left="1563" w:header="0" w:footer="1078" w:gutter="0"/>
          <w:pgNumType w:start="15"/>
          <w:cols w:num="1" w:space="720"/>
        </w:sectPr>
      </w:pPr>
    </w:p>
    <w:p>
      <w:pPr>
        <w:spacing w:before="28"/>
      </w:pPr>
      <w:r>
        <w:pict>
          <v:rect id="_x0000_s1038" o:spid="_x0000_s1038" style="width:1pt;height:153.75pt;margin-top:87pt;margin-left:513.05pt;mso-height-relative:page;mso-position-horizontal-relative:page;mso-position-vertical-relative:page;mso-width-relative:page;position:absolute;z-index:251673600" coordsize="21600,21600" o:allowincell="f" filled="t" fillcolor="black" stroked="f"/>
        </w:pict>
      </w:r>
    </w:p>
    <w:tbl>
      <w:tblPr>
        <w:tblStyle w:val="TableNormal014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570"/>
        <w:gridCol w:w="415"/>
        <w:gridCol w:w="5470"/>
        <w:gridCol w:w="803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7"/>
        </w:trPr>
        <w:tc>
          <w:tcPr>
            <w:tcW w:w="1505" w:type="dxa"/>
            <w:vMerge w:val="restart"/>
            <w:tcBorders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570" w:type="dxa"/>
            <w:vMerge w:val="restart"/>
            <w:tcBorders>
              <w:left w:val="single" w:sz="2" w:space="0" w:color="000000"/>
              <w:bottom w:val="nil"/>
            </w:tcBorders>
            <w:vAlign w:val="top"/>
          </w:tcPr>
          <w:p>
            <w:r>
              <w:pict>
                <v:rect id="_x0000_s1039" o:spid="_x0000_s1039" style="width:1pt;height:154.75pt;margin-top:1pt;margin-left:2.35pt;mso-height-relative:page;mso-position-horizontal-relative:page;mso-position-vertical-relative:page;mso-width-relative:page;position:absolute;z-index:251672576" coordsize="21600,21600" filled="t" fillcolor="black" stroked="f"/>
              </w:pict>
            </w:r>
          </w:p>
        </w:tc>
        <w:tc>
          <w:tcPr>
            <w:tcW w:w="415" w:type="dxa"/>
            <w:textDirection w:val="tbRlV"/>
            <w:vAlign w:val="top"/>
          </w:tcPr>
          <w:p>
            <w:pPr>
              <w:pStyle w:val="TableText"/>
              <w:spacing w:before="112" w:line="209" w:lineRule="auto"/>
              <w:ind w:left="285"/>
              <w:rPr>
                <w:sz w:val="18"/>
                <w:szCs w:val="18"/>
              </w:rPr>
            </w:pPr>
            <w:r>
              <w:rPr>
                <w:spacing w:val="42"/>
                <w:sz w:val="18"/>
                <w:szCs w:val="18"/>
              </w:rPr>
              <w:t>禁燃区要求</w:t>
            </w:r>
          </w:p>
        </w:tc>
        <w:tc>
          <w:tcPr>
            <w:tcW w:w="5470" w:type="dxa"/>
            <w:vAlign w:val="top"/>
          </w:tcPr>
          <w:p>
            <w:pPr>
              <w:pStyle w:val="TableText"/>
              <w:spacing w:before="167" w:line="232" w:lineRule="auto"/>
              <w:ind w:left="118" w:right="9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</w:t>
            </w:r>
            <w:r>
              <w:rPr>
                <w:spacing w:val="-2"/>
                <w:sz w:val="18"/>
                <w:szCs w:val="18"/>
              </w:rPr>
              <w:t>、各县市区根据实际情况及时调整公布本行政</w:t>
            </w:r>
            <w:r>
              <w:rPr>
                <w:spacing w:val="-3"/>
                <w:sz w:val="18"/>
                <w:szCs w:val="18"/>
              </w:rPr>
              <w:t>区域高污染燃料禁燃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1"/>
                <w:sz w:val="18"/>
                <w:szCs w:val="18"/>
              </w:rPr>
              <w:t>区。</w:t>
            </w:r>
          </w:p>
          <w:p>
            <w:pPr>
              <w:pStyle w:val="TableText"/>
              <w:spacing w:before="12" w:line="231" w:lineRule="auto"/>
              <w:ind w:left="104" w:right="93" w:hanging="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spacing w:val="-2"/>
                <w:sz w:val="18"/>
                <w:szCs w:val="18"/>
              </w:rPr>
              <w:t>、各县市区调整划定的禁燃区应明确管理要求，禁燃区内禁止生产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和销售高污染燃料。</w:t>
            </w:r>
          </w:p>
          <w:p>
            <w:pPr>
              <w:pStyle w:val="TableText"/>
              <w:spacing w:before="18" w:line="230" w:lineRule="auto"/>
              <w:ind w:left="105" w:right="35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3</w:t>
            </w:r>
            <w:r>
              <w:rPr>
                <w:spacing w:val="-6"/>
                <w:sz w:val="18"/>
                <w:szCs w:val="18"/>
              </w:rPr>
              <w:t>、各县市区禁燃区内禁止新建、扩建、改建使用高污染燃料的项目。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土地资源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52" w:line="239" w:lineRule="auto"/>
              <w:ind w:left="11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项</w:t>
            </w:r>
            <w:r>
              <w:rPr>
                <w:spacing w:val="9"/>
                <w:sz w:val="18"/>
                <w:szCs w:val="18"/>
              </w:rPr>
              <w:t xml:space="preserve">  </w:t>
            </w:r>
            <w:r>
              <w:rPr>
                <w:spacing w:val="-5"/>
                <w:sz w:val="18"/>
                <w:szCs w:val="18"/>
              </w:rPr>
              <w:t>目</w:t>
            </w:r>
          </w:p>
          <w:p>
            <w:pPr>
              <w:pStyle w:val="TableText"/>
              <w:spacing w:line="221" w:lineRule="auto"/>
              <w:ind w:left="11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不</w:t>
            </w:r>
            <w:r>
              <w:rPr>
                <w:spacing w:val="79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消</w:t>
            </w:r>
          </w:p>
          <w:p>
            <w:pPr>
              <w:pStyle w:val="TableText"/>
              <w:spacing w:before="16" w:line="220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耗</w:t>
            </w:r>
            <w:r>
              <w:rPr>
                <w:spacing w:val="80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高</w:t>
            </w:r>
          </w:p>
          <w:p>
            <w:pPr>
              <w:pStyle w:val="TableText"/>
              <w:spacing w:before="18" w:line="221" w:lineRule="auto"/>
              <w:ind w:left="11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污</w:t>
            </w:r>
            <w:r>
              <w:rPr>
                <w:spacing w:val="78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染</w:t>
            </w:r>
          </w:p>
          <w:p>
            <w:pPr>
              <w:pStyle w:val="TableText"/>
              <w:spacing w:before="19" w:line="221" w:lineRule="auto"/>
              <w:ind w:left="11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燃料，</w:t>
            </w:r>
          </w:p>
          <w:p>
            <w:pPr>
              <w:pStyle w:val="TableText"/>
              <w:spacing w:before="18" w:line="220" w:lineRule="auto"/>
              <w:ind w:left="11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符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合</w:t>
            </w:r>
          </w:p>
          <w:p>
            <w:pPr>
              <w:pStyle w:val="TableText"/>
              <w:spacing w:before="18" w:line="210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要求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/>
        </w:trPr>
        <w:tc>
          <w:tcPr>
            <w:tcW w:w="1505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570" w:type="dxa"/>
            <w:vMerge/>
            <w:tcBorders>
              <w:top w:val="nil"/>
              <w:left w:val="single" w:sz="2" w:space="0" w:color="000000"/>
            </w:tcBorders>
            <w:vAlign w:val="top"/>
          </w:tcPr>
          <w:p/>
        </w:tc>
        <w:tc>
          <w:tcPr>
            <w:tcW w:w="415" w:type="dxa"/>
            <w:textDirection w:val="tbRlV"/>
            <w:vAlign w:val="top"/>
          </w:tcPr>
          <w:p>
            <w:pPr>
              <w:pStyle w:val="TableText"/>
              <w:spacing w:before="112" w:line="210" w:lineRule="auto"/>
              <w:ind w:left="257"/>
              <w:rPr>
                <w:sz w:val="18"/>
                <w:szCs w:val="18"/>
              </w:rPr>
            </w:pPr>
            <w:r>
              <w:rPr>
                <w:spacing w:val="40"/>
                <w:sz w:val="18"/>
                <w:szCs w:val="18"/>
              </w:rPr>
              <w:t>土地资源</w:t>
            </w:r>
          </w:p>
        </w:tc>
        <w:tc>
          <w:tcPr>
            <w:tcW w:w="5470" w:type="dxa"/>
            <w:vAlign w:val="top"/>
          </w:tcPr>
          <w:p>
            <w:pPr>
              <w:pStyle w:val="TableText"/>
              <w:spacing w:before="140" w:line="229" w:lineRule="auto"/>
              <w:ind w:left="105" w:right="140" w:firstLine="1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 制定建设项目特别是工业项目土地建设投资强度等限制要求，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提高土地利用率。推广共享工厂、共享车间。</w:t>
            </w:r>
          </w:p>
          <w:p>
            <w:pPr>
              <w:pStyle w:val="TableText"/>
              <w:spacing w:before="19" w:line="233" w:lineRule="auto"/>
              <w:ind w:left="104" w:right="93" w:hanging="3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spacing w:val="-2"/>
                <w:sz w:val="18"/>
                <w:szCs w:val="18"/>
              </w:rPr>
              <w:t>、推进工业园区或工业集中区建设，乡镇及街道新等新建工业项目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应进入工业园区或工业集中区，现有工业企业应逐步向工业园区或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工业集中区搬迁，以提高建设用地利用率。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24" w:line="239" w:lineRule="auto"/>
              <w:ind w:left="11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项</w:t>
            </w:r>
            <w:r>
              <w:rPr>
                <w:spacing w:val="9"/>
                <w:sz w:val="18"/>
                <w:szCs w:val="18"/>
              </w:rPr>
              <w:t xml:space="preserve">  </w:t>
            </w:r>
            <w:r>
              <w:rPr>
                <w:spacing w:val="-5"/>
                <w:sz w:val="18"/>
                <w:szCs w:val="18"/>
              </w:rPr>
              <w:t>目</w:t>
            </w:r>
          </w:p>
          <w:p>
            <w:pPr>
              <w:pStyle w:val="TableText"/>
              <w:spacing w:line="221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位</w:t>
            </w:r>
            <w:r>
              <w:rPr>
                <w:spacing w:val="78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于</w:t>
            </w:r>
          </w:p>
          <w:p>
            <w:pPr>
              <w:pStyle w:val="TableText"/>
              <w:spacing w:before="17" w:line="232" w:lineRule="auto"/>
              <w:ind w:left="11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工</w:t>
            </w:r>
            <w:r>
              <w:rPr>
                <w:spacing w:val="74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业</w:t>
            </w:r>
          </w:p>
          <w:p>
            <w:pPr>
              <w:pStyle w:val="TableText"/>
              <w:spacing w:before="8" w:line="222" w:lineRule="auto"/>
              <w:ind w:left="128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园区，</w:t>
            </w:r>
          </w:p>
          <w:p>
            <w:pPr>
              <w:pStyle w:val="TableText"/>
              <w:spacing w:before="16" w:line="220" w:lineRule="auto"/>
              <w:ind w:left="11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符</w:t>
            </w:r>
            <w:r>
              <w:rPr>
                <w:spacing w:val="76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合</w:t>
            </w:r>
          </w:p>
          <w:p>
            <w:pPr>
              <w:pStyle w:val="TableText"/>
              <w:spacing w:before="18" w:line="20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要求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3"/>
        </w:trPr>
        <w:tc>
          <w:tcPr>
            <w:tcW w:w="1505" w:type="dxa"/>
            <w:vMerge/>
            <w:tcBorders>
              <w:top w:val="nil"/>
              <w:right w:val="single" w:sz="2" w:space="0" w:color="000000"/>
            </w:tcBorders>
            <w:vAlign w:val="top"/>
          </w:tcPr>
          <w:p/>
        </w:tc>
        <w:tc>
          <w:tcPr>
            <w:tcW w:w="7258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54" w:line="466" w:lineRule="exact"/>
              <w:ind w:left="593"/>
            </w:pPr>
            <w:r>
              <w:rPr>
                <w:spacing w:val="-1"/>
                <w:position w:val="17"/>
              </w:rPr>
              <w:t>综上，项目符合德州市生态环境准入清单（总则）要求。</w:t>
            </w:r>
          </w:p>
          <w:p>
            <w:pPr>
              <w:pStyle w:val="TableText"/>
              <w:spacing w:line="219" w:lineRule="auto"/>
              <w:ind w:left="591"/>
            </w:pPr>
            <w:r>
              <w:rPr>
                <w:spacing w:val="-1"/>
              </w:rPr>
              <w:t>德州市生态环境准入清单（单元）要求</w:t>
            </w:r>
          </w:p>
          <w:p>
            <w:pPr>
              <w:pStyle w:val="TableText"/>
              <w:spacing w:before="184" w:line="359" w:lineRule="auto"/>
              <w:ind w:left="122" w:firstLine="472"/>
              <w:jc w:val="both"/>
            </w:pPr>
            <w:r>
              <w:rPr>
                <w:spacing w:val="2"/>
              </w:rPr>
              <w:t>项目位于平原经济开发区，属于重点管控单元，与《德州市人</w:t>
            </w:r>
            <w:r>
              <w:rPr>
                <w:spacing w:val="6"/>
              </w:rPr>
              <w:t xml:space="preserve">  </w:t>
            </w:r>
            <w:r>
              <w:rPr>
                <w:spacing w:val="-4"/>
              </w:rPr>
              <w:t>民政府关于印发德州市“三线一单</w:t>
            </w:r>
            <w:r>
              <w:rPr>
                <w:spacing w:val="-76"/>
              </w:rPr>
              <w:t xml:space="preserve"> </w:t>
            </w:r>
            <w:r>
              <w:rPr>
                <w:spacing w:val="-4"/>
              </w:rPr>
              <w:t>”生态环境分区管控方案的通知》</w:t>
            </w:r>
            <w:r>
              <w:t xml:space="preserve"> （德政字</w:t>
            </w:r>
            <w:r>
              <w:rPr>
                <w:rFonts w:ascii="Times New Roman" w:eastAsia="Times New Roman" w:hAnsi="Times New Roman" w:cs="Times New Roman"/>
              </w:rPr>
              <w:t>[2021]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t>号）中附件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3 </w:t>
            </w:r>
            <w:r>
              <w:t>德州市生态环境准入清单（单元）</w:t>
            </w:r>
          </w:p>
          <w:p>
            <w:pPr>
              <w:pStyle w:val="TableText"/>
              <w:spacing w:line="220" w:lineRule="auto"/>
              <w:ind w:left="130"/>
            </w:pPr>
            <w:r>
              <w:rPr>
                <w:spacing w:val="-4"/>
              </w:rPr>
              <w:t>的符合性见下表。</w:t>
            </w:r>
          </w:p>
          <w:p>
            <w:pPr>
              <w:pStyle w:val="TableText"/>
              <w:spacing w:before="174" w:line="223" w:lineRule="auto"/>
              <w:ind w:left="91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sz w:val="20"/>
                <w:szCs w:val="20"/>
              </w:rPr>
              <w:t xml:space="preserve">1-4 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德州市生态环境准入清单（平原经济开发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区工业区）要求</w:t>
            </w:r>
          </w:p>
          <w:tbl>
            <w:tblPr>
              <w:tblStyle w:val="TableNormal014"/>
              <w:tblW w:w="7183" w:type="dxa"/>
              <w:tblInd w:w="31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85"/>
              <w:gridCol w:w="4983"/>
              <w:gridCol w:w="1515"/>
            </w:tblGrid>
            <w:tr>
              <w:tblPrEx>
                <w:tblW w:w="7183" w:type="dxa"/>
                <w:tblInd w:w="31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88"/>
              </w:trPr>
              <w:tc>
                <w:tcPr>
                  <w:tcW w:w="685" w:type="dxa"/>
                  <w:vAlign w:val="top"/>
                </w:tcPr>
                <w:p>
                  <w:pPr>
                    <w:pStyle w:val="TableText"/>
                    <w:spacing w:before="50"/>
                    <w:ind w:left="134" w:right="129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管控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维度</w:t>
                  </w:r>
                </w:p>
              </w:tc>
              <w:tc>
                <w:tcPr>
                  <w:tcW w:w="4983" w:type="dxa"/>
                  <w:vAlign w:val="top"/>
                </w:tcPr>
                <w:p>
                  <w:pPr>
                    <w:pStyle w:val="TableText"/>
                    <w:spacing w:before="188" w:line="228" w:lineRule="auto"/>
                    <w:ind w:left="207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管控要求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44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符合性</w:t>
                  </w:r>
                </w:p>
                <w:p>
                  <w:pPr>
                    <w:pStyle w:val="TableText"/>
                    <w:spacing w:before="23" w:line="229" w:lineRule="auto"/>
                    <w:ind w:left="55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分析</w:t>
                  </w:r>
                </w:p>
              </w:tc>
            </w:tr>
            <w:tr>
              <w:tblPrEx>
                <w:tblW w:w="7183" w:type="dxa"/>
                <w:tblInd w:w="3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23"/>
              </w:trPr>
              <w:tc>
                <w:tcPr>
                  <w:tcW w:w="685" w:type="dxa"/>
                  <w:vAlign w:val="top"/>
                </w:tcPr>
                <w:p>
                  <w:pPr>
                    <w:spacing w:line="302" w:lineRule="auto"/>
                  </w:pPr>
                </w:p>
                <w:p>
                  <w:pPr>
                    <w:spacing w:line="302" w:lineRule="auto"/>
                  </w:pPr>
                </w:p>
                <w:p>
                  <w:pPr>
                    <w:spacing w:line="303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130" w:right="129" w:firstLine="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空间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布局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约束</w:t>
                  </w:r>
                </w:p>
              </w:tc>
              <w:tc>
                <w:tcPr>
                  <w:tcW w:w="4983" w:type="dxa"/>
                  <w:vAlign w:val="top"/>
                </w:tcPr>
                <w:p>
                  <w:pPr>
                    <w:pStyle w:val="TableText"/>
                    <w:spacing w:before="28" w:line="228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1.</w:t>
                  </w:r>
                  <w:r>
                    <w:rPr>
                      <w:spacing w:val="6"/>
                      <w:sz w:val="20"/>
                      <w:szCs w:val="20"/>
                    </w:rPr>
                    <w:t>执行全市空间布局约束要求。</w:t>
                  </w:r>
                </w:p>
                <w:p>
                  <w:pPr>
                    <w:pStyle w:val="TableText"/>
                    <w:spacing w:before="24"/>
                    <w:ind w:left="103" w:right="99" w:hanging="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>2.</w:t>
                  </w:r>
                  <w:r>
                    <w:rPr>
                      <w:spacing w:val="18"/>
                      <w:sz w:val="20"/>
                      <w:szCs w:val="20"/>
                    </w:rPr>
                    <w:t>工业建设建设应符合开发区规划环评中产业准入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要求。</w:t>
                  </w:r>
                </w:p>
                <w:p>
                  <w:pPr>
                    <w:pStyle w:val="TableText"/>
                    <w:spacing w:before="25"/>
                    <w:ind w:left="103" w:right="9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3.</w:t>
                  </w:r>
                  <w:r>
                    <w:rPr>
                      <w:spacing w:val="9"/>
                      <w:sz w:val="20"/>
                      <w:szCs w:val="20"/>
                    </w:rPr>
                    <w:t>项目建设应充分考虑开发区内上下游产业链，</w:t>
                  </w:r>
                  <w:r>
                    <w:rPr>
                      <w:spacing w:val="8"/>
                      <w:sz w:val="20"/>
                      <w:szCs w:val="20"/>
                    </w:rPr>
                    <w:t>突出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产业协同优势。完善智能制造产业链。</w:t>
                  </w:r>
                </w:p>
                <w:p>
                  <w:pPr>
                    <w:pStyle w:val="TableText"/>
                    <w:spacing w:before="22" w:line="246" w:lineRule="auto"/>
                    <w:ind w:left="101" w:right="96" w:hanging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4.</w:t>
                  </w:r>
                  <w:r>
                    <w:rPr>
                      <w:spacing w:val="9"/>
                      <w:sz w:val="20"/>
                      <w:szCs w:val="20"/>
                    </w:rPr>
                    <w:t>禁止印染、制革、电镀、碳素等项目建设。控制用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水量及废水排放量较大的工业项目建设，限制机制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砂、机制石子等废气污染物排放量较大的工业项目建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设。</w:t>
                  </w:r>
                </w:p>
                <w:p>
                  <w:pPr>
                    <w:pStyle w:val="TableText"/>
                    <w:spacing w:before="24" w:line="216" w:lineRule="auto"/>
                    <w:ind w:right="4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5.</w:t>
                  </w:r>
                  <w:r>
                    <w:rPr>
                      <w:spacing w:val="4"/>
                      <w:sz w:val="20"/>
                      <w:szCs w:val="20"/>
                    </w:rPr>
                    <w:t>控制高耗水、高耗能（特别是煤炭）工业项目建设。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pStyle w:val="TableText"/>
                    <w:spacing w:before="26" w:line="248" w:lineRule="auto"/>
                    <w:ind w:left="112" w:right="33" w:firstLine="3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项目执行全市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空间布局约束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>空</w:t>
                  </w:r>
                  <w:r>
                    <w:rPr>
                      <w:spacing w:val="-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>间</w:t>
                  </w:r>
                  <w:r>
                    <w:rPr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>准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>入</w:t>
                  </w:r>
                  <w:r>
                    <w:rPr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 xml:space="preserve">要 </w:t>
                  </w:r>
                  <w:r>
                    <w:rPr>
                      <w:spacing w:val="13"/>
                      <w:sz w:val="20"/>
                      <w:szCs w:val="20"/>
                    </w:rPr>
                    <w:t>求，满足规划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环评产业准入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要求，不属于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禁止建设的高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耗能、高耗水、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高污染项目，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符合。</w:t>
                  </w:r>
                </w:p>
              </w:tc>
            </w:tr>
            <w:tr>
              <w:tblPrEx>
                <w:tblW w:w="7183" w:type="dxa"/>
                <w:tblInd w:w="3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45"/>
              </w:trPr>
              <w:tc>
                <w:tcPr>
                  <w:tcW w:w="685" w:type="dxa"/>
                  <w:vAlign w:val="top"/>
                </w:tcPr>
                <w:p>
                  <w:pPr>
                    <w:spacing w:line="296" w:lineRule="auto"/>
                  </w:pPr>
                </w:p>
                <w:p>
                  <w:pPr>
                    <w:spacing w:line="296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10" w:right="105" w:firstLine="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5"/>
                      <w:sz w:val="20"/>
                      <w:szCs w:val="20"/>
                    </w:rPr>
                    <w:t>污染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6"/>
                      <w:sz w:val="20"/>
                      <w:szCs w:val="20"/>
                    </w:rPr>
                    <w:t>物排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放管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控</w:t>
                  </w:r>
                </w:p>
              </w:tc>
              <w:tc>
                <w:tcPr>
                  <w:tcW w:w="4983" w:type="dxa"/>
                  <w:vAlign w:val="top"/>
                </w:tcPr>
                <w:p>
                  <w:pPr>
                    <w:pStyle w:val="TableText"/>
                    <w:spacing w:before="34" w:line="243" w:lineRule="auto"/>
                    <w:ind w:left="110" w:right="96" w:firstLine="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 xml:space="preserve">1. </w:t>
                  </w:r>
                  <w:r>
                    <w:rPr>
                      <w:spacing w:val="-3"/>
                      <w:sz w:val="20"/>
                      <w:szCs w:val="20"/>
                    </w:rPr>
                    <w:t>执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行</w:t>
                  </w:r>
                  <w:r>
                    <w:rPr>
                      <w:spacing w:val="-4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《 区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域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性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大</w:t>
                  </w:r>
                  <w:r>
                    <w:rPr>
                      <w:spacing w:val="-4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气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污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染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物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综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合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排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放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>标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>准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>》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37/2376)(</w:t>
                  </w:r>
                  <w:r>
                    <w:rPr>
                      <w:spacing w:val="8"/>
                      <w:sz w:val="20"/>
                      <w:szCs w:val="20"/>
                    </w:rPr>
                    <w:t>包括有分区要求的行业标准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)</w:t>
                  </w:r>
                  <w:r>
                    <w:rPr>
                      <w:spacing w:val="8"/>
                      <w:sz w:val="20"/>
                      <w:szCs w:val="20"/>
                    </w:rPr>
                    <w:t>规定的重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点控制区排放标准。</w:t>
                  </w:r>
                </w:p>
                <w:p>
                  <w:pPr>
                    <w:pStyle w:val="TableText"/>
                    <w:spacing w:before="23" w:line="248" w:lineRule="auto"/>
                    <w:ind w:left="99" w:right="2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2.</w:t>
                  </w:r>
                  <w:r>
                    <w:rPr>
                      <w:spacing w:val="10"/>
                      <w:sz w:val="20"/>
                      <w:szCs w:val="20"/>
                    </w:rPr>
                    <w:t>严格控制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排放重点行业新增污染物排放量，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单元内涉及挥发性有机物排放的行业应严格遵守山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东省地方标准《挥发性有机物排放标准》</w:t>
                  </w:r>
                  <w:r>
                    <w:rPr>
                      <w:spacing w:val="-6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>37/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2801</w:t>
                  </w:r>
                  <w:r>
                    <w:rPr>
                      <w:spacing w:val="6"/>
                      <w:sz w:val="20"/>
                      <w:szCs w:val="20"/>
                    </w:rPr>
                    <w:t>）。涉</w:t>
                  </w:r>
                  <w:r>
                    <w:rPr>
                      <w:spacing w:val="-4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企业无组织排放控制执行《挥发性 </w:t>
                  </w:r>
                  <w:r>
                    <w:rPr>
                      <w:spacing w:val="2"/>
                      <w:sz w:val="20"/>
                      <w:szCs w:val="20"/>
                    </w:rPr>
                    <w:t>有机物无组织排放控制标准（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37822</w:t>
                  </w:r>
                  <w:r>
                    <w:rPr>
                      <w:spacing w:val="2"/>
                      <w:sz w:val="20"/>
                      <w:szCs w:val="20"/>
                    </w:rPr>
                    <w:t>）》。玻璃钢、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工业涂装等行业执行《山东省涉挥发性有机物企业分 </w:t>
                  </w:r>
                  <w:r>
                    <w:rPr>
                      <w:spacing w:val="11"/>
                      <w:sz w:val="20"/>
                      <w:szCs w:val="20"/>
                    </w:rPr>
                    <w:t>行业治理指导意见》，推行源头替代、 加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强过程控 </w:t>
                  </w:r>
                  <w:r>
                    <w:rPr>
                      <w:spacing w:val="9"/>
                      <w:sz w:val="20"/>
                      <w:szCs w:val="20"/>
                    </w:rPr>
                    <w:t>制和末端治理，加强挥发性有机物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)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废气收 集 </w:t>
                  </w:r>
                  <w:r>
                    <w:rPr>
                      <w:spacing w:val="17"/>
                      <w:sz w:val="20"/>
                      <w:szCs w:val="20"/>
                    </w:rPr>
                    <w:t>与治理，建设有效的废气收集系统和</w:t>
                  </w:r>
                  <w:r>
                    <w:rPr>
                      <w:spacing w:val="-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7"/>
                      <w:sz w:val="20"/>
                      <w:szCs w:val="20"/>
                    </w:rPr>
                    <w:t>处理设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施。重点排放源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处理效率达到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80%</w:t>
                  </w:r>
                  <w:r>
                    <w:rPr>
                      <w:spacing w:val="8"/>
                      <w:sz w:val="20"/>
                      <w:szCs w:val="20"/>
                    </w:rPr>
                    <w:t>以上。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pStyle w:val="TableText"/>
                    <w:spacing w:before="28" w:line="249" w:lineRule="auto"/>
                    <w:ind w:left="107" w:right="102" w:firstLine="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项目营运期废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气污染物主要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为颗粒物。氨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气，严格按照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相应的排放标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准要求达标排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放，水洗废水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及酸喷淋废水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经污水处理设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施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TW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001</w:t>
                  </w:r>
                  <w:r>
                    <w:rPr>
                      <w:spacing w:val="2"/>
                      <w:sz w:val="20"/>
                      <w:szCs w:val="20"/>
                    </w:rPr>
                    <w:t>（调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9"/>
                      <w:sz w:val="20"/>
                      <w:szCs w:val="20"/>
                    </w:rPr>
                    <w:t>节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20"/>
                      <w:szCs w:val="20"/>
                    </w:rPr>
                    <w:t>+</w:t>
                  </w:r>
                  <w:r>
                    <w:rPr>
                      <w:spacing w:val="29"/>
                      <w:sz w:val="20"/>
                      <w:szCs w:val="20"/>
                    </w:rPr>
                    <w:t>水解酸化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+AO+</w:t>
                  </w:r>
                  <w:r>
                    <w:rPr>
                      <w:spacing w:val="-4"/>
                      <w:sz w:val="20"/>
                      <w:szCs w:val="20"/>
                    </w:rPr>
                    <w:t>沉淀）处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理后经市政污</w:t>
                  </w:r>
                </w:p>
              </w:tc>
            </w:tr>
          </w:tbl>
          <w:p>
            <w:pPr>
              <w:spacing w:line="204" w:lineRule="exact"/>
              <w:rPr>
                <w:sz w:val="17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9"/>
          <w:pgSz w:w="11906" w:h="16839"/>
          <w:pgMar w:top="1431" w:right="1564" w:bottom="1240" w:left="1563" w:header="0" w:footer="1078" w:gutter="0"/>
          <w:pgNumType w:start="16"/>
          <w:cols w:num="1" w:space="720"/>
        </w:sectPr>
      </w:pPr>
    </w:p>
    <w:p>
      <w:pPr>
        <w:spacing w:before="28"/>
      </w:pPr>
      <w:r>
        <w:pict>
          <v:rect id="_x0000_s1040" o:spid="_x0000_s1040" style="width:1pt;height:513.25pt;margin-top:86.05pt;margin-left:514.05pt;mso-height-relative:page;mso-position-horizontal-relative:page;mso-position-vertical-relative:page;mso-width-relative:page;position:absolute;z-index:251674624" coordsize="21600,21600" o:allowincell="f" filled="t" fillcolor="black" stroked="f"/>
        </w:pict>
      </w:r>
    </w:p>
    <w:tbl>
      <w:tblPr>
        <w:tblStyle w:val="TableNormal015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0"/>
        <w:gridCol w:w="606"/>
        <w:gridCol w:w="74"/>
        <w:gridCol w:w="4980"/>
        <w:gridCol w:w="385"/>
        <w:gridCol w:w="1208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7"/>
        </w:trPr>
        <w:tc>
          <w:tcPr>
            <w:tcW w:w="1510" w:type="dxa"/>
            <w:vMerge w:val="restart"/>
            <w:tcBorders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680" w:type="dxa"/>
            <w:gridSpan w:val="2"/>
            <w:tcBorders>
              <w:left w:val="single" w:sz="2" w:space="0" w:color="000000"/>
            </w:tcBorders>
            <w:vAlign w:val="top"/>
          </w:tcPr>
          <w:p/>
        </w:tc>
        <w:tc>
          <w:tcPr>
            <w:tcW w:w="4980" w:type="dxa"/>
            <w:vAlign w:val="top"/>
          </w:tcPr>
          <w:p>
            <w:pPr>
              <w:pStyle w:val="TableText"/>
              <w:spacing w:before="59" w:line="247" w:lineRule="auto"/>
              <w:ind w:left="137" w:right="59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3.</w:t>
            </w:r>
            <w:r>
              <w:rPr>
                <w:spacing w:val="4"/>
                <w:sz w:val="20"/>
                <w:szCs w:val="20"/>
              </w:rPr>
              <w:t xml:space="preserve">执行《流域水污染物综合排放标准第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4  </w:t>
            </w:r>
            <w:r>
              <w:rPr>
                <w:spacing w:val="4"/>
                <w:sz w:val="20"/>
                <w:szCs w:val="20"/>
              </w:rPr>
              <w:t>部分：海河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流域》标准。排入集中污水处理设施的工业企业，所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排废水经预处理后须达到集中处理要求。对影响集中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污水处理设施出水稳定达标的企业进行生产工艺和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污染治理设施升级改造，确保集中污水处理设施出水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稳定达标。</w:t>
            </w:r>
          </w:p>
        </w:tc>
        <w:tc>
          <w:tcPr>
            <w:tcW w:w="1593" w:type="dxa"/>
            <w:gridSpan w:val="2"/>
            <w:vAlign w:val="top"/>
          </w:tcPr>
          <w:p>
            <w:pPr>
              <w:pStyle w:val="TableText"/>
              <w:spacing w:before="61" w:line="248" w:lineRule="auto"/>
              <w:ind w:left="148" w:right="145" w:firstLine="3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水管网排入平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原中设水务有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限公司进行深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度处理。生活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污水经化粪池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处理后，经市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政污水管网排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入平原中设水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务有限公司进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行深度处理，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符合要求。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2"/>
        </w:trPr>
        <w:tc>
          <w:tcPr>
            <w:tcW w:w="1510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680" w:type="dxa"/>
            <w:gridSpan w:val="2"/>
            <w:tcBorders>
              <w:left w:val="single" w:sz="2" w:space="0" w:color="000000"/>
            </w:tcBorders>
            <w:vAlign w:val="top"/>
          </w:tcPr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pStyle w:val="TableText"/>
              <w:spacing w:before="65" w:line="243" w:lineRule="auto"/>
              <w:ind w:left="144" w:right="71"/>
              <w:jc w:val="both"/>
              <w:rPr>
                <w:sz w:val="20"/>
                <w:szCs w:val="20"/>
              </w:rPr>
            </w:pPr>
            <w:r>
              <w:rPr>
                <w:spacing w:val="26"/>
                <w:sz w:val="20"/>
                <w:szCs w:val="20"/>
              </w:rPr>
              <w:t>环境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风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控制</w:t>
            </w:r>
          </w:p>
        </w:tc>
        <w:tc>
          <w:tcPr>
            <w:tcW w:w="4980" w:type="dxa"/>
            <w:vAlign w:val="top"/>
          </w:tcPr>
          <w:p>
            <w:pPr>
              <w:pStyle w:val="TableText"/>
              <w:spacing w:before="74" w:line="244" w:lineRule="auto"/>
              <w:ind w:left="137" w:right="59" w:firstLine="16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1.</w:t>
            </w:r>
            <w:r>
              <w:rPr>
                <w:spacing w:val="8"/>
                <w:sz w:val="20"/>
                <w:szCs w:val="20"/>
              </w:rPr>
              <w:t>建立健全环境风险管控体系，编制应急预案，建设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环境应急管理机构、专职环境救援机构；按照应急预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案要求组织演练。</w:t>
            </w:r>
          </w:p>
          <w:p>
            <w:pPr>
              <w:pStyle w:val="TableText"/>
              <w:spacing w:before="24"/>
              <w:ind w:left="137" w:right="109" w:hanging="4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2.</w:t>
            </w:r>
            <w:r>
              <w:rPr>
                <w:spacing w:val="7"/>
                <w:sz w:val="20"/>
                <w:szCs w:val="20"/>
              </w:rPr>
              <w:t>涉及有毒有害气体的企业应制定并落实监测计划，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开发区应具备相应的特征污染物自行监测能</w:t>
            </w:r>
            <w:r>
              <w:rPr>
                <w:spacing w:val="8"/>
                <w:sz w:val="20"/>
                <w:szCs w:val="20"/>
              </w:rPr>
              <w:t>力。</w:t>
            </w:r>
          </w:p>
          <w:p>
            <w:pPr>
              <w:pStyle w:val="TableText"/>
              <w:spacing w:before="24" w:line="241" w:lineRule="auto"/>
              <w:ind w:left="145" w:right="62" w:hanging="8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3.</w:t>
            </w:r>
            <w:r>
              <w:rPr>
                <w:spacing w:val="9"/>
                <w:sz w:val="20"/>
                <w:szCs w:val="20"/>
              </w:rPr>
              <w:t>按照应急预案要求配置污染物拦截、处置等应</w:t>
            </w:r>
            <w:r>
              <w:rPr>
                <w:spacing w:val="8"/>
                <w:sz w:val="20"/>
                <w:szCs w:val="20"/>
              </w:rPr>
              <w:t>急物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资。</w:t>
            </w:r>
          </w:p>
          <w:p>
            <w:pPr>
              <w:pStyle w:val="TableText"/>
              <w:spacing w:before="21" w:line="244" w:lineRule="auto"/>
              <w:ind w:left="136" w:right="62" w:hanging="4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4.</w:t>
            </w:r>
            <w:r>
              <w:rPr>
                <w:spacing w:val="8"/>
                <w:sz w:val="20"/>
                <w:szCs w:val="20"/>
              </w:rPr>
              <w:t>环境高风险企业（《突发环境事件风险评估报告》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中风险等级为较大或重大的企业）应向保险公司投保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环境污染责任保险。主动公开生态环境相关信息。</w:t>
            </w:r>
          </w:p>
          <w:p>
            <w:pPr>
              <w:pStyle w:val="TableText"/>
              <w:spacing w:before="23" w:line="249" w:lineRule="auto"/>
              <w:ind w:left="136" w:right="59" w:firstLine="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5.</w:t>
            </w:r>
            <w:r>
              <w:rPr>
                <w:spacing w:val="9"/>
                <w:sz w:val="20"/>
                <w:szCs w:val="20"/>
              </w:rPr>
              <w:t>开发区内企业存在生产、储存装置与学校、医院、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居集中区等敏感点的距离应当符合安全、卫生防护等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有关要求。危险化学品生产和储存装置安全防护距离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测算参考《危险化学品生产和储存装置外部安全防护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距离确定方法》（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/T37243)</w:t>
            </w:r>
            <w:r>
              <w:rPr>
                <w:spacing w:val="7"/>
                <w:sz w:val="20"/>
                <w:szCs w:val="20"/>
              </w:rPr>
              <w:t>。</w:t>
            </w:r>
          </w:p>
          <w:p>
            <w:pPr>
              <w:pStyle w:val="TableText"/>
              <w:spacing w:before="14" w:line="244" w:lineRule="auto"/>
              <w:ind w:left="137" w:right="59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6.</w:t>
            </w:r>
            <w:r>
              <w:rPr>
                <w:spacing w:val="9"/>
                <w:sz w:val="20"/>
                <w:szCs w:val="20"/>
              </w:rPr>
              <w:t>对从业和管理人员进行环境和安全专业教育</w:t>
            </w:r>
            <w:r>
              <w:rPr>
                <w:spacing w:val="8"/>
                <w:sz w:val="20"/>
                <w:szCs w:val="20"/>
              </w:rPr>
              <w:t>，提高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环境防控和安全意识以及技术素养，形成与园区环境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和安全风险相匹配的管理能力和管理水平。</w:t>
            </w:r>
          </w:p>
        </w:tc>
        <w:tc>
          <w:tcPr>
            <w:tcW w:w="1593" w:type="dxa"/>
            <w:gridSpan w:val="2"/>
            <w:vAlign w:val="top"/>
          </w:tcPr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3" w:lineRule="auto"/>
            </w:pPr>
          </w:p>
          <w:p>
            <w:pPr>
              <w:pStyle w:val="TableText"/>
              <w:spacing w:before="65" w:line="249" w:lineRule="auto"/>
              <w:ind w:left="149" w:right="145" w:firstLine="3"/>
              <w:jc w:val="both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项目，环境风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险较小，建成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运营期加强环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境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风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险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的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理，编制应急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预案，并定期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开展演练，符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合要求。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/>
        </w:trPr>
        <w:tc>
          <w:tcPr>
            <w:tcW w:w="1510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680" w:type="dxa"/>
            <w:gridSpan w:val="2"/>
            <w:tcBorders>
              <w:left w:val="single" w:sz="2" w:space="0" w:color="000000"/>
            </w:tcBorders>
            <w:vAlign w:val="top"/>
          </w:tcPr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pStyle w:val="TableText"/>
              <w:spacing w:before="65" w:line="246" w:lineRule="auto"/>
              <w:ind w:left="146" w:right="71" w:firstLine="8"/>
              <w:jc w:val="both"/>
              <w:rPr>
                <w:sz w:val="20"/>
                <w:szCs w:val="20"/>
              </w:rPr>
            </w:pPr>
            <w:r>
              <w:rPr>
                <w:spacing w:val="21"/>
                <w:sz w:val="20"/>
                <w:szCs w:val="20"/>
              </w:rPr>
              <w:t>资源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6"/>
                <w:sz w:val="20"/>
                <w:szCs w:val="20"/>
              </w:rPr>
              <w:t>开发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效率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要求</w:t>
            </w:r>
          </w:p>
        </w:tc>
        <w:tc>
          <w:tcPr>
            <w:tcW w:w="4980" w:type="dxa"/>
            <w:vAlign w:val="top"/>
          </w:tcPr>
          <w:p>
            <w:pPr>
              <w:pStyle w:val="TableText"/>
              <w:spacing w:before="51" w:line="244" w:lineRule="auto"/>
              <w:ind w:left="136" w:right="59" w:firstLine="17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>1.</w:t>
            </w:r>
            <w:r>
              <w:rPr>
                <w:spacing w:val="17"/>
                <w:sz w:val="20"/>
                <w:szCs w:val="20"/>
              </w:rPr>
              <w:t>现有高耗水行业水资源消耗强度和污染物排放水</w:t>
            </w:r>
            <w:r>
              <w:rPr>
                <w:spacing w:val="7"/>
                <w:sz w:val="20"/>
                <w:szCs w:val="20"/>
              </w:rPr>
              <w:t xml:space="preserve"> 平应要达到国内同行先进水平，落后工艺限期进行升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级改造。</w:t>
            </w:r>
          </w:p>
          <w:p>
            <w:pPr>
              <w:pStyle w:val="TableText"/>
              <w:spacing w:before="26" w:line="228" w:lineRule="auto"/>
              <w:ind w:left="133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2.</w:t>
            </w:r>
            <w:r>
              <w:rPr>
                <w:spacing w:val="7"/>
                <w:sz w:val="20"/>
                <w:szCs w:val="20"/>
              </w:rPr>
              <w:t>推进重点企业清洁生产审核。</w:t>
            </w:r>
          </w:p>
          <w:p>
            <w:pPr>
              <w:pStyle w:val="TableText"/>
              <w:spacing w:before="22" w:line="246" w:lineRule="auto"/>
              <w:ind w:left="137" w:right="6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3.</w:t>
            </w:r>
            <w:r>
              <w:rPr>
                <w:spacing w:val="9"/>
                <w:sz w:val="20"/>
                <w:szCs w:val="20"/>
              </w:rPr>
              <w:t>提高节水型企业比例，提高工业用水重复利用</w:t>
            </w:r>
            <w:r>
              <w:rPr>
                <w:spacing w:val="8"/>
                <w:sz w:val="20"/>
                <w:szCs w:val="20"/>
              </w:rPr>
              <w:t>率，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提高再生水利用率，降低万元工业增加值新鲜水消耗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量。</w:t>
            </w:r>
          </w:p>
          <w:p>
            <w:pPr>
              <w:pStyle w:val="TableText"/>
              <w:spacing w:before="20" w:line="228" w:lineRule="auto"/>
              <w:ind w:left="13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4.</w:t>
            </w:r>
            <w:r>
              <w:rPr>
                <w:spacing w:val="8"/>
                <w:sz w:val="20"/>
                <w:szCs w:val="20"/>
              </w:rPr>
              <w:t>开展国家生态工业示范园区建设。</w:t>
            </w:r>
          </w:p>
        </w:tc>
        <w:tc>
          <w:tcPr>
            <w:tcW w:w="1593" w:type="dxa"/>
            <w:gridSpan w:val="2"/>
            <w:vAlign w:val="top"/>
          </w:tcPr>
          <w:p>
            <w:pPr>
              <w:spacing w:line="393" w:lineRule="auto"/>
            </w:pPr>
          </w:p>
          <w:p>
            <w:pPr>
              <w:pStyle w:val="TableText"/>
              <w:spacing w:before="65" w:line="247" w:lineRule="auto"/>
              <w:ind w:left="150" w:right="145" w:firstLine="2"/>
              <w:jc w:val="both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项目不使用高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污染燃料，办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公生活倡导节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约用水，符合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要求。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0"/>
        </w:trPr>
        <w:tc>
          <w:tcPr>
            <w:tcW w:w="1510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253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468" w:lineRule="exact"/>
              <w:ind w:left="588"/>
            </w:pPr>
            <w:r>
              <w:rPr>
                <w:spacing w:val="2"/>
                <w:position w:val="17"/>
              </w:rPr>
              <w:t>综上，项目符合德州市生态环境准入清单（平原经济开发区工</w:t>
            </w:r>
          </w:p>
          <w:p>
            <w:pPr>
              <w:pStyle w:val="TableText"/>
              <w:spacing w:line="221" w:lineRule="auto"/>
              <w:ind w:left="105"/>
            </w:pPr>
            <w:r>
              <w:rPr>
                <w:spacing w:val="-2"/>
              </w:rPr>
              <w:t>业区）要求。</w:t>
            </w:r>
          </w:p>
          <w:p>
            <w:pPr>
              <w:pStyle w:val="TableText"/>
              <w:spacing w:before="177" w:line="468" w:lineRule="exact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position w:val="17"/>
              </w:rPr>
              <w:t>3</w:t>
            </w:r>
            <w:r>
              <w:rPr>
                <w:spacing w:val="-10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、与《德州市新一轮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position w:val="17"/>
              </w:rPr>
              <w:t>“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position w:val="17"/>
              </w:rPr>
              <w:t xml:space="preserve"> </w:t>
            </w:r>
            <w:r>
              <w:rPr>
                <w:spacing w:val="-10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四减四增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position w:val="17"/>
              </w:rPr>
              <w:t>”</w:t>
            </w:r>
            <w:r>
              <w:rPr>
                <w:spacing w:val="-10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三年行动方案（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position w:val="17"/>
              </w:rPr>
              <w:t xml:space="preserve">2021-2023 </w:t>
            </w:r>
            <w:r>
              <w:rPr>
                <w:spacing w:val="-10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</w:t>
            </w:r>
          </w:p>
          <w:p>
            <w:pPr>
              <w:pStyle w:val="TableText"/>
              <w:spacing w:line="220" w:lineRule="auto"/>
              <w:ind w:left="10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相关内容符合性分析。</w:t>
            </w:r>
          </w:p>
          <w:p>
            <w:pPr>
              <w:pStyle w:val="TableText"/>
              <w:spacing w:before="174" w:line="228" w:lineRule="auto"/>
              <w:ind w:left="39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1-5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《德州市新一轮“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四减四增</w:t>
            </w:r>
            <w:r>
              <w:rPr>
                <w:spacing w:val="-7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”三年行动方案（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2021-2023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</w:t>
            </w:r>
          </w:p>
          <w:p>
            <w:pPr>
              <w:pStyle w:val="TableText"/>
              <w:spacing w:before="27" w:line="205" w:lineRule="auto"/>
              <w:ind w:left="309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/>
        </w:trPr>
        <w:tc>
          <w:tcPr>
            <w:tcW w:w="1510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206" w:line="218" w:lineRule="auto"/>
              <w:ind w:left="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54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88" w:line="228" w:lineRule="auto"/>
              <w:ind w:left="227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文件要求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2" w:line="231" w:lineRule="auto"/>
              <w:ind w:left="267" w:right="198" w:hanging="9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项目符合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性分析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/>
        </w:trPr>
        <w:tc>
          <w:tcPr>
            <w:tcW w:w="1510" w:type="dxa"/>
            <w:vMerge/>
            <w:tcBorders>
              <w:top w:val="nil"/>
              <w:right w:val="single" w:sz="2" w:space="0" w:color="000000"/>
            </w:tcBorders>
            <w:vAlign w:val="top"/>
          </w:tcPr>
          <w:p/>
        </w:tc>
        <w:tc>
          <w:tcPr>
            <w:tcW w:w="606" w:type="dxa"/>
            <w:tcBorders>
              <w:top w:val="single" w:sz="2" w:space="0" w:color="000000"/>
              <w:left w:val="single" w:sz="2" w:space="0" w:color="000000"/>
              <w:right w:val="nil"/>
            </w:tcBorders>
            <w:vAlign w:val="top"/>
          </w:tcPr>
          <w:p>
            <w:pPr>
              <w:spacing w:line="148" w:lineRule="exact"/>
              <w:rPr>
                <w:sz w:val="12"/>
              </w:rPr>
            </w:pPr>
          </w:p>
        </w:tc>
        <w:tc>
          <w:tcPr>
            <w:tcW w:w="74" w:type="dxa"/>
            <w:tcBorders>
              <w:top w:val="single" w:sz="2" w:space="0" w:color="000000"/>
              <w:left w:val="nil"/>
              <w:right w:val="nil"/>
            </w:tcBorders>
            <w:vAlign w:val="top"/>
          </w:tcPr>
          <w:p>
            <w:pPr>
              <w:spacing w:line="148" w:lineRule="exact"/>
              <w:rPr>
                <w:sz w:val="12"/>
              </w:rPr>
            </w:pPr>
          </w:p>
        </w:tc>
        <w:tc>
          <w:tcPr>
            <w:tcW w:w="4980" w:type="dxa"/>
            <w:tcBorders>
              <w:top w:val="single" w:sz="2" w:space="0" w:color="000000"/>
              <w:left w:val="nil"/>
              <w:right w:val="nil"/>
            </w:tcBorders>
            <w:vAlign w:val="top"/>
          </w:tcPr>
          <w:p>
            <w:pPr>
              <w:spacing w:line="148" w:lineRule="exact"/>
              <w:rPr>
                <w:sz w:val="12"/>
              </w:rPr>
            </w:pPr>
          </w:p>
        </w:tc>
        <w:tc>
          <w:tcPr>
            <w:tcW w:w="385" w:type="dxa"/>
            <w:tcBorders>
              <w:top w:val="single" w:sz="2" w:space="0" w:color="000000"/>
              <w:left w:val="nil"/>
              <w:right w:val="nil"/>
            </w:tcBorders>
            <w:vAlign w:val="top"/>
          </w:tcPr>
          <w:p>
            <w:pPr>
              <w:spacing w:line="148" w:lineRule="exact"/>
              <w:rPr>
                <w:sz w:val="12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nil"/>
            </w:tcBorders>
            <w:vAlign w:val="top"/>
          </w:tcPr>
          <w:p>
            <w:pPr>
              <w:spacing w:line="148" w:lineRule="exact"/>
              <w:rPr>
                <w:sz w:val="1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0"/>
          <w:pgSz w:w="11906" w:h="16839"/>
          <w:pgMar w:top="1431" w:right="1564" w:bottom="1240" w:left="1563" w:header="0" w:footer="1078" w:gutter="0"/>
          <w:pgNumType w:start="17"/>
          <w:cols w:num="1" w:space="720"/>
        </w:sectPr>
      </w:pPr>
    </w:p>
    <w:p>
      <w:pPr>
        <w:spacing w:before="28"/>
      </w:pPr>
    </w:p>
    <w:tbl>
      <w:tblPr>
        <w:tblStyle w:val="TableNormal016"/>
        <w:tblW w:w="876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604"/>
        <w:gridCol w:w="5396"/>
        <w:gridCol w:w="1258"/>
      </w:tblGrid>
      <w:tr>
        <w:tblPrEx>
          <w:tblW w:w="876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6"/>
        </w:trPr>
        <w:tc>
          <w:tcPr>
            <w:tcW w:w="150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04" w:type="dxa"/>
            <w:tcBorders>
              <w:top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199" w:line="216" w:lineRule="auto"/>
              <w:ind w:left="140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淘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汰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低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效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落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后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产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能</w:t>
            </w:r>
          </w:p>
        </w:tc>
        <w:tc>
          <w:tcPr>
            <w:tcW w:w="539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50" w:line="249" w:lineRule="auto"/>
              <w:ind w:left="109" w:right="86" w:firstLine="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根据省部署要求，依据安全、环保、技术、能耗、效益标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准，以钢铁、地炼、煤电、水泥、轮胎、煤炭、化工等行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业为重点，分类组织实施转移、压减、整合</w:t>
            </w:r>
            <w:r>
              <w:rPr>
                <w:spacing w:val="7"/>
                <w:sz w:val="20"/>
                <w:szCs w:val="20"/>
              </w:rPr>
              <w:t>、关停任务，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加快淘汰低效落后产能。鼓励支持钢铁企业实施短流程改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造，到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2025 </w:t>
            </w:r>
            <w:r>
              <w:rPr>
                <w:spacing w:val="8"/>
                <w:sz w:val="20"/>
                <w:szCs w:val="20"/>
              </w:rPr>
              <w:t>年，钢铁企业完成短流程改造，长流程钢铁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产能原则上转移至沿海钢铁基地。因国家产业政策调整无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法实施的，视情况报省政府同意后作相应调整。到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2022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spacing w:val="6"/>
                <w:sz w:val="20"/>
                <w:szCs w:val="20"/>
              </w:rPr>
              <w:t>年，除特种水泥熟料和化工配套水泥熟料生产线外，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2500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/</w:t>
            </w:r>
            <w:r>
              <w:rPr>
                <w:spacing w:val="8"/>
                <w:sz w:val="20"/>
                <w:szCs w:val="20"/>
              </w:rPr>
              <w:t>日以下的水泥熟料生产线全部整合退出。到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2022 </w:t>
            </w:r>
            <w:r>
              <w:rPr>
                <w:spacing w:val="8"/>
                <w:sz w:val="20"/>
                <w:szCs w:val="20"/>
              </w:rPr>
              <w:t>年，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直径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3.2 </w:t>
            </w:r>
            <w:r>
              <w:rPr>
                <w:spacing w:val="8"/>
                <w:sz w:val="20"/>
                <w:szCs w:val="20"/>
              </w:rPr>
              <w:t>米及以下水泥磨机全部整合退出。逾期未完成产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能置换的水泥熟料生产线和水泥磨机，直接关停退出。到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2022 </w:t>
            </w:r>
            <w:r>
              <w:rPr>
                <w:spacing w:val="9"/>
                <w:sz w:val="20"/>
                <w:szCs w:val="20"/>
              </w:rPr>
              <w:t>年，淘汰不能实现密闭式自动投</w:t>
            </w:r>
            <w:r>
              <w:rPr>
                <w:spacing w:val="8"/>
                <w:sz w:val="20"/>
                <w:szCs w:val="20"/>
              </w:rPr>
              <w:t>料轮胎企业的炼胶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机及不能实现充氮工艺的子午胎行业硫化设备。实施“散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乱污</w:t>
            </w:r>
            <w:r>
              <w:rPr>
                <w:spacing w:val="-52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”企业动态清零，按照“发现一起、处置一起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”的原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则，实施分类整治。各县（市、区）要制定实施方案，重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点围绕再生橡胶、废旧塑料再生、砖瓦、石灰、石膏等行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业，对生产工艺装备进行筛查，按照有关法律法规和程序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要求，推动低效落后产能退出。</w:t>
            </w:r>
          </w:p>
        </w:tc>
        <w:tc>
          <w:tcPr>
            <w:tcW w:w="1258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8" w:line="249" w:lineRule="auto"/>
              <w:ind w:left="118" w:right="104" w:firstLine="10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项目不属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于钢铁、地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炼、煤电、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1"/>
                <w:sz w:val="20"/>
                <w:szCs w:val="20"/>
              </w:rPr>
              <w:t>水泥、轮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胎、煤炭、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1"/>
                <w:sz w:val="20"/>
                <w:szCs w:val="20"/>
              </w:rPr>
              <w:t>化工等重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点行业；不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属于“散乱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污</w:t>
            </w:r>
            <w:r>
              <w:rPr>
                <w:spacing w:val="-67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”企业；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8"/>
                <w:sz w:val="20"/>
                <w:szCs w:val="20"/>
              </w:rPr>
              <w:t xml:space="preserve">不属于再 </w:t>
            </w:r>
            <w:r>
              <w:rPr>
                <w:spacing w:val="4"/>
                <w:sz w:val="20"/>
                <w:szCs w:val="20"/>
              </w:rPr>
              <w:t>生橡胶、废</w:t>
            </w:r>
          </w:p>
          <w:p>
            <w:pPr>
              <w:pStyle w:val="TableText"/>
              <w:spacing w:before="28" w:line="247" w:lineRule="auto"/>
              <w:ind w:left="119" w:right="104" w:firstLine="11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旧塑料再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生、砖瓦、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石灰、石膏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1"/>
                <w:sz w:val="20"/>
                <w:szCs w:val="20"/>
              </w:rPr>
              <w:t>等行业的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1"/>
                <w:sz w:val="20"/>
                <w:szCs w:val="20"/>
              </w:rPr>
              <w:t>低效落后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产能，符合</w:t>
            </w:r>
          </w:p>
          <w:p>
            <w:pPr>
              <w:pStyle w:val="TableText"/>
              <w:spacing w:before="23" w:line="214" w:lineRule="auto"/>
              <w:ind w:left="32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要求。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3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04" w:type="dxa"/>
            <w:textDirection w:val="tbRlV"/>
            <w:vAlign w:val="top"/>
          </w:tcPr>
          <w:p>
            <w:pPr>
              <w:pStyle w:val="TableText"/>
              <w:spacing w:before="199" w:line="216" w:lineRule="auto"/>
              <w:ind w:left="44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严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控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重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点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行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业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新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增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产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能</w:t>
            </w:r>
          </w:p>
        </w:tc>
        <w:tc>
          <w:tcPr>
            <w:tcW w:w="5396" w:type="dxa"/>
            <w:vAlign w:val="top"/>
          </w:tcPr>
          <w:p>
            <w:pPr>
              <w:pStyle w:val="TableText"/>
              <w:spacing w:before="40" w:line="248" w:lineRule="auto"/>
              <w:ind w:left="110" w:right="30" w:firstLine="3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 xml:space="preserve">重大项目建设，必须首先满足环境质量“只能更好，不能 </w:t>
            </w:r>
            <w:r>
              <w:rPr>
                <w:spacing w:val="9"/>
                <w:sz w:val="20"/>
                <w:szCs w:val="20"/>
              </w:rPr>
              <w:t>变坏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”的底线，严格落实污染物排放“减量</w:t>
            </w:r>
            <w:r>
              <w:rPr>
                <w:spacing w:val="8"/>
                <w:sz w:val="20"/>
                <w:szCs w:val="20"/>
              </w:rPr>
              <w:t>替代是原则，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等量替代是例外</w:t>
            </w:r>
            <w:r>
              <w:rPr>
                <w:spacing w:val="-6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 xml:space="preserve">”的总量控制刚性要求。（市生态环境局 </w:t>
            </w:r>
            <w:r>
              <w:rPr>
                <w:spacing w:val="7"/>
                <w:sz w:val="20"/>
                <w:szCs w:val="20"/>
              </w:rPr>
              <w:t>牵头）按照国家相关产业政策，深入实施“</w:t>
            </w:r>
            <w:r>
              <w:rPr>
                <w:spacing w:val="-5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四上四压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”，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坚持“上新压旧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”“上大压小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”“上高压低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”“上整压散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”。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对钢铁、地炼、焦化、煤电、水泥、轮胎、平板玻璃等重 </w:t>
            </w:r>
            <w:r>
              <w:rPr>
                <w:spacing w:val="10"/>
                <w:sz w:val="20"/>
                <w:szCs w:val="20"/>
              </w:rPr>
              <w:t>点行业，严格执行产能置换要求。严格执行国家煤化工、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铁合金等行业产能控制或产能置换办法。“两高</w:t>
            </w:r>
            <w:r>
              <w:rPr>
                <w:spacing w:val="-6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 xml:space="preserve">”项目建 </w:t>
            </w:r>
            <w:r>
              <w:rPr>
                <w:spacing w:val="6"/>
                <w:sz w:val="20"/>
                <w:szCs w:val="20"/>
              </w:rPr>
              <w:t xml:space="preserve">设做到产能减量、能耗减量、煤炭减量、碳排放减量和常 </w:t>
            </w:r>
            <w:r>
              <w:rPr>
                <w:spacing w:val="5"/>
                <w:sz w:val="20"/>
                <w:szCs w:val="20"/>
              </w:rPr>
              <w:t>规污染物减量等“五个减量</w:t>
            </w:r>
            <w:r>
              <w:rPr>
                <w:spacing w:val="-6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 xml:space="preserve">”，新建项目要按照规定实施 </w:t>
            </w:r>
            <w:r>
              <w:rPr>
                <w:spacing w:val="6"/>
                <w:sz w:val="20"/>
                <w:szCs w:val="20"/>
              </w:rPr>
              <w:t xml:space="preserve">减量替代，不符合要求的高耗能、高排放项目要坚决拿下 </w:t>
            </w:r>
            <w:r>
              <w:rPr>
                <w:spacing w:val="10"/>
                <w:sz w:val="20"/>
                <w:szCs w:val="20"/>
              </w:rPr>
              <w:t>来。严禁新增水泥熟料、粉磨产能，严禁省外水泥熟料、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粉磨、焦化产能转入我市。</w:t>
            </w:r>
          </w:p>
        </w:tc>
        <w:tc>
          <w:tcPr>
            <w:tcW w:w="125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2" w:line="228" w:lineRule="auto"/>
              <w:ind w:left="1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本项目不</w:t>
            </w:r>
          </w:p>
          <w:p>
            <w:pPr>
              <w:pStyle w:val="TableText"/>
              <w:spacing w:before="24" w:line="228" w:lineRule="auto"/>
              <w:ind w:left="1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属于左侧</w:t>
            </w:r>
          </w:p>
          <w:p>
            <w:pPr>
              <w:pStyle w:val="TableText"/>
              <w:spacing w:before="26" w:line="229" w:lineRule="auto"/>
              <w:ind w:left="1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所列重点</w:t>
            </w:r>
          </w:p>
          <w:p>
            <w:pPr>
              <w:pStyle w:val="TableText"/>
              <w:spacing w:before="23" w:line="246" w:lineRule="auto"/>
              <w:ind w:left="120" w:firstLine="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行业；不属  </w:t>
            </w:r>
            <w:r>
              <w:rPr>
                <w:spacing w:val="19"/>
                <w:sz w:val="20"/>
                <w:szCs w:val="20"/>
              </w:rPr>
              <w:t>于“两高</w:t>
            </w:r>
            <w:r>
              <w:rPr>
                <w:spacing w:val="-69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项目；不新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增落后产</w:t>
            </w:r>
          </w:p>
          <w:p>
            <w:pPr>
              <w:pStyle w:val="TableText"/>
              <w:spacing w:before="24"/>
              <w:ind w:left="119" w:right="104" w:firstLine="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能；污染物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排放执行</w:t>
            </w:r>
          </w:p>
          <w:p>
            <w:pPr>
              <w:pStyle w:val="TableText"/>
              <w:spacing w:before="25" w:line="228" w:lineRule="auto"/>
              <w:ind w:left="1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减量替代</w:t>
            </w:r>
          </w:p>
          <w:p>
            <w:pPr>
              <w:pStyle w:val="TableText"/>
              <w:spacing w:before="26"/>
              <w:ind w:left="119" w:right="104" w:hanging="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控制；符合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要求。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6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04" w:type="dxa"/>
            <w:textDirection w:val="tbRlV"/>
            <w:vAlign w:val="top"/>
          </w:tcPr>
          <w:p>
            <w:pPr>
              <w:pStyle w:val="TableText"/>
              <w:spacing w:before="199" w:line="216" w:lineRule="auto"/>
              <w:ind w:left="85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推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动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绿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色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循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环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低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碳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改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造</w:t>
            </w:r>
          </w:p>
        </w:tc>
        <w:tc>
          <w:tcPr>
            <w:tcW w:w="5396" w:type="dxa"/>
            <w:vAlign w:val="top"/>
          </w:tcPr>
          <w:p>
            <w:pPr>
              <w:pStyle w:val="TableText"/>
              <w:spacing w:before="47" w:line="248" w:lineRule="auto"/>
              <w:ind w:left="112" w:right="31" w:firstLine="25"/>
              <w:jc w:val="both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 xml:space="preserve">电力、钢铁、建材、有色、石化、化工等重点行业制定碳 </w:t>
            </w:r>
            <w:r>
              <w:rPr>
                <w:spacing w:val="2"/>
                <w:sz w:val="20"/>
                <w:szCs w:val="20"/>
              </w:rPr>
              <w:t>达峰目标，实施减污降碳协同治理。优化整合</w:t>
            </w:r>
            <w:r>
              <w:rPr>
                <w:spacing w:val="1"/>
                <w:sz w:val="20"/>
                <w:szCs w:val="20"/>
              </w:rPr>
              <w:t>钢铁、地炼、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焦化、煤电、水泥、轮胎、煤炭、化工等行业产</w:t>
            </w:r>
            <w:r>
              <w:rPr>
                <w:spacing w:val="9"/>
                <w:sz w:val="20"/>
                <w:szCs w:val="20"/>
              </w:rPr>
              <w:t>能布局。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对人口密集、资源开发强度大、污染物排放强度高的区域 实施重点管控，推进产业布局优化、转型升级。将“三线 </w:t>
            </w:r>
            <w:r>
              <w:rPr>
                <w:spacing w:val="5"/>
                <w:sz w:val="20"/>
                <w:szCs w:val="20"/>
              </w:rPr>
              <w:t>一单</w:t>
            </w:r>
            <w:r>
              <w:rPr>
                <w:spacing w:val="-6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 xml:space="preserve">”作为综合决策的前提条件，加强在政策制定、环境 </w:t>
            </w:r>
            <w:r>
              <w:rPr>
                <w:spacing w:val="6"/>
                <w:sz w:val="20"/>
                <w:szCs w:val="20"/>
              </w:rPr>
              <w:t xml:space="preserve">准入、园区管理、执法监管等方面的应用，作为区域资源 开发、产业布局和结构调整、城镇建设、重大项目选址和 审批的重要依据。实施重点行业清洁化改造。以钢铁、焦 化、铸造、建材、有色、石化、化工、工业涂装、包装印 刷等行业为重点，开展全流程清洁化、循环化、低碳化改 </w:t>
            </w:r>
            <w:r>
              <w:rPr>
                <w:spacing w:val="2"/>
                <w:sz w:val="20"/>
                <w:szCs w:val="20"/>
              </w:rPr>
              <w:t>造，促进传统产业绿色转型升级。根据省生态</w:t>
            </w:r>
            <w:r>
              <w:rPr>
                <w:spacing w:val="1"/>
                <w:sz w:val="20"/>
                <w:szCs w:val="20"/>
              </w:rPr>
              <w:t>环境厅要求，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制定德州市清洁生产审核实施方案，在能源、冶金、化工 </w:t>
            </w:r>
            <w:r>
              <w:rPr>
                <w:spacing w:val="5"/>
                <w:sz w:val="20"/>
                <w:szCs w:val="20"/>
              </w:rPr>
              <w:t>等</w:t>
            </w:r>
            <w:r>
              <w:rPr>
                <w:spacing w:val="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13  </w:t>
            </w:r>
            <w:r>
              <w:rPr>
                <w:spacing w:val="5"/>
                <w:sz w:val="20"/>
                <w:szCs w:val="20"/>
              </w:rPr>
              <w:t>个重点行业依法开展强制性清洁生产审核，</w:t>
            </w:r>
            <w:r>
              <w:rPr>
                <w:spacing w:val="4"/>
                <w:sz w:val="20"/>
                <w:szCs w:val="20"/>
              </w:rPr>
              <w:t xml:space="preserve">选树一 </w:t>
            </w:r>
            <w:r>
              <w:rPr>
                <w:spacing w:val="7"/>
                <w:sz w:val="20"/>
                <w:szCs w:val="20"/>
              </w:rPr>
              <w:t>批清洁生产先进单位。加快生态工业园区建设，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2023 </w:t>
            </w:r>
            <w:r>
              <w:rPr>
                <w:spacing w:val="7"/>
                <w:sz w:val="20"/>
                <w:szCs w:val="20"/>
              </w:rPr>
              <w:t xml:space="preserve">年  </w:t>
            </w:r>
            <w:r>
              <w:rPr>
                <w:spacing w:val="8"/>
                <w:sz w:val="20"/>
                <w:szCs w:val="20"/>
              </w:rPr>
              <w:t>年底前，省级生态工业园区力争达到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3 </w:t>
            </w:r>
            <w:r>
              <w:rPr>
                <w:spacing w:val="8"/>
                <w:sz w:val="20"/>
                <w:szCs w:val="20"/>
              </w:rPr>
              <w:t>家以上。</w:t>
            </w:r>
          </w:p>
        </w:tc>
        <w:tc>
          <w:tcPr>
            <w:tcW w:w="1258" w:type="dxa"/>
            <w:tcBorders>
              <w:right w:val="single" w:sz="6" w:space="0" w:color="000000"/>
            </w:tcBorders>
            <w:vAlign w:val="top"/>
          </w:tcPr>
          <w:p>
            <w:pPr>
              <w:spacing w:line="380" w:lineRule="auto"/>
            </w:pPr>
          </w:p>
          <w:p>
            <w:pPr>
              <w:pStyle w:val="TableText"/>
              <w:spacing w:before="65" w:line="228" w:lineRule="auto"/>
              <w:ind w:left="1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本项目不</w:t>
            </w:r>
          </w:p>
          <w:p>
            <w:pPr>
              <w:pStyle w:val="TableText"/>
              <w:spacing w:before="27"/>
              <w:ind w:left="117" w:right="122" w:firstLine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属于电力、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钢铁、建</w:t>
            </w:r>
          </w:p>
          <w:p>
            <w:pPr>
              <w:pStyle w:val="TableText"/>
              <w:spacing w:before="24"/>
              <w:ind w:left="119" w:right="12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材、有色、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石化、化</w:t>
            </w:r>
          </w:p>
          <w:p>
            <w:pPr>
              <w:pStyle w:val="TableText"/>
              <w:spacing w:before="23"/>
              <w:ind w:left="118" w:right="104" w:firstLine="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工、包装印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刷等重点</w:t>
            </w:r>
          </w:p>
          <w:p>
            <w:pPr>
              <w:pStyle w:val="TableText"/>
              <w:spacing w:before="25"/>
              <w:ind w:left="122" w:right="10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行业；不属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于重污染</w:t>
            </w:r>
          </w:p>
          <w:p>
            <w:pPr>
              <w:pStyle w:val="TableText"/>
              <w:spacing w:before="26"/>
              <w:ind w:left="119" w:right="104" w:firstLine="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企业；项目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位于工业</w:t>
            </w:r>
          </w:p>
          <w:p>
            <w:pPr>
              <w:pStyle w:val="TableText"/>
              <w:spacing w:before="22" w:line="241" w:lineRule="auto"/>
              <w:ind w:left="120" w:right="104" w:firstLine="1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园区；符合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要求。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7258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footerReference w:type="default" r:id="rId21"/>
          <w:pgSz w:w="11906" w:h="16839"/>
          <w:pgMar w:top="1431" w:right="1564" w:bottom="1240" w:left="1563" w:header="0" w:footer="1078" w:gutter="0"/>
          <w:pgNumType w:start="18"/>
          <w:cols w:num="1" w:space="720"/>
        </w:sectPr>
      </w:pPr>
    </w:p>
    <w:p>
      <w:pPr>
        <w:spacing w:before="28"/>
      </w:pPr>
    </w:p>
    <w:tbl>
      <w:tblPr>
        <w:tblStyle w:val="TableNormal017"/>
        <w:tblW w:w="876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604"/>
        <w:gridCol w:w="5396"/>
        <w:gridCol w:w="1258"/>
      </w:tblGrid>
      <w:tr>
        <w:tblPrEx>
          <w:tblW w:w="876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8"/>
        </w:trPr>
        <w:tc>
          <w:tcPr>
            <w:tcW w:w="150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04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/>
        </w:tc>
        <w:tc>
          <w:tcPr>
            <w:tcW w:w="539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9" w:line="247" w:lineRule="auto"/>
              <w:ind w:left="111" w:right="31" w:firstLine="8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 xml:space="preserve">改造提升传统动能。推动重点行业完成限制类产能装备的 升级改造，鼓励高炉—转炉长流程钢铁企业转型为电炉短 流程企业。加强燃煤机组、自备电站、锅炉、钢铁行业超 低排放运行管控，开展焦化、水泥行业超低排放改造，推 进玻璃、陶瓷、铸造、有色等行业污染深度治理。推动生 </w:t>
            </w:r>
            <w:r>
              <w:rPr>
                <w:spacing w:val="4"/>
                <w:sz w:val="20"/>
                <w:szCs w:val="20"/>
              </w:rPr>
              <w:t>产、使用低（无）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含量的工业涂料、油墨、胶粘剂、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清洗剂等产品，从源头减少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1"/>
                <w:sz w:val="20"/>
                <w:szCs w:val="20"/>
              </w:rPr>
              <w:t>排放。到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2023 </w:t>
            </w:r>
            <w:r>
              <w:rPr>
                <w:spacing w:val="11"/>
                <w:sz w:val="20"/>
                <w:szCs w:val="20"/>
              </w:rPr>
              <w:t>年，每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个县（市、区）建立不少于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3 </w:t>
            </w:r>
            <w:r>
              <w:rPr>
                <w:spacing w:val="9"/>
                <w:sz w:val="20"/>
                <w:szCs w:val="20"/>
              </w:rPr>
              <w:t>个原辅材料替代示范项目，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 xml:space="preserve">高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 xml:space="preserve">原辅材料源头替代比例达到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9%</w:t>
            </w:r>
            <w:r>
              <w:rPr>
                <w:spacing w:val="8"/>
                <w:sz w:val="20"/>
                <w:szCs w:val="20"/>
              </w:rPr>
              <w:t>。</w:t>
            </w:r>
          </w:p>
        </w:tc>
        <w:tc>
          <w:tcPr>
            <w:tcW w:w="1258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0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396" w:type="dxa"/>
            <w:vAlign w:val="top"/>
          </w:tcPr>
          <w:p>
            <w:pPr>
              <w:pStyle w:val="TableText"/>
              <w:spacing w:before="31" w:line="247" w:lineRule="auto"/>
              <w:ind w:left="112" w:right="31" w:firstLine="1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提升园区集约发展水平。提高化工等行业园区</w:t>
            </w:r>
            <w:r>
              <w:rPr>
                <w:spacing w:val="9"/>
                <w:sz w:val="20"/>
                <w:szCs w:val="20"/>
              </w:rPr>
              <w:t>集聚水平，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实施建材、化工、铸造等产业集群提升改造，</w:t>
            </w:r>
            <w:r>
              <w:rPr>
                <w:spacing w:val="1"/>
                <w:sz w:val="20"/>
                <w:szCs w:val="20"/>
              </w:rPr>
              <w:t>提高集约化、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绿色化发展水平，到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2023 </w:t>
            </w:r>
            <w:r>
              <w:rPr>
                <w:spacing w:val="8"/>
                <w:sz w:val="20"/>
                <w:szCs w:val="20"/>
              </w:rPr>
              <w:t>年，化工园区（含化工重点监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控点）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内化工生产企业营业收入占全行业比重达到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75%</w:t>
            </w:r>
            <w:r>
              <w:rPr>
                <w:spacing w:val="6"/>
                <w:sz w:val="20"/>
                <w:szCs w:val="20"/>
              </w:rPr>
              <w:t>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围绕炼化一体化、新材料、煤化工、精细化工、轮胎制造 </w:t>
            </w:r>
            <w:r>
              <w:rPr>
                <w:spacing w:val="9"/>
                <w:sz w:val="20"/>
                <w:szCs w:val="20"/>
              </w:rPr>
              <w:t>等五大产业高质量发展，聚焦产业链重点产品和关键环</w:t>
            </w:r>
            <w:r>
              <w:rPr>
                <w:spacing w:val="4"/>
                <w:sz w:val="20"/>
                <w:szCs w:val="20"/>
              </w:rPr>
              <w:t xml:space="preserve">   </w:t>
            </w:r>
            <w:r>
              <w:rPr>
                <w:spacing w:val="6"/>
                <w:sz w:val="20"/>
                <w:szCs w:val="20"/>
              </w:rPr>
              <w:t>节，强化产业链优势，加快补齐补强短板，推动化工园区 优化提升。</w:t>
            </w:r>
          </w:p>
        </w:tc>
        <w:tc>
          <w:tcPr>
            <w:tcW w:w="125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04" w:type="dxa"/>
            <w:vMerge/>
            <w:tcBorders>
              <w:top w:val="nil"/>
            </w:tcBorders>
            <w:vAlign w:val="top"/>
          </w:tcPr>
          <w:p/>
        </w:tc>
        <w:tc>
          <w:tcPr>
            <w:tcW w:w="5396" w:type="dxa"/>
            <w:vAlign w:val="top"/>
          </w:tcPr>
          <w:p>
            <w:pPr>
              <w:pStyle w:val="TableText"/>
              <w:spacing w:before="33" w:line="246" w:lineRule="auto"/>
              <w:ind w:left="112" w:right="30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 xml:space="preserve">加快城市建成区重污染企业搬迁改造。各县（市、区）组 织对城市建成区重污染企业布局情况进行摸底，制定城市 建成区重污染企业搬迁改造或关闭退出工作计划。已经明 确退城的企业，按计划退出城市建成区；未明确退城的企 业，分批实施污染深度治理改造，实现“有组织排放稳定 </w:t>
            </w:r>
            <w:r>
              <w:rPr>
                <w:spacing w:val="9"/>
                <w:sz w:val="20"/>
                <w:szCs w:val="20"/>
              </w:rPr>
              <w:t>达标、无组织排放全流程收集处理、物料运</w:t>
            </w:r>
            <w:r>
              <w:rPr>
                <w:spacing w:val="8"/>
                <w:sz w:val="20"/>
                <w:szCs w:val="20"/>
              </w:rPr>
              <w:t>输清洁化</w:t>
            </w:r>
            <w:r>
              <w:rPr>
                <w:spacing w:val="-7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”，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到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2023 </w:t>
            </w:r>
            <w:r>
              <w:rPr>
                <w:spacing w:val="5"/>
                <w:sz w:val="20"/>
                <w:szCs w:val="20"/>
              </w:rPr>
              <w:t>年，明显降低对县（市、区）城区空气质量影响。</w:t>
            </w:r>
          </w:p>
        </w:tc>
        <w:tc>
          <w:tcPr>
            <w:tcW w:w="1258" w:type="dxa"/>
            <w:vMerge/>
            <w:tcBorders>
              <w:top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5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04" w:type="dxa"/>
            <w:textDirection w:val="tbRlV"/>
            <w:vAlign w:val="top"/>
          </w:tcPr>
          <w:p>
            <w:pPr>
              <w:pStyle w:val="TableText"/>
              <w:spacing w:before="288" w:line="217" w:lineRule="auto"/>
              <w:ind w:left="3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严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控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化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石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能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源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消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费</w:t>
            </w:r>
          </w:p>
        </w:tc>
        <w:tc>
          <w:tcPr>
            <w:tcW w:w="5396" w:type="dxa"/>
            <w:vAlign w:val="top"/>
          </w:tcPr>
          <w:p>
            <w:pPr>
              <w:pStyle w:val="TableText"/>
              <w:spacing w:before="177" w:line="248" w:lineRule="auto"/>
              <w:ind w:left="112" w:right="99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严控能源消费总量，在满足全社会能源需求的前提下，持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续推进煤炭消费压减，增加清洁能源供给，加大清洁能源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替代力度，进一步控制化石能源消费，逐步实现新增能源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需求主要由清洁能源供给。到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2023 </w:t>
            </w:r>
            <w:r>
              <w:rPr>
                <w:spacing w:val="8"/>
                <w:sz w:val="20"/>
                <w:szCs w:val="20"/>
              </w:rPr>
              <w:t>年，全市化石能源消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费总量控制在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1800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万吨标准煤以内，非化石能源消费总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量力争达到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335 </w:t>
            </w:r>
            <w:r>
              <w:rPr>
                <w:spacing w:val="7"/>
                <w:sz w:val="20"/>
                <w:szCs w:val="20"/>
              </w:rPr>
              <w:t>万吨标准煤以上；煤炭消费总量压减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6% </w:t>
            </w:r>
            <w:r>
              <w:rPr>
                <w:spacing w:val="8"/>
                <w:sz w:val="20"/>
                <w:szCs w:val="20"/>
              </w:rPr>
              <w:t>以上，煤炭消费占能源消费比重下降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5 </w:t>
            </w:r>
            <w:r>
              <w:rPr>
                <w:spacing w:val="8"/>
                <w:sz w:val="20"/>
                <w:szCs w:val="20"/>
              </w:rPr>
              <w:t>个百分</w:t>
            </w:r>
            <w:r>
              <w:rPr>
                <w:spacing w:val="7"/>
                <w:sz w:val="20"/>
                <w:szCs w:val="20"/>
              </w:rPr>
              <w:t>点。</w:t>
            </w:r>
          </w:p>
        </w:tc>
        <w:tc>
          <w:tcPr>
            <w:tcW w:w="125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5" w:line="228" w:lineRule="auto"/>
              <w:ind w:left="1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本项目不</w:t>
            </w:r>
          </w:p>
          <w:p>
            <w:pPr>
              <w:pStyle w:val="TableText"/>
              <w:spacing w:before="24" w:line="228" w:lineRule="auto"/>
              <w:ind w:left="1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消耗煤炭</w:t>
            </w:r>
          </w:p>
          <w:p>
            <w:pPr>
              <w:pStyle w:val="TableText"/>
              <w:spacing w:before="26" w:line="228" w:lineRule="auto"/>
              <w:ind w:left="1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等化石燃</w:t>
            </w:r>
          </w:p>
          <w:p>
            <w:pPr>
              <w:pStyle w:val="TableText"/>
              <w:spacing w:before="24" w:line="241" w:lineRule="auto"/>
              <w:ind w:left="120" w:right="104" w:hanging="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料，主要使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用电能进</w:t>
            </w:r>
          </w:p>
          <w:p>
            <w:pPr>
              <w:pStyle w:val="TableText"/>
              <w:spacing w:before="23" w:line="241" w:lineRule="auto"/>
              <w:ind w:left="120" w:right="104" w:firstLine="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行生产，符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合要求。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3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04" w:type="dxa"/>
            <w:textDirection w:val="tbRlV"/>
            <w:vAlign w:val="top"/>
          </w:tcPr>
          <w:p>
            <w:pPr>
              <w:pStyle w:val="TableText"/>
              <w:spacing w:before="288" w:line="216" w:lineRule="auto"/>
              <w:ind w:left="72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持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续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压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减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煤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炭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使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用</w:t>
            </w:r>
          </w:p>
        </w:tc>
        <w:tc>
          <w:tcPr>
            <w:tcW w:w="5396" w:type="dxa"/>
            <w:vAlign w:val="top"/>
          </w:tcPr>
          <w:p>
            <w:pPr>
              <w:pStyle w:val="TableText"/>
              <w:spacing w:before="50" w:line="248" w:lineRule="auto"/>
              <w:ind w:left="112" w:right="99" w:firstLine="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持续淘汰落后燃煤机组，在确保电力、热力接续稳</w:t>
            </w:r>
            <w:r>
              <w:rPr>
                <w:spacing w:val="6"/>
                <w:sz w:val="20"/>
                <w:szCs w:val="20"/>
              </w:rPr>
              <w:t>定供应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的前提下，大力推进单机容量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万千瓦以下煤电机组关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停整合，严格按照减容量“上大压小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”政策规</w:t>
            </w:r>
            <w:r>
              <w:rPr>
                <w:spacing w:val="5"/>
                <w:sz w:val="20"/>
                <w:szCs w:val="20"/>
              </w:rPr>
              <w:t>划建设清洁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高效煤电机组。到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2023 </w:t>
            </w:r>
            <w:r>
              <w:rPr>
                <w:spacing w:val="7"/>
                <w:sz w:val="20"/>
                <w:szCs w:val="20"/>
              </w:rPr>
              <w:t>年，关停退出低效燃煤机组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5.7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spacing w:val="5"/>
                <w:sz w:val="20"/>
                <w:szCs w:val="20"/>
              </w:rPr>
              <w:t>万千瓦，其中，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2021 </w:t>
            </w:r>
            <w:r>
              <w:rPr>
                <w:spacing w:val="5"/>
                <w:sz w:val="20"/>
                <w:szCs w:val="20"/>
              </w:rPr>
              <w:t>年关停退出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3.3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万千瓦。提高电煤使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用效率，到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2023 </w:t>
            </w:r>
            <w:r>
              <w:rPr>
                <w:spacing w:val="8"/>
                <w:sz w:val="20"/>
                <w:szCs w:val="20"/>
              </w:rPr>
              <w:t>年，现役煤电机组改造后平均供电煤耗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力争降至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302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克标准煤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/</w:t>
            </w:r>
            <w:r>
              <w:rPr>
                <w:spacing w:val="4"/>
                <w:sz w:val="20"/>
                <w:szCs w:val="20"/>
              </w:rPr>
              <w:t>千瓦时。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2021 </w:t>
            </w:r>
            <w:r>
              <w:rPr>
                <w:spacing w:val="4"/>
                <w:sz w:val="20"/>
                <w:szCs w:val="20"/>
              </w:rPr>
              <w:t>年年底前完</w:t>
            </w:r>
            <w:r>
              <w:rPr>
                <w:spacing w:val="3"/>
                <w:sz w:val="20"/>
                <w:szCs w:val="20"/>
              </w:rPr>
              <w:t>成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35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/</w:t>
            </w:r>
            <w:r>
              <w:rPr>
                <w:spacing w:val="9"/>
                <w:sz w:val="20"/>
                <w:szCs w:val="20"/>
              </w:rPr>
              <w:t>小时及以下燃煤锅炉淘汰任务，今后不再批建。加快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工业炉窑清洁能源替代，对以煤、石油焦、渣油、重油等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为燃料的工业炉窑，使用清洁低碳能源以及利用工厂余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热、电厂热力等进行替代。推进平板玻璃、建筑陶瓷等行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 xml:space="preserve">业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116  </w:t>
            </w:r>
            <w:r>
              <w:rPr>
                <w:spacing w:val="8"/>
                <w:sz w:val="20"/>
                <w:szCs w:val="20"/>
              </w:rPr>
              <w:t>家工业炉窑清洁能源替代，因工艺技术需要不能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替代的，达到相应的排放标准。</w:t>
            </w:r>
          </w:p>
        </w:tc>
        <w:tc>
          <w:tcPr>
            <w:tcW w:w="1258" w:type="dxa"/>
            <w:tcBorders>
              <w:right w:val="single" w:sz="6" w:space="0" w:color="000000"/>
            </w:tcBorders>
            <w:vAlign w:val="top"/>
          </w:tcPr>
          <w:p>
            <w:pPr>
              <w:spacing w:line="260" w:lineRule="auto"/>
            </w:pPr>
          </w:p>
          <w:p>
            <w:pPr>
              <w:spacing w:line="261" w:lineRule="auto"/>
            </w:pPr>
          </w:p>
          <w:p>
            <w:pPr>
              <w:pStyle w:val="TableText"/>
              <w:spacing w:before="65" w:line="228" w:lineRule="auto"/>
              <w:ind w:left="1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本项目不</w:t>
            </w:r>
          </w:p>
          <w:p>
            <w:pPr>
              <w:pStyle w:val="TableText"/>
              <w:spacing w:before="27" w:line="229" w:lineRule="auto"/>
              <w:ind w:left="1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涉及燃煤</w:t>
            </w:r>
          </w:p>
          <w:p>
            <w:pPr>
              <w:pStyle w:val="TableText"/>
              <w:spacing w:before="22" w:line="241" w:lineRule="auto"/>
              <w:ind w:left="118" w:right="10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机组，不涉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及燃煤锅</w:t>
            </w:r>
          </w:p>
          <w:p>
            <w:pPr>
              <w:pStyle w:val="TableText"/>
              <w:spacing w:before="23" w:line="247" w:lineRule="auto"/>
              <w:ind w:left="118" w:right="104" w:firstLine="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炉，不使用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煤炭、石油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焦、渣油等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燃料，符合</w:t>
            </w:r>
            <w:r>
              <w:rPr>
                <w:spacing w:val="3"/>
                <w:sz w:val="20"/>
                <w:szCs w:val="20"/>
              </w:rPr>
              <w:t xml:space="preserve"> 要求。</w:t>
            </w:r>
          </w:p>
        </w:tc>
      </w:tr>
      <w:tr>
        <w:tblPrEx>
          <w:tblW w:w="8763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/>
        </w:trPr>
        <w:tc>
          <w:tcPr>
            <w:tcW w:w="1505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7258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8" w:line="468" w:lineRule="exact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position w:val="17"/>
              </w:rPr>
              <w:t>4</w:t>
            </w:r>
            <w:r>
              <w:rPr>
                <w:spacing w:val="-7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、与《山东省深入打好蓝天保卫战行动计划（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position w:val="17"/>
              </w:rPr>
              <w:t>2021</w:t>
            </w:r>
            <w:r>
              <w:rPr>
                <w:spacing w:val="-7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position w:val="17"/>
              </w:rPr>
              <w:t xml:space="preserve">2025 </w:t>
            </w:r>
            <w:r>
              <w:rPr>
                <w:spacing w:val="-7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</w:t>
            </w:r>
          </w:p>
          <w:p>
            <w:pPr>
              <w:pStyle w:val="TableText"/>
              <w:spacing w:line="220" w:lineRule="auto"/>
              <w:ind w:left="112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符合性分析。</w:t>
            </w:r>
          </w:p>
        </w:tc>
      </w:tr>
    </w:tbl>
    <w:p>
      <w:pPr>
        <w:pStyle w:val="BodyText"/>
      </w:pPr>
    </w:p>
    <w:p>
      <w:pPr>
        <w:sectPr>
          <w:footerReference w:type="default" r:id="rId22"/>
          <w:pgSz w:w="11906" w:h="16839"/>
          <w:pgMar w:top="1431" w:right="1564" w:bottom="1240" w:left="1563" w:header="0" w:footer="1078" w:gutter="0"/>
          <w:pgNumType w:start="19"/>
          <w:cols w:num="1" w:space="720"/>
        </w:sectPr>
      </w:pPr>
    </w:p>
    <w:p>
      <w:pPr>
        <w:spacing w:before="28"/>
      </w:pPr>
    </w:p>
    <w:tbl>
      <w:tblPr>
        <w:tblStyle w:val="TableNormal018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7258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4"/>
        </w:trPr>
        <w:tc>
          <w:tcPr>
            <w:tcW w:w="1505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25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7" w:line="221" w:lineRule="auto"/>
              <w:ind w:left="776"/>
              <w:rPr>
                <w:sz w:val="20"/>
                <w:szCs w:val="20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1" o:spid="_x0000_s1041" type="#_x0000_t202" style="width:15.3pt;height:11.35pt;margin-top:2.65pt;margin-left:51.2pt;mso-height-relative:page;mso-width-relative:page;position:absolute;z-index:25167564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1"/>
                            <w:sz w:val="20"/>
                            <w:szCs w:val="20"/>
                          </w:rPr>
                          <w:t>1-6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0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10"/>
                <w:sz w:val="20"/>
                <w:szCs w:val="20"/>
              </w:rPr>
              <w:t xml:space="preserve">    </w:t>
            </w:r>
            <w:r>
              <w:rPr>
                <w:spacing w:val="10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与《山东省深入打好蓝天保卫战行动计划》符合性分析</w:t>
            </w:r>
          </w:p>
          <w:tbl>
            <w:tblPr>
              <w:tblStyle w:val="TableNormal018"/>
              <w:tblW w:w="7036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36"/>
              <w:gridCol w:w="5067"/>
              <w:gridCol w:w="1333"/>
            </w:tblGrid>
            <w:tr>
              <w:tblPrEx>
                <w:tblW w:w="7036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4"/>
              </w:trPr>
              <w:tc>
                <w:tcPr>
                  <w:tcW w:w="636" w:type="dxa"/>
                  <w:textDirection w:val="tbRlV"/>
                  <w:vAlign w:val="top"/>
                </w:tcPr>
                <w:p>
                  <w:pPr>
                    <w:pStyle w:val="TableText"/>
                    <w:spacing w:before="212" w:line="218" w:lineRule="auto"/>
                    <w:ind w:left="3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号</w:t>
                  </w:r>
                </w:p>
              </w:tc>
              <w:tc>
                <w:tcPr>
                  <w:tcW w:w="5067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212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文件要求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pStyle w:val="TableText"/>
                    <w:spacing w:before="37" w:line="234" w:lineRule="auto"/>
                    <w:ind w:left="463" w:right="139" w:hanging="31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项目符合性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分析</w:t>
                  </w:r>
                </w:p>
              </w:tc>
            </w:tr>
            <w:tr>
              <w:tblPrEx>
                <w:tblW w:w="7036" w:type="dxa"/>
                <w:tblInd w:w="10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267"/>
              </w:trPr>
              <w:tc>
                <w:tcPr>
                  <w:tcW w:w="636" w:type="dxa"/>
                  <w:vAlign w:val="top"/>
                </w:tcPr>
                <w:p>
                  <w:pPr>
                    <w:spacing w:line="248" w:lineRule="auto"/>
                  </w:pPr>
                </w:p>
                <w:p>
                  <w:pPr>
                    <w:spacing w:line="248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before="58" w:line="195" w:lineRule="auto"/>
                    <w:ind w:left="2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067" w:type="dxa"/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一、淘汰低效落后产能</w:t>
                  </w:r>
                </w:p>
                <w:p>
                  <w:pPr>
                    <w:pStyle w:val="TableText"/>
                    <w:spacing w:before="19" w:line="250" w:lineRule="auto"/>
                    <w:ind w:left="111" w:right="34" w:firstLine="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 xml:space="preserve">聚焦钢铁、地炼、焦化、煤电、水泥、轮胎、煤炭、 </w:t>
                  </w:r>
                  <w:r>
                    <w:rPr>
                      <w:spacing w:val="8"/>
                      <w:sz w:val="20"/>
                      <w:szCs w:val="20"/>
                    </w:rPr>
                    <w:t>化工</w:t>
                  </w:r>
                  <w:r>
                    <w:rPr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8 </w:t>
                  </w:r>
                  <w:r>
                    <w:rPr>
                      <w:spacing w:val="8"/>
                      <w:sz w:val="20"/>
                      <w:szCs w:val="20"/>
                    </w:rPr>
                    <w:t>个重点行业，加快淘汰低效落后产能。严格执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行质量、环保、能耗、安全等法规标准，按照《产业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结构调整指导目录》，对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“</w:t>
                  </w:r>
                  <w:r>
                    <w:rPr>
                      <w:spacing w:val="9"/>
                      <w:sz w:val="20"/>
                      <w:szCs w:val="20"/>
                    </w:rPr>
                    <w:t>淘汰类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”</w:t>
                  </w:r>
                  <w:r>
                    <w:rPr>
                      <w:spacing w:val="9"/>
                      <w:sz w:val="20"/>
                      <w:szCs w:val="20"/>
                    </w:rPr>
                    <w:t>落后生产工艺装备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"/>
                      <w:sz w:val="20"/>
                      <w:szCs w:val="20"/>
                    </w:rPr>
                    <w:t>和落后产品全部淘汰出清。各市聚焦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“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高耗能、高污染、 </w:t>
                  </w:r>
                  <w:r>
                    <w:rPr>
                      <w:spacing w:val="9"/>
                      <w:sz w:val="20"/>
                      <w:szCs w:val="20"/>
                    </w:rPr>
                    <w:t>高排放、高风险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”</w:t>
                  </w:r>
                  <w:r>
                    <w:rPr>
                      <w:spacing w:val="9"/>
                      <w:sz w:val="20"/>
                      <w:szCs w:val="20"/>
                    </w:rPr>
                    <w:t>等行业，分类组织实施转移、压减、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整合、关停任务。到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2025 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年，传输通道城市和胶济铁 </w:t>
                  </w:r>
                  <w:r>
                    <w:rPr>
                      <w:spacing w:val="9"/>
                      <w:sz w:val="20"/>
                      <w:szCs w:val="20"/>
                    </w:rPr>
                    <w:t>路沿线地区的钢铁产能应退尽退，沿海地区钢铁产能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占比提升到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70%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以上；提高地炼行业的区域集中度和 </w:t>
                  </w:r>
                  <w:r>
                    <w:rPr>
                      <w:spacing w:val="9"/>
                      <w:sz w:val="20"/>
                      <w:szCs w:val="20"/>
                    </w:rPr>
                    <w:t>规模集约化程度，在布局新的大型炼化一体化项目基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础上，将</w:t>
                  </w:r>
                  <w:r>
                    <w:rPr>
                      <w:spacing w:val="-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500 </w:t>
                  </w:r>
                  <w:r>
                    <w:rPr>
                      <w:spacing w:val="8"/>
                      <w:sz w:val="20"/>
                      <w:szCs w:val="20"/>
                    </w:rPr>
                    <w:t>万吨及以下未实现炼化一体化的地炼企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业炼油产能分批分步进行整合转移；全省焦化企业户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数压减到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20 </w:t>
                  </w:r>
                  <w:r>
                    <w:rPr>
                      <w:spacing w:val="6"/>
                      <w:sz w:val="20"/>
                      <w:szCs w:val="20"/>
                    </w:rPr>
                    <w:t>家以内，单厂区焦化产能</w:t>
                  </w:r>
                  <w:r>
                    <w:rPr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100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万吨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</w:t>
                  </w:r>
                  <w:r>
                    <w:rPr>
                      <w:spacing w:val="6"/>
                      <w:sz w:val="20"/>
                      <w:szCs w:val="20"/>
                    </w:rPr>
                    <w:t>年以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下的全部退出；除特种水泥熟料和化工配套水泥熟料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生产线外，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2500  </w:t>
                  </w:r>
                  <w:r>
                    <w:rPr>
                      <w:spacing w:val="8"/>
                      <w:sz w:val="20"/>
                      <w:szCs w:val="20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/</w:t>
                  </w:r>
                  <w:r>
                    <w:rPr>
                      <w:spacing w:val="8"/>
                      <w:sz w:val="20"/>
                      <w:szCs w:val="20"/>
                    </w:rPr>
                    <w:t>日以下的水泥熟料生产线全部整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5"/>
                      <w:sz w:val="20"/>
                      <w:szCs w:val="20"/>
                    </w:rPr>
                    <w:t>合退出。按照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“</w:t>
                  </w:r>
                  <w:r>
                    <w:rPr>
                      <w:spacing w:val="5"/>
                      <w:sz w:val="20"/>
                      <w:szCs w:val="20"/>
                    </w:rPr>
                    <w:t>发现一起、处置一起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的原则，实行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“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散 </w:t>
                  </w:r>
                  <w:r>
                    <w:rPr>
                      <w:spacing w:val="6"/>
                      <w:sz w:val="20"/>
                      <w:szCs w:val="20"/>
                    </w:rPr>
                    <w:t>乱污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”</w:t>
                  </w:r>
                  <w:r>
                    <w:rPr>
                      <w:spacing w:val="6"/>
                      <w:sz w:val="20"/>
                      <w:szCs w:val="20"/>
                    </w:rPr>
                    <w:t>企业动态清零。严格项目准入，高耗能、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高排放 </w:t>
                  </w:r>
                  <w:r>
                    <w:rPr>
                      <w:spacing w:val="8"/>
                      <w:sz w:val="20"/>
                      <w:szCs w:val="20"/>
                    </w:rPr>
                    <w:t>（以下简称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两高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）项目建设做到产能减</w:t>
                  </w:r>
                  <w:r>
                    <w:rPr>
                      <w:spacing w:val="7"/>
                      <w:sz w:val="20"/>
                      <w:szCs w:val="20"/>
                    </w:rPr>
                    <w:t>量、能耗减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量、煤炭减量、碳排放减量和污染物排放减量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“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五个减 </w:t>
                  </w:r>
                  <w:r>
                    <w:rPr>
                      <w:spacing w:val="8"/>
                      <w:sz w:val="20"/>
                      <w:szCs w:val="20"/>
                    </w:rPr>
                    <w:t>量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替代。有序推进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两高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spacing w:val="8"/>
                      <w:sz w:val="20"/>
                      <w:szCs w:val="20"/>
                    </w:rPr>
                    <w:t>项目清理工作，确保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“</w:t>
                  </w:r>
                  <w:r>
                    <w:rPr>
                      <w:spacing w:val="7"/>
                      <w:sz w:val="20"/>
                      <w:szCs w:val="20"/>
                    </w:rPr>
                    <w:t>三个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坚决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”</w:t>
                  </w:r>
                  <w:r>
                    <w:rPr>
                      <w:spacing w:val="6"/>
                      <w:sz w:val="20"/>
                      <w:szCs w:val="20"/>
                    </w:rPr>
                    <w:t>落实到位，未纳入国家规划的炼油、乙烯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、对二 </w:t>
                  </w:r>
                  <w:r>
                    <w:rPr>
                      <w:spacing w:val="8"/>
                      <w:sz w:val="20"/>
                      <w:szCs w:val="20"/>
                    </w:rPr>
                    <w:t>甲苯、煤制油气项目，一律不得建设。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spacing w:line="265" w:lineRule="auto"/>
                  </w:pPr>
                </w:p>
                <w:p>
                  <w:pPr>
                    <w:spacing w:line="265" w:lineRule="auto"/>
                  </w:pPr>
                </w:p>
                <w:p>
                  <w:pPr>
                    <w:spacing w:line="265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pStyle w:val="TableText"/>
                    <w:spacing w:before="65" w:line="249" w:lineRule="auto"/>
                    <w:ind w:left="104" w:right="71" w:firstLine="1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本项目不属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于淘汰低效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落后产能， </w:t>
                  </w:r>
                  <w:r>
                    <w:rPr>
                      <w:spacing w:val="10"/>
                      <w:sz w:val="20"/>
                      <w:szCs w:val="20"/>
                    </w:rPr>
                    <w:t>不属于重点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行业，不属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于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两高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spacing w:val="8"/>
                      <w:sz w:val="20"/>
                      <w:szCs w:val="20"/>
                    </w:rPr>
                    <w:t>行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业。不属于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24"/>
                      <w:sz w:val="20"/>
                      <w:szCs w:val="20"/>
                    </w:rPr>
                    <w:t>“散乱污</w:t>
                  </w:r>
                  <w:r>
                    <w:rPr>
                      <w:spacing w:val="-6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4"/>
                      <w:sz w:val="20"/>
                      <w:szCs w:val="20"/>
                    </w:rPr>
                    <w:t>”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企业，不涉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及左侧所列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情况，符合</w:t>
                  </w:r>
                </w:p>
              </w:tc>
            </w:tr>
            <w:tr>
              <w:tblPrEx>
                <w:tblW w:w="7036" w:type="dxa"/>
                <w:tblInd w:w="10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722"/>
              </w:trPr>
              <w:tc>
                <w:tcPr>
                  <w:tcW w:w="636" w:type="dxa"/>
                  <w:vAlign w:val="top"/>
                </w:tcPr>
                <w:p/>
              </w:tc>
              <w:tc>
                <w:tcPr>
                  <w:tcW w:w="5067" w:type="dxa"/>
                  <w:vAlign w:val="top"/>
                </w:tcPr>
                <w:p>
                  <w:pPr>
                    <w:pStyle w:val="TableText"/>
                    <w:spacing w:before="33" w:line="229" w:lineRule="auto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二、压减煤炭消费量</w:t>
                  </w:r>
                </w:p>
                <w:p>
                  <w:pPr>
                    <w:pStyle w:val="TableText"/>
                    <w:spacing w:before="13" w:line="250" w:lineRule="auto"/>
                    <w:ind w:left="66" w:right="34" w:firstLine="4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持续压减煤炭消费总量，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“</w:t>
                  </w:r>
                  <w:r>
                    <w:rPr>
                      <w:spacing w:val="9"/>
                      <w:sz w:val="20"/>
                      <w:szCs w:val="20"/>
                    </w:rPr>
                    <w:t>十四五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”</w:t>
                  </w:r>
                  <w:r>
                    <w:rPr>
                      <w:spacing w:val="9"/>
                      <w:sz w:val="20"/>
                      <w:szCs w:val="20"/>
                    </w:rPr>
                    <w:t>期间，全省</w:t>
                  </w:r>
                  <w:r>
                    <w:rPr>
                      <w:spacing w:val="8"/>
                      <w:sz w:val="20"/>
                      <w:szCs w:val="20"/>
                    </w:rPr>
                    <w:t>煤炭消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</w:rPr>
                    <w:t>费总量下降</w:t>
                  </w:r>
                  <w:r>
                    <w:rPr>
                      <w:spacing w:val="-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10%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，控制在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3.5 </w:t>
                  </w:r>
                  <w:r>
                    <w:rPr>
                      <w:spacing w:val="7"/>
                      <w:sz w:val="20"/>
                      <w:szCs w:val="20"/>
                    </w:rPr>
                    <w:t>亿吨左右。非化石能源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消费比重提高到</w:t>
                  </w:r>
                  <w:r>
                    <w:rPr>
                      <w:spacing w:val="-1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13%</w:t>
                  </w:r>
                  <w:r>
                    <w:rPr>
                      <w:spacing w:val="9"/>
                      <w:sz w:val="20"/>
                      <w:szCs w:val="20"/>
                    </w:rPr>
                    <w:t>左右。制定碳达峰方案，推动钢 铁、建材、有色、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电力等重点行业率先达峰。加快能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源低碳转型，实施可再生能源倍增行动，到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2025 </w:t>
                  </w:r>
                  <w:r>
                    <w:rPr>
                      <w:spacing w:val="9"/>
                      <w:sz w:val="20"/>
                      <w:szCs w:val="20"/>
                    </w:rPr>
                    <w:t>年，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可再生能源装机规模达到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9000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万千瓦左右。持续推进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“</w:t>
                  </w:r>
                  <w:r>
                    <w:rPr>
                      <w:spacing w:val="7"/>
                      <w:sz w:val="20"/>
                      <w:szCs w:val="20"/>
                    </w:rPr>
                    <w:t>外电入鲁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，到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2025 </w:t>
                  </w:r>
                  <w:r>
                    <w:rPr>
                      <w:spacing w:val="7"/>
                      <w:sz w:val="20"/>
                      <w:szCs w:val="20"/>
                    </w:rPr>
                    <w:t>年，省外来电规模达到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1700 </w:t>
                  </w:r>
                  <w:r>
                    <w:rPr>
                      <w:spacing w:val="7"/>
                      <w:sz w:val="20"/>
                      <w:szCs w:val="20"/>
                    </w:rPr>
                    <w:t>亿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1"/>
                      <w:sz w:val="20"/>
                      <w:szCs w:val="20"/>
                    </w:rPr>
                    <w:t>千瓦时左右。大力推进集中供热和余热利用，淘汰集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中供热范围内的燃煤锅炉和散煤，到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2025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年，工业余 </w:t>
                  </w:r>
                  <w:r>
                    <w:rPr>
                      <w:spacing w:val="8"/>
                      <w:sz w:val="20"/>
                      <w:szCs w:val="20"/>
                    </w:rPr>
                    <w:t>热利用量新增</w:t>
                  </w:r>
                  <w:r>
                    <w:rPr>
                      <w:spacing w:val="-1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1.65 </w:t>
                  </w:r>
                  <w:r>
                    <w:rPr>
                      <w:spacing w:val="8"/>
                      <w:sz w:val="20"/>
                      <w:szCs w:val="20"/>
                    </w:rPr>
                    <w:t>亿平方米。基本完成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30 </w:t>
                  </w:r>
                  <w:r>
                    <w:rPr>
                      <w:spacing w:val="8"/>
                      <w:sz w:val="20"/>
                      <w:szCs w:val="20"/>
                    </w:rPr>
                    <w:t>万千瓦及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以上热电联产电厂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30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公里供热半径范围内低效小热</w:t>
                  </w:r>
                  <w:r>
                    <w:rPr>
                      <w:sz w:val="20"/>
                      <w:szCs w:val="20"/>
                    </w:rPr>
                    <w:t xml:space="preserve">   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电机组（含自备电厂）关停整合。对以煤、石油焦、 </w:t>
                  </w:r>
                  <w:r>
                    <w:rPr>
                      <w:spacing w:val="6"/>
                      <w:sz w:val="20"/>
                      <w:szCs w:val="20"/>
                    </w:rPr>
                    <w:t>渣油、重油等为燃料的工业炉窑，加快使用工厂余热、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电厂热力、清洁能源等进行替代。新、改、扩建熔化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1"/>
                      <w:sz w:val="20"/>
                      <w:szCs w:val="20"/>
                    </w:rPr>
                    <w:t>炉、加热炉、热处理炉、干燥炉原则上使用清洁低碳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能源，不得使用煤炭、重油。按照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“</w:t>
                  </w:r>
                  <w:r>
                    <w:rPr>
                      <w:spacing w:val="6"/>
                      <w:sz w:val="20"/>
                      <w:szCs w:val="20"/>
                    </w:rPr>
                    <w:t>先立后破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的原则，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持续推进清洁取暖改造，扩大集中供热范围，因地制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1"/>
                      <w:sz w:val="20"/>
                      <w:szCs w:val="20"/>
                    </w:rPr>
                    <w:t>宜推行气代煤、电代煤、热代煤、集中生物质等清洁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采暖方式，力争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年采暖季前实现平原地区清洁取 </w:t>
                  </w:r>
                  <w:r>
                    <w:rPr>
                      <w:spacing w:val="15"/>
                      <w:sz w:val="20"/>
                      <w:szCs w:val="20"/>
                    </w:rPr>
                    <w:t>暖全覆盖。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pStyle w:val="TableText"/>
                    <w:spacing w:before="65" w:line="241" w:lineRule="auto"/>
                    <w:ind w:left="115" w:right="171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本项目不涉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及煤炭消</w:t>
                  </w:r>
                </w:p>
                <w:p>
                  <w:pPr>
                    <w:pStyle w:val="TableText"/>
                    <w:spacing w:before="24"/>
                    <w:ind w:left="120" w:right="173" w:hanging="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耗，不使用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高污染燃</w:t>
                  </w:r>
                </w:p>
                <w:p>
                  <w:pPr>
                    <w:pStyle w:val="TableText"/>
                    <w:spacing w:before="22" w:line="244" w:lineRule="auto"/>
                    <w:ind w:left="116" w:right="17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料，耗能主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要为电能，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符合</w:t>
                  </w:r>
                </w:p>
              </w:tc>
            </w:tr>
            <w:tr>
              <w:tblPrEx>
                <w:tblW w:w="7036" w:type="dxa"/>
                <w:tblInd w:w="10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2"/>
              </w:trPr>
              <w:tc>
                <w:tcPr>
                  <w:tcW w:w="636" w:type="dxa"/>
                  <w:vAlign w:val="top"/>
                </w:tcPr>
                <w:p/>
              </w:tc>
              <w:tc>
                <w:tcPr>
                  <w:tcW w:w="5067" w:type="dxa"/>
                  <w:vAlign w:val="top"/>
                </w:tcPr>
                <w:p>
                  <w:pPr>
                    <w:pStyle w:val="TableText"/>
                    <w:spacing w:before="37" w:line="228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三、优化货物运输方式</w:t>
                  </w:r>
                </w:p>
                <w:p>
                  <w:pPr>
                    <w:pStyle w:val="TableText"/>
                    <w:spacing w:before="24" w:line="215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优化交通运输结构，大力发展铁港联运，基本形成大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pStyle w:val="TableText"/>
                    <w:spacing w:before="37" w:line="233" w:lineRule="auto"/>
                    <w:ind w:left="115" w:right="171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本项目不涉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及大宗物料</w:t>
                  </w:r>
                </w:p>
              </w:tc>
            </w:tr>
          </w:tbl>
          <w:p>
            <w:pPr>
              <w:spacing w:line="16" w:lineRule="exact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3"/>
          <w:pgSz w:w="11906" w:h="16839"/>
          <w:pgMar w:top="1431" w:right="1564" w:bottom="1240" w:left="1563" w:header="0" w:footer="1078" w:gutter="0"/>
          <w:pgNumType w:start="20"/>
          <w:cols w:num="1" w:space="720"/>
        </w:sectPr>
      </w:pPr>
    </w:p>
    <w:p>
      <w:pPr>
        <w:spacing w:before="28"/>
      </w:pPr>
    </w:p>
    <w:tbl>
      <w:tblPr>
        <w:tblStyle w:val="TableNormal019"/>
        <w:tblW w:w="8763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63"/>
      </w:tblGrid>
      <w:tr>
        <w:tblPrEx>
          <w:tblW w:w="8763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9"/>
        </w:trPr>
        <w:tc>
          <w:tcPr>
            <w:tcW w:w="8763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042" o:spid="_x0000_s1042" style="width:0.5pt;height:670.8pt;margin-top:0.95pt;margin-left:74.8pt;mso-height-relative:page;mso-position-horizontal-relative:page;mso-position-vertical-relative:page;mso-width-relative:page;position:absolute;z-index:251676672" coordsize="21600,21600" filled="t" fillcolor="black" stroked="f"/>
              </w:pict>
            </w:r>
          </w:p>
          <w:tbl>
            <w:tblPr>
              <w:tblStyle w:val="TableNormal019"/>
              <w:tblW w:w="7036" w:type="dxa"/>
              <w:tblInd w:w="16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36"/>
              <w:gridCol w:w="5067"/>
              <w:gridCol w:w="1333"/>
            </w:tblGrid>
            <w:tr>
              <w:tblPrEx>
                <w:tblW w:w="7036" w:type="dxa"/>
                <w:tblInd w:w="16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36"/>
              </w:trPr>
              <w:tc>
                <w:tcPr>
                  <w:tcW w:w="636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506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tabs>
                      <w:tab w:val="left" w:pos="5027"/>
                    </w:tabs>
                    <w:spacing w:before="39" w:line="248" w:lineRule="auto"/>
                    <w:ind w:left="112" w:right="3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宗货物和集装箱中长距离运输以铁路、水路或管道为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主的格局。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 xml:space="preserve">2.5 </w:t>
                  </w:r>
                  <w:r>
                    <w:rPr>
                      <w:spacing w:val="8"/>
                      <w:sz w:val="20"/>
                      <w:szCs w:val="20"/>
                    </w:rPr>
                    <w:t>和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2"/>
                      <w:szCs w:val="12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未达标的城市，</w:t>
                  </w:r>
                  <w:r>
                    <w:rPr>
                      <w:spacing w:val="7"/>
                      <w:sz w:val="20"/>
                      <w:szCs w:val="20"/>
                    </w:rPr>
                    <w:t>新、改、扩建</w:t>
                  </w:r>
                  <w:r>
                    <w:rPr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项目涉及大宗物料运输的，应采用清洁运输方式。支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持砂石、煤炭、钢铁、</w:t>
                  </w:r>
                  <w:r>
                    <w:rPr>
                      <w:spacing w:val="-6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电解铝、</w:t>
                  </w:r>
                  <w:r>
                    <w:rPr>
                      <w:spacing w:val="-6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电力、焦化、水泥等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</w:rPr>
                    <w:t>年运输量</w:t>
                  </w:r>
                  <w:r>
                    <w:rPr>
                      <w:spacing w:val="-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150 </w:t>
                  </w:r>
                  <w:r>
                    <w:rPr>
                      <w:spacing w:val="7"/>
                      <w:sz w:val="20"/>
                      <w:szCs w:val="20"/>
                    </w:rPr>
                    <w:t>万吨以上的大型工矿企业以及大型物流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园区新（改、扩）建铁路专用线。未建成铁路专用线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的，优先采用公铁联运、新能源车辆以及封闭式皮带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4"/>
                      <w:sz w:val="20"/>
                      <w:szCs w:val="20"/>
                    </w:rPr>
                    <w:t>廊道等方式运输。加快构建覆盖全省的原油、成品油、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天然气输送网络，完成山东天然气环网及成品油管道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建设。到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2025  </w:t>
                  </w:r>
                  <w:r>
                    <w:rPr>
                      <w:spacing w:val="4"/>
                      <w:sz w:val="20"/>
                      <w:szCs w:val="20"/>
                    </w:rPr>
                    <w:t>年，大宗物料清洁运输比例大幅提升。</w:t>
                  </w:r>
                </w:p>
              </w:tc>
              <w:tc>
                <w:tcPr>
                  <w:tcW w:w="1333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28" w:lineRule="auto"/>
                    <w:ind w:left="1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运输，符合</w:t>
                  </w:r>
                </w:p>
              </w:tc>
            </w:tr>
            <w:tr>
              <w:tblPrEx>
                <w:tblW w:w="7036" w:type="dxa"/>
                <w:tblInd w:w="160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083"/>
              </w:trPr>
              <w:tc>
                <w:tcPr>
                  <w:tcW w:w="636" w:type="dxa"/>
                  <w:vAlign w:val="top"/>
                </w:tcPr>
                <w:p/>
              </w:tc>
              <w:tc>
                <w:tcPr>
                  <w:tcW w:w="5067" w:type="dxa"/>
                  <w:vAlign w:val="top"/>
                </w:tcPr>
                <w:p>
                  <w:pPr>
                    <w:pStyle w:val="TableText"/>
                    <w:spacing w:before="32" w:line="229" w:lineRule="auto"/>
                    <w:ind w:left="13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 xml:space="preserve">四、实施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全过程污染防治</w:t>
                  </w:r>
                </w:p>
                <w:p>
                  <w:pPr>
                    <w:pStyle w:val="TableText"/>
                    <w:spacing w:before="23" w:line="250" w:lineRule="auto"/>
                    <w:ind w:left="111" w:right="49" w:firstLine="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 xml:space="preserve">实施低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含量工业涂料、油墨、胶粘剂、清洗剂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等原辅料使用替代。新、改、扩建工业涂装、包装印 刷等含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原辅材料使用的项目，原则上使用低</w:t>
                  </w:r>
                  <w:r>
                    <w:rPr>
                      <w:sz w:val="20"/>
                      <w:szCs w:val="20"/>
                    </w:rPr>
                    <w:t xml:space="preserve">   </w:t>
                  </w:r>
                  <w:r>
                    <w:rPr>
                      <w:spacing w:val="5"/>
                      <w:sz w:val="20"/>
                      <w:szCs w:val="20"/>
                    </w:rPr>
                    <w:t>（无）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5"/>
                      <w:sz w:val="20"/>
                      <w:szCs w:val="20"/>
                    </w:rPr>
                    <w:t>含量产品。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2025  </w:t>
                  </w:r>
                  <w:r>
                    <w:rPr>
                      <w:spacing w:val="5"/>
                      <w:sz w:val="20"/>
                      <w:szCs w:val="20"/>
                    </w:rPr>
                    <w:t>年年底前，各市至少建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立</w:t>
                  </w:r>
                  <w:r>
                    <w:rPr>
                      <w:spacing w:val="-3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30 </w:t>
                  </w:r>
                  <w:r>
                    <w:rPr>
                      <w:spacing w:val="5"/>
                      <w:sz w:val="20"/>
                      <w:szCs w:val="20"/>
                    </w:rPr>
                    <w:t>个替代试点项目，全省溶剂型工业涂料、溶剂型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油墨使用比例分别降低</w:t>
                  </w:r>
                  <w:r>
                    <w:rPr>
                      <w:spacing w:val="-3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15 </w:t>
                  </w:r>
                  <w:r>
                    <w:rPr>
                      <w:spacing w:val="4"/>
                      <w:sz w:val="20"/>
                      <w:szCs w:val="20"/>
                    </w:rPr>
                    <w:t>个百分点，溶剂型胶粘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剂使用量下降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20%</w:t>
                  </w:r>
                  <w:r>
                    <w:rPr>
                      <w:spacing w:val="5"/>
                      <w:sz w:val="20"/>
                      <w:szCs w:val="20"/>
                    </w:rPr>
                    <w:t>。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2021 </w:t>
                  </w:r>
                  <w:r>
                    <w:rPr>
                      <w:spacing w:val="5"/>
                      <w:sz w:val="20"/>
                      <w:szCs w:val="20"/>
                    </w:rPr>
                    <w:t>年年底前，完成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现有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VOCs  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废气收集率、治理设施同步运行率和去除率排查工作， 对达不到要求的收集、治理设施进行更换或升级改造； 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组织开展有机废气排放系统旁路摸底排查，取消非必 要的旁路，确因安全生产等原因无法取消的，应安装 </w:t>
                  </w:r>
                  <w:r>
                    <w:rPr>
                      <w:spacing w:val="7"/>
                      <w:sz w:val="20"/>
                      <w:szCs w:val="20"/>
                    </w:rPr>
                    <w:t>有效的监控装置纳入监管。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2025 </w:t>
                  </w:r>
                  <w:r>
                    <w:rPr>
                      <w:spacing w:val="7"/>
                      <w:sz w:val="20"/>
                      <w:szCs w:val="20"/>
                    </w:rPr>
                    <w:t>年年底前，炼化企业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基本完成延迟焦化装置密闭除焦改造。强化装载废气 </w:t>
                  </w:r>
                  <w:r>
                    <w:rPr>
                      <w:spacing w:val="7"/>
                      <w:sz w:val="20"/>
                      <w:szCs w:val="20"/>
                    </w:rPr>
                    <w:t>收集治理，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2022 </w:t>
                  </w:r>
                  <w:r>
                    <w:rPr>
                      <w:spacing w:val="7"/>
                      <w:sz w:val="20"/>
                      <w:szCs w:val="20"/>
                    </w:rPr>
                    <w:t>年年底前，万吨级以上原油、成品油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码头全部完成油气回收治理。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2025 </w:t>
                  </w:r>
                  <w:r>
                    <w:rPr>
                      <w:spacing w:val="8"/>
                      <w:sz w:val="20"/>
                      <w:szCs w:val="20"/>
                    </w:rPr>
                    <w:t>年年底前，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80%</w:t>
                  </w:r>
                  <w:r>
                    <w:rPr>
                      <w:spacing w:val="8"/>
                      <w:sz w:val="20"/>
                      <w:szCs w:val="20"/>
                    </w:rPr>
                    <w:t>以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上的油品运输船舶具备油气回收条件。符合国家标准 规定的储油库和依法被确定为重点排污单位的加油</w:t>
                  </w:r>
                </w:p>
                <w:p>
                  <w:pPr>
                    <w:pStyle w:val="TableText"/>
                    <w:spacing w:before="23" w:line="247" w:lineRule="auto"/>
                    <w:ind w:left="111" w:right="4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 xml:space="preserve">站，应安装油气回收自动监控设备并与生态环境部门 </w:t>
                  </w:r>
                  <w:r>
                    <w:rPr>
                      <w:spacing w:val="10"/>
                      <w:sz w:val="20"/>
                      <w:szCs w:val="20"/>
                    </w:rPr>
                    <w:t>联网。持续推行加油站、油库夜间加油、卸油措施。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推动企业持续、规范开展泄漏检测与修复（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LDAR</w:t>
                  </w:r>
                  <w:r>
                    <w:rPr>
                      <w:spacing w:val="-18"/>
                      <w:sz w:val="20"/>
                      <w:szCs w:val="20"/>
                    </w:rPr>
                    <w:t>），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提升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LDAR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质量，鼓励石化、有机化工等大型企业自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行开展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LDAR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。加强监督检查，每年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12"/>
                      <w:szCs w:val="12"/>
                    </w:rPr>
                    <w:t xml:space="preserve">3  </w:t>
                  </w:r>
                  <w:r>
                    <w:rPr>
                      <w:spacing w:val="7"/>
                      <w:sz w:val="20"/>
                      <w:szCs w:val="20"/>
                    </w:rPr>
                    <w:t>污染高发季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前，对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LDAR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开展情况进行抽测和检查。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2023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年年底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前，石化、化工行业集中的城市和工业园区要建立统 一的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LDAR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信息管理平台。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spacing w:line="256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pStyle w:val="TableText"/>
                    <w:spacing w:before="65"/>
                    <w:ind w:left="118" w:right="171" w:hanging="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符合，项目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不涉及</w:t>
                  </w:r>
                </w:p>
                <w:p>
                  <w:pPr>
                    <w:pStyle w:val="TableText"/>
                    <w:spacing w:before="25" w:line="228" w:lineRule="auto"/>
                    <w:ind w:left="10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产排。</w:t>
                  </w:r>
                </w:p>
              </w:tc>
            </w:tr>
            <w:tr>
              <w:tblPrEx>
                <w:tblW w:w="7036" w:type="dxa"/>
                <w:tblInd w:w="160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60"/>
              </w:trPr>
              <w:tc>
                <w:tcPr>
                  <w:tcW w:w="636" w:type="dxa"/>
                  <w:vAlign w:val="top"/>
                </w:tcPr>
                <w:p/>
              </w:tc>
              <w:tc>
                <w:tcPr>
                  <w:tcW w:w="5067" w:type="dxa"/>
                  <w:vAlign w:val="top"/>
                </w:tcPr>
                <w:p>
                  <w:pPr>
                    <w:pStyle w:val="TableText"/>
                    <w:spacing w:before="36" w:line="229" w:lineRule="auto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15"/>
                      <w:sz w:val="20"/>
                      <w:szCs w:val="20"/>
                    </w:rPr>
                    <w:t>五、强化工业源</w:t>
                  </w:r>
                  <w:r>
                    <w:rPr>
                      <w:spacing w:val="-4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spacing w:val="15"/>
                      <w:sz w:val="20"/>
                      <w:szCs w:val="20"/>
                    </w:rPr>
                    <w:t>深度治理</w:t>
                  </w:r>
                </w:p>
                <w:p>
                  <w:pPr>
                    <w:pStyle w:val="TableText"/>
                    <w:spacing w:before="24" w:line="247" w:lineRule="auto"/>
                    <w:ind w:left="111" w:right="105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严格治理设施运行监管，燃煤机组、锅炉、钢铁企业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污染排放稳定达到超低排放要求。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7"/>
                      <w:sz w:val="20"/>
                      <w:szCs w:val="20"/>
                    </w:rPr>
                    <w:t>年年底前，完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成焦化、水泥行业超低排放改造。实施玻璃、陶瓷、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铸造、铁合金、有色等行业污染深度治理，确保各类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大气污染物稳定达标排放。重点涉气排放企业取消烟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气旁路，确因安全生产等原因无法取消的，应安装有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效监控装置纳入监管。引导重点企业在秋冬季安排停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产检修、维修，减少污染物排放。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spacing w:line="260" w:lineRule="auto"/>
                  </w:pPr>
                </w:p>
                <w:p>
                  <w:pPr>
                    <w:spacing w:line="260" w:lineRule="auto"/>
                  </w:pPr>
                </w:p>
                <w:p>
                  <w:pPr>
                    <w:spacing w:line="261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105" w:right="171" w:firstLine="1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项目不涉及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的排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放，符合</w:t>
                  </w:r>
                </w:p>
              </w:tc>
            </w:tr>
          </w:tbl>
          <w:p>
            <w:pPr>
              <w:pStyle w:val="TableText"/>
              <w:spacing w:before="35" w:line="468" w:lineRule="exact"/>
              <w:ind w:left="208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position w:val="17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8"/>
                <w:position w:val="17"/>
              </w:rPr>
              <w:t xml:space="preserve"> </w:t>
            </w:r>
            <w:r>
              <w:rPr>
                <w:spacing w:val="-4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、与《关于严格项目审批工作坚决防止新上“散乱污</w:t>
            </w:r>
            <w:r>
              <w:rPr>
                <w:spacing w:val="-86"/>
                <w:position w:val="17"/>
              </w:rPr>
              <w:t xml:space="preserve"> </w:t>
            </w:r>
            <w:r>
              <w:rPr>
                <w:spacing w:val="-4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”项目的</w:t>
            </w:r>
          </w:p>
          <w:p>
            <w:pPr>
              <w:pStyle w:val="TableText"/>
              <w:spacing w:line="220" w:lineRule="auto"/>
              <w:ind w:left="161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通知》（鲁环字【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2021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】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58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  <w:w w:val="101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号）符合性分析。</w:t>
            </w:r>
          </w:p>
        </w:tc>
      </w:tr>
    </w:tbl>
    <w:p>
      <w:pPr>
        <w:pStyle w:val="BodyText"/>
      </w:pPr>
    </w:p>
    <w:p>
      <w:pPr>
        <w:sectPr>
          <w:footerReference w:type="default" r:id="rId24"/>
          <w:pgSz w:w="11906" w:h="16839"/>
          <w:pgMar w:top="1431" w:right="1564" w:bottom="1240" w:left="1563" w:header="0" w:footer="1078" w:gutter="0"/>
          <w:pgNumType w:start="21"/>
          <w:cols w:num="1" w:space="720"/>
        </w:sectPr>
      </w:pPr>
    </w:p>
    <w:p>
      <w:pPr>
        <w:spacing w:before="28"/>
      </w:pPr>
    </w:p>
    <w:tbl>
      <w:tblPr>
        <w:tblStyle w:val="TableNormal020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7258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4"/>
        </w:trPr>
        <w:tc>
          <w:tcPr>
            <w:tcW w:w="1505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25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7" w:line="228" w:lineRule="auto"/>
              <w:ind w:left="10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1-7    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与《关于严格项目审批工作坚决防止新上“散乱污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”项目的通知》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</w:t>
            </w:r>
          </w:p>
          <w:p>
            <w:pPr>
              <w:pStyle w:val="TableText"/>
              <w:spacing w:before="160" w:line="229" w:lineRule="auto"/>
              <w:ind w:left="321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合性分析</w:t>
            </w:r>
          </w:p>
          <w:p>
            <w:pPr>
              <w:spacing w:line="128" w:lineRule="exact"/>
            </w:pPr>
          </w:p>
          <w:tbl>
            <w:tblPr>
              <w:tblStyle w:val="TableNormal020"/>
              <w:tblW w:w="6935" w:type="dxa"/>
              <w:tblInd w:w="15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983"/>
              <w:gridCol w:w="1952"/>
            </w:tblGrid>
            <w:tr>
              <w:tblPrEx>
                <w:tblW w:w="6935" w:type="dxa"/>
                <w:tblInd w:w="15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2"/>
              </w:trPr>
              <w:tc>
                <w:tcPr>
                  <w:tcW w:w="4983" w:type="dxa"/>
                  <w:vAlign w:val="top"/>
                </w:tcPr>
                <w:p>
                  <w:pPr>
                    <w:pStyle w:val="TableText"/>
                    <w:spacing w:before="35" w:line="218" w:lineRule="auto"/>
                    <w:ind w:left="207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文件要求</w:t>
                  </w:r>
                </w:p>
              </w:tc>
              <w:tc>
                <w:tcPr>
                  <w:tcW w:w="1952" w:type="dxa"/>
                  <w:vAlign w:val="top"/>
                </w:tcPr>
                <w:p>
                  <w:pPr>
                    <w:pStyle w:val="TableText"/>
                    <w:spacing w:before="35" w:line="218" w:lineRule="auto"/>
                    <w:ind w:left="24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项目符合性分析</w:t>
                  </w:r>
                </w:p>
              </w:tc>
            </w:tr>
            <w:tr>
              <w:tblPrEx>
                <w:tblW w:w="6935" w:type="dxa"/>
                <w:tblInd w:w="1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28"/>
              </w:trPr>
              <w:tc>
                <w:tcPr>
                  <w:tcW w:w="4983" w:type="dxa"/>
                  <w:vAlign w:val="top"/>
                </w:tcPr>
                <w:p>
                  <w:pPr>
                    <w:pStyle w:val="TableText"/>
                    <w:spacing w:before="31" w:line="248" w:lineRule="auto"/>
                    <w:ind w:left="114" w:right="104" w:firstLine="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一、认真贯彻执行产业政策。新上项目必须符合国家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产业政策要求，禁止采用国家公布的淘汰工艺和落后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设备，不得引进耗能高、污染大、生产粗放、</w:t>
                  </w:r>
                  <w:r>
                    <w:rPr>
                      <w:spacing w:val="6"/>
                      <w:sz w:val="20"/>
                      <w:szCs w:val="20"/>
                    </w:rPr>
                    <w:t>不符合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国家产业政策的项目。各级立项部门在为企业</w:t>
                  </w:r>
                  <w:r>
                    <w:rPr>
                      <w:spacing w:val="6"/>
                      <w:sz w:val="20"/>
                      <w:szCs w:val="20"/>
                    </w:rPr>
                    <w:t>办理手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续时，要认真对照《产业结构调整指导目录（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 xml:space="preserve">2019  </w:t>
                  </w:r>
                  <w:r>
                    <w:rPr>
                      <w:spacing w:val="2"/>
                      <w:sz w:val="20"/>
                      <w:szCs w:val="20"/>
                    </w:rPr>
                    <w:t>年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本）》 （如有更新，以更新后文件为准</w:t>
                  </w:r>
                  <w:r>
                    <w:rPr>
                      <w:spacing w:val="15"/>
                      <w:sz w:val="20"/>
                      <w:szCs w:val="20"/>
                    </w:rPr>
                    <w:t>），</w:t>
                  </w:r>
                  <w:r>
                    <w:rPr>
                      <w:spacing w:val="9"/>
                      <w:sz w:val="20"/>
                      <w:szCs w:val="20"/>
                    </w:rPr>
                    <w:t>对</w:t>
                  </w:r>
                  <w:r>
                    <w:rPr>
                      <w:spacing w:val="8"/>
                      <w:sz w:val="20"/>
                      <w:szCs w:val="20"/>
                    </w:rPr>
                    <w:t>鼓励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类项目，按照有关规定审批、核准或备案；对限制类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项目，禁止新建，现有生产能力允许在一定期</w:t>
                  </w:r>
                  <w:r>
                    <w:rPr>
                      <w:spacing w:val="6"/>
                      <w:sz w:val="20"/>
                      <w:szCs w:val="20"/>
                    </w:rPr>
                    <w:t>限内改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造升级；对淘汰类项目，市场主体不得进入，行政机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关不予审批。</w:t>
                  </w:r>
                </w:p>
              </w:tc>
              <w:tc>
                <w:tcPr>
                  <w:tcW w:w="1952" w:type="dxa"/>
                  <w:vAlign w:val="top"/>
                </w:tcPr>
                <w:p>
                  <w:pPr>
                    <w:pStyle w:val="TableText"/>
                    <w:spacing w:before="166"/>
                    <w:ind w:left="116" w:right="162" w:hanging="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本项目不包含淘汰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工艺和落后设备，</w:t>
                  </w:r>
                </w:p>
                <w:p>
                  <w:pPr>
                    <w:pStyle w:val="TableText"/>
                    <w:spacing w:before="24" w:line="248" w:lineRule="auto"/>
                    <w:ind w:left="113" w:right="38" w:firstLine="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不属于生产粗放型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项目，符合国家产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业政策。根据产业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结构调整指导目录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3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 xml:space="preserve">2019 </w:t>
                  </w:r>
                  <w:r>
                    <w:rPr>
                      <w:spacing w:val="3"/>
                      <w:sz w:val="20"/>
                      <w:szCs w:val="20"/>
                    </w:rPr>
                    <w:t>年本</w:t>
                  </w:r>
                  <w:r>
                    <w:rPr>
                      <w:spacing w:val="16"/>
                      <w:sz w:val="20"/>
                      <w:szCs w:val="20"/>
                    </w:rPr>
                    <w:t>），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不 </w:t>
                  </w:r>
                  <w:r>
                    <w:rPr>
                      <w:spacing w:val="8"/>
                      <w:sz w:val="20"/>
                      <w:szCs w:val="20"/>
                    </w:rPr>
                    <w:t>属于限制类、淘汰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-1"/>
                      <w:sz w:val="20"/>
                      <w:szCs w:val="20"/>
                    </w:rPr>
                    <w:t>类建设项目，符合。</w:t>
                  </w:r>
                </w:p>
              </w:tc>
            </w:tr>
            <w:tr>
              <w:tblPrEx>
                <w:tblW w:w="6935" w:type="dxa"/>
                <w:tblInd w:w="1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0"/>
              </w:trPr>
              <w:tc>
                <w:tcPr>
                  <w:tcW w:w="4983" w:type="dxa"/>
                  <w:vAlign w:val="top"/>
                </w:tcPr>
                <w:p>
                  <w:pPr>
                    <w:pStyle w:val="TableText"/>
                    <w:spacing w:before="29" w:line="244" w:lineRule="auto"/>
                    <w:ind w:left="115" w:right="104" w:firstLine="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二、强化规划刚性约束。新上项目必须符合国土空间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规划、产业发展规划等要求，积极引导产业</w:t>
                  </w:r>
                  <w:r>
                    <w:rPr>
                      <w:spacing w:val="2"/>
                      <w:sz w:val="20"/>
                      <w:szCs w:val="20"/>
                    </w:rPr>
                    <w:t>园区外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“</w:t>
                  </w:r>
                  <w:r>
                    <w:rPr>
                      <w:spacing w:val="2"/>
                      <w:sz w:val="20"/>
                      <w:szCs w:val="20"/>
                    </w:rPr>
                    <w:t>散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乱污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”</w:t>
                  </w:r>
                  <w:r>
                    <w:rPr>
                      <w:spacing w:val="9"/>
                      <w:sz w:val="20"/>
                      <w:szCs w:val="20"/>
                    </w:rPr>
                    <w:t>整治搬迁改造企业进入产业园区或工业集聚</w:t>
                  </w:r>
                </w:p>
                <w:p>
                  <w:pPr>
                    <w:pStyle w:val="TableText"/>
                    <w:spacing w:before="24" w:line="243" w:lineRule="auto"/>
                    <w:ind w:left="118" w:right="106" w:firstLine="1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区，并鼓励租赁标准厂房。按照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布局集中、用地集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约、产业集聚、空间优化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的原则，高标准制定产业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发展规划，明确主导产业、布局和产业发展方向，引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导企业规范化、规模化、集约化发展。</w:t>
                  </w:r>
                </w:p>
              </w:tc>
              <w:tc>
                <w:tcPr>
                  <w:tcW w:w="1952" w:type="dxa"/>
                  <w:vAlign w:val="top"/>
                </w:tcPr>
                <w:p>
                  <w:pPr>
                    <w:spacing w:line="371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11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项目位于工业园</w:t>
                  </w:r>
                </w:p>
                <w:p>
                  <w:pPr>
                    <w:pStyle w:val="TableText"/>
                    <w:spacing w:before="26" w:line="244" w:lineRule="auto"/>
                    <w:ind w:left="113" w:right="162" w:firstLine="1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区，符合国土空间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规划、产业发展规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划要求。</w:t>
                  </w:r>
                </w:p>
              </w:tc>
            </w:tr>
            <w:tr>
              <w:tblPrEx>
                <w:tblW w:w="6935" w:type="dxa"/>
                <w:tblInd w:w="1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38"/>
              </w:trPr>
              <w:tc>
                <w:tcPr>
                  <w:tcW w:w="4983" w:type="dxa"/>
                  <w:vAlign w:val="top"/>
                </w:tcPr>
                <w:p>
                  <w:pPr>
                    <w:pStyle w:val="TableText"/>
                    <w:spacing w:before="35" w:line="245" w:lineRule="auto"/>
                    <w:ind w:left="113" w:right="75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三、科学把好项目选址关。新建有污染物排</w:t>
                  </w:r>
                  <w:r>
                    <w:rPr>
                      <w:spacing w:val="6"/>
                      <w:sz w:val="20"/>
                      <w:szCs w:val="20"/>
                    </w:rPr>
                    <w:t>放的工业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项目，除在安全生产等方面有特殊要求的以外，应当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进入工业园区或工业集聚区。各市要本着节约利用土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地的原则，充分考虑项目周边环境、资金投入、推进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速度等关键要素，合理选址，科学布局，切实做到符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合用地政策，确保规划建设的项目有利于长远发展。</w:t>
                  </w:r>
                </w:p>
              </w:tc>
              <w:tc>
                <w:tcPr>
                  <w:tcW w:w="1952" w:type="dxa"/>
                  <w:vAlign w:val="top"/>
                </w:tcPr>
                <w:p>
                  <w:pPr>
                    <w:pStyle w:val="TableText"/>
                    <w:spacing w:before="186" w:line="245" w:lineRule="auto"/>
                    <w:ind w:left="114" w:right="16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本项目所在区域为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工业园区，符合当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地发展总体规划，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符合。</w:t>
                  </w:r>
                </w:p>
              </w:tc>
            </w:tr>
            <w:tr>
              <w:tblPrEx>
                <w:tblW w:w="6935" w:type="dxa"/>
                <w:tblInd w:w="1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1"/>
              </w:trPr>
              <w:tc>
                <w:tcPr>
                  <w:tcW w:w="4983" w:type="dxa"/>
                  <w:vAlign w:val="top"/>
                </w:tcPr>
                <w:p>
                  <w:pPr>
                    <w:pStyle w:val="TableText"/>
                    <w:spacing w:before="35" w:line="246" w:lineRule="auto"/>
                    <w:ind w:left="114" w:right="91" w:firstLine="2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四、严把项目环评审批关。新上项目必须严格执行环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评审批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三挂钩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spacing w:val="8"/>
                      <w:sz w:val="20"/>
                      <w:szCs w:val="20"/>
                    </w:rPr>
                    <w:t>机制和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五个不批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spacing w:val="8"/>
                      <w:sz w:val="20"/>
                      <w:szCs w:val="20"/>
                    </w:rPr>
                    <w:t>要求，落实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三线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一单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”  </w:t>
                  </w:r>
                  <w:r>
                    <w:rPr>
                      <w:spacing w:val="6"/>
                      <w:sz w:val="20"/>
                      <w:szCs w:val="20"/>
                    </w:rPr>
                    <w:t>生态环境分区管控要求。强化替代约束，涉及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主要污染物排放的，必须落实区域污染物排放替代，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确保增产减污；涉及煤炭消耗的，必须落实煤炭消费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减量替代，否则各级环评审批部门一律不予审批通  </w:t>
                  </w:r>
                  <w:r>
                    <w:rPr>
                      <w:sz w:val="20"/>
                      <w:szCs w:val="20"/>
                    </w:rPr>
                    <w:t>过。</w:t>
                  </w:r>
                </w:p>
              </w:tc>
              <w:tc>
                <w:tcPr>
                  <w:tcW w:w="1952" w:type="dxa"/>
                  <w:vAlign w:val="top"/>
                </w:tcPr>
                <w:p>
                  <w:pPr>
                    <w:pStyle w:val="TableText"/>
                    <w:spacing w:before="171" w:line="247" w:lineRule="auto"/>
                    <w:ind w:left="115" w:right="16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本项目符合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“</w:t>
                  </w:r>
                  <w:r>
                    <w:rPr>
                      <w:spacing w:val="7"/>
                      <w:sz w:val="20"/>
                      <w:szCs w:val="20"/>
                    </w:rPr>
                    <w:t>三线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一单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spacing w:val="8"/>
                      <w:sz w:val="20"/>
                      <w:szCs w:val="20"/>
                    </w:rPr>
                    <w:t>生态环境分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区管控要求。项目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按倍量替代要求取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得总量控制指标，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符合。</w:t>
                  </w:r>
                </w:p>
              </w:tc>
            </w:tr>
            <w:tr>
              <w:tblPrEx>
                <w:tblW w:w="6935" w:type="dxa"/>
                <w:tblInd w:w="1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38"/>
              </w:trPr>
              <w:tc>
                <w:tcPr>
                  <w:tcW w:w="4983" w:type="dxa"/>
                  <w:vAlign w:val="top"/>
                </w:tcPr>
                <w:p>
                  <w:pPr>
                    <w:pStyle w:val="TableText"/>
                    <w:spacing w:before="35" w:line="245" w:lineRule="auto"/>
                    <w:ind w:left="114" w:right="36" w:firstLine="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五、建立部门联动协调机制。各级发展改革、工业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和 </w:t>
                  </w:r>
                  <w:r>
                    <w:rPr>
                      <w:spacing w:val="1"/>
                      <w:sz w:val="20"/>
                      <w:szCs w:val="20"/>
                    </w:rPr>
                    <w:t>信息化、自然资源、生态环境等部门要按照职责分工，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建立长效工作机制，密切配合，强化对项目产业政策、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固定资产投资、能耗、用地标准、环境等的论证，对 不符合要求的，一律不得办理立项、规划、土地、环 评等手续。</w:t>
                  </w:r>
                </w:p>
              </w:tc>
              <w:tc>
                <w:tcPr>
                  <w:tcW w:w="1952" w:type="dxa"/>
                  <w:vAlign w:val="top"/>
                </w:tcPr>
                <w:p>
                  <w:pPr>
                    <w:spacing w:line="242" w:lineRule="auto"/>
                  </w:pPr>
                </w:p>
                <w:p>
                  <w:pPr>
                    <w:pStyle w:val="TableText"/>
                    <w:spacing w:before="65" w:line="245" w:lineRule="auto"/>
                    <w:ind w:left="114" w:right="16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本项目所在区域为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工业园区，项目建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设符合当地发展总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体规划，符合。</w:t>
                  </w:r>
                </w:p>
              </w:tc>
            </w:tr>
            <w:tr>
              <w:tblPrEx>
                <w:tblW w:w="6935" w:type="dxa"/>
                <w:tblInd w:w="1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43"/>
              </w:trPr>
              <w:tc>
                <w:tcPr>
                  <w:tcW w:w="4983" w:type="dxa"/>
                  <w:vAlign w:val="top"/>
                </w:tcPr>
                <w:p>
                  <w:pPr>
                    <w:pStyle w:val="TableText"/>
                    <w:spacing w:before="33" w:line="247" w:lineRule="auto"/>
                    <w:ind w:left="114" w:right="76" w:firstLine="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六、强化日常监管执法。持续加大对违反产业政策、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规划、准入规定等违法违规建设行为的查处力</w:t>
                  </w:r>
                  <w:r>
                    <w:rPr>
                      <w:spacing w:val="6"/>
                      <w:sz w:val="20"/>
                      <w:szCs w:val="20"/>
                    </w:rPr>
                    <w:t>度，坚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决遏制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“</w:t>
                  </w:r>
                  <w:r>
                    <w:rPr>
                      <w:spacing w:val="7"/>
                      <w:sz w:val="20"/>
                      <w:szCs w:val="20"/>
                    </w:rPr>
                    <w:t>未批先建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”</w:t>
                  </w:r>
                  <w:r>
                    <w:rPr>
                      <w:spacing w:val="7"/>
                      <w:sz w:val="20"/>
                      <w:szCs w:val="20"/>
                    </w:rPr>
                    <w:t>等违法行为。畅通群众举报投诉渠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道，对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散乱污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spacing w:val="8"/>
                      <w:sz w:val="20"/>
                      <w:szCs w:val="20"/>
                    </w:rPr>
                    <w:t>项目做到早发现、早应对、早处置，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严防死灰复燃。</w:t>
                  </w:r>
                </w:p>
              </w:tc>
              <w:tc>
                <w:tcPr>
                  <w:tcW w:w="1952" w:type="dxa"/>
                  <w:vAlign w:val="top"/>
                </w:tcPr>
                <w:p>
                  <w:pPr>
                    <w:pStyle w:val="TableText"/>
                    <w:spacing w:before="34" w:line="246" w:lineRule="auto"/>
                    <w:ind w:left="113" w:right="38" w:firstLine="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项目尚未建设，正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在按程序办理环评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手续。项目承诺在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运营过程中完全按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照环保法律法规要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-1"/>
                      <w:sz w:val="20"/>
                      <w:szCs w:val="20"/>
                    </w:rPr>
                    <w:t>求进行运行，符合。</w:t>
                  </w:r>
                </w:p>
              </w:tc>
            </w:tr>
          </w:tbl>
          <w:p>
            <w:pPr>
              <w:pStyle w:val="TableText"/>
              <w:spacing w:before="276" w:line="220" w:lineRule="auto"/>
              <w:ind w:left="5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、土地利用符合性分析</w:t>
            </w:r>
          </w:p>
        </w:tc>
      </w:tr>
    </w:tbl>
    <w:p>
      <w:pPr>
        <w:pStyle w:val="BodyText"/>
      </w:pPr>
    </w:p>
    <w:p>
      <w:pPr>
        <w:sectPr>
          <w:footerReference w:type="default" r:id="rId25"/>
          <w:pgSz w:w="11906" w:h="16839"/>
          <w:pgMar w:top="1431" w:right="1564" w:bottom="1240" w:left="1563" w:header="0" w:footer="1078" w:gutter="0"/>
          <w:pgNumType w:start="22"/>
          <w:cols w:num="1" w:space="720"/>
        </w:sectPr>
      </w:pPr>
    </w:p>
    <w:p>
      <w:pPr>
        <w:spacing w:before="28"/>
      </w:pPr>
    </w:p>
    <w:tbl>
      <w:tblPr>
        <w:tblStyle w:val="TableNormal021"/>
        <w:tblW w:w="876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7258"/>
      </w:tblGrid>
      <w:tr>
        <w:tblPrEx>
          <w:tblW w:w="876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6"/>
        </w:trPr>
        <w:tc>
          <w:tcPr>
            <w:tcW w:w="1505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25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468" w:lineRule="exact"/>
              <w:ind w:left="594"/>
            </w:pPr>
            <w:r>
              <w:rPr>
                <w:spacing w:val="2"/>
                <w:position w:val="17"/>
              </w:rPr>
              <w:t>项目位于山东省德州市平原县德原街道北园路西段路北</w:t>
            </w:r>
            <w:r>
              <w:rPr>
                <w:spacing w:val="-3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7"/>
              </w:rPr>
              <w:t xml:space="preserve">300 </w:t>
            </w:r>
            <w:r>
              <w:rPr>
                <w:spacing w:val="2"/>
                <w:position w:val="17"/>
              </w:rPr>
              <w:t>米</w:t>
            </w:r>
          </w:p>
          <w:p>
            <w:pPr>
              <w:pStyle w:val="TableText"/>
              <w:spacing w:line="220" w:lineRule="auto"/>
              <w:ind w:left="115"/>
            </w:pPr>
            <w:r>
              <w:rPr>
                <w:spacing w:val="-1"/>
              </w:rPr>
              <w:t>登海种业东侧，占地为工业用地，符合平原经济开发区规划要求。</w:t>
            </w:r>
          </w:p>
          <w:p>
            <w:pPr>
              <w:pStyle w:val="TableText"/>
              <w:spacing w:before="181" w:line="359" w:lineRule="auto"/>
              <w:ind w:left="114" w:right="102" w:firstLine="499"/>
            </w:pPr>
            <w:r>
              <w:t>同时，项目用地不属于《限制用地项目目录（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2012 </w:t>
            </w:r>
            <w:r>
              <w:rPr>
                <w:spacing w:val="-1"/>
              </w:rPr>
              <w:t>年本）》和</w:t>
            </w:r>
            <w:r>
              <w:t xml:space="preserve"> 《禁止用地项目目录（</w:t>
            </w:r>
            <w:r>
              <w:rPr>
                <w:rFonts w:ascii="Times New Roman" w:eastAsia="Times New Roman" w:hAnsi="Times New Roman" w:cs="Times New Roman"/>
              </w:rPr>
              <w:t xml:space="preserve">2012 </w:t>
            </w:r>
            <w:r>
              <w:t>年本）》中相应用地，也不属于《山东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省禁止限制供地项目目录及建设用地集约利用控制标准》中山东省</w:t>
            </w:r>
          </w:p>
          <w:p>
            <w:pPr>
              <w:pStyle w:val="TableText"/>
              <w:spacing w:line="219" w:lineRule="auto"/>
              <w:ind w:left="110"/>
            </w:pPr>
            <w:r>
              <w:rPr>
                <w:spacing w:val="-1"/>
              </w:rPr>
              <w:t>禁止、限制供地项目用地。</w:t>
            </w:r>
          </w:p>
          <w:p>
            <w:pPr>
              <w:pStyle w:val="TableText"/>
              <w:spacing w:before="182" w:line="220" w:lineRule="auto"/>
              <w:ind w:left="609"/>
            </w:pPr>
            <w:r>
              <w:rPr>
                <w:spacing w:val="-2"/>
              </w:rPr>
              <w:t>因此，项目的建设符合土地利用总体规划的要求。</w:t>
            </w:r>
          </w:p>
        </w:tc>
      </w:tr>
    </w:tbl>
    <w:p>
      <w:pPr>
        <w:pStyle w:val="BodyText"/>
      </w:pPr>
    </w:p>
    <w:p>
      <w:pPr>
        <w:sectPr>
          <w:footerReference w:type="default" r:id="rId26"/>
          <w:pgSz w:w="11906" w:h="16839"/>
          <w:pgMar w:top="1431" w:right="1564" w:bottom="1240" w:left="1563" w:header="0" w:footer="1078" w:gutter="0"/>
          <w:pgNumType w:start="23"/>
          <w:cols w:num="1" w:space="72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spacing w:before="97" w:line="222" w:lineRule="auto"/>
        <w:ind w:left="3017"/>
        <w:outlineLvl w:val="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pacing w:val="-2"/>
          <w:sz w:val="30"/>
          <w:szCs w:val="30"/>
        </w:rPr>
        <w:t>二、建设项目工程分析</w:t>
      </w:r>
    </w:p>
    <w:p>
      <w:pPr>
        <w:spacing w:before="22"/>
      </w:pPr>
    </w:p>
    <w:tbl>
      <w:tblPr>
        <w:tblStyle w:val="TableNormal022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8157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5"/>
        </w:trPr>
        <w:tc>
          <w:tcPr>
            <w:tcW w:w="831" w:type="dxa"/>
            <w:tcBorders>
              <w:bottom w:val="single" w:sz="4" w:space="0" w:color="000000"/>
              <w:right w:val="single" w:sz="2" w:space="0" w:color="000000"/>
            </w:tcBorders>
            <w:vAlign w:val="top"/>
          </w:tcPr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pStyle w:val="TableText"/>
              <w:spacing w:before="78" w:line="238" w:lineRule="auto"/>
              <w:ind w:left="177"/>
            </w:pPr>
            <w:r>
              <w:rPr>
                <w:spacing w:val="-7"/>
              </w:rPr>
              <w:t>建设</w:t>
            </w:r>
          </w:p>
          <w:p>
            <w:pPr>
              <w:pStyle w:val="TableText"/>
              <w:spacing w:line="220" w:lineRule="auto"/>
              <w:ind w:left="203"/>
            </w:pPr>
            <w:r>
              <w:rPr>
                <w:spacing w:val="-20"/>
              </w:rPr>
              <w:t>内容</w:t>
            </w:r>
          </w:p>
        </w:tc>
        <w:tc>
          <w:tcPr>
            <w:tcW w:w="8157" w:type="dxa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1" w:line="220" w:lineRule="auto"/>
              <w:ind w:left="59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、建设规模</w:t>
            </w:r>
          </w:p>
          <w:p>
            <w:pPr>
              <w:pStyle w:val="TableText"/>
              <w:spacing w:before="145" w:line="359" w:lineRule="auto"/>
              <w:ind w:left="104" w:right="102" w:firstLine="484"/>
              <w:jc w:val="both"/>
            </w:pPr>
            <w:r>
              <w:rPr>
                <w:spacing w:val="3"/>
              </w:rPr>
              <w:t>平原县和珍热处理经营部年加工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3000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3"/>
              </w:rPr>
              <w:t>吨金属表面处理项目位于山</w:t>
            </w:r>
            <w:r>
              <w:rPr>
                <w:spacing w:val="2"/>
              </w:rPr>
              <w:t>东省</w:t>
            </w:r>
            <w:r>
              <w:t xml:space="preserve"> </w:t>
            </w:r>
            <w:r>
              <w:rPr>
                <w:spacing w:val="12"/>
              </w:rPr>
              <w:t>德州市平原县德原街道北园路西段路北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spacing w:val="12"/>
              </w:rPr>
              <w:t>米登海种业东侧，</w:t>
            </w:r>
            <w:r>
              <w:rPr>
                <w:spacing w:val="-56"/>
              </w:rPr>
              <w:t xml:space="preserve"> </w:t>
            </w:r>
            <w:r>
              <w:rPr>
                <w:spacing w:val="12"/>
              </w:rPr>
              <w:t>占地</w:t>
            </w:r>
            <w:r>
              <w:rPr>
                <w:spacing w:val="11"/>
              </w:rPr>
              <w:t>面积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480m</w:t>
            </w:r>
            <w:r>
              <w:rPr>
                <w:rFonts w:ascii="Times New Roman" w:eastAsia="Times New Roman" w:hAnsi="Times New Roman" w:cs="Times New Roman"/>
                <w:spacing w:val="-4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，建筑面积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480m</w:t>
            </w:r>
            <w:r>
              <w:rPr>
                <w:rFonts w:ascii="Times New Roman" w:eastAsia="Times New Roman" w:hAnsi="Times New Roman" w:cs="Times New Roman"/>
                <w:spacing w:val="-4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，项目购置抛丸机、发黑炉、超声波清洗机、中温磷</w:t>
            </w:r>
            <w:r>
              <w:t xml:space="preserve"> </w:t>
            </w:r>
            <w:r>
              <w:rPr>
                <w:spacing w:val="-4"/>
              </w:rPr>
              <w:t>化炉、喷砂机等生产设备共计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4"/>
              </w:rPr>
              <w:t>台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/</w:t>
            </w:r>
            <w:r>
              <w:rPr>
                <w:spacing w:val="-4"/>
              </w:rPr>
              <w:t>套。项目劳动定员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10 </w:t>
            </w:r>
            <w:r>
              <w:rPr>
                <w:spacing w:val="-5"/>
              </w:rPr>
              <w:t>人，采用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 </w:t>
            </w:r>
            <w:r>
              <w:rPr>
                <w:spacing w:val="-5"/>
              </w:rPr>
              <w:t>班工作</w:t>
            </w:r>
            <w:r>
              <w:t xml:space="preserve"> </w:t>
            </w:r>
            <w:r>
              <w:rPr>
                <w:spacing w:val="-5"/>
              </w:rPr>
              <w:t>制，白班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8 </w:t>
            </w:r>
            <w:r>
              <w:rPr>
                <w:spacing w:val="-5"/>
              </w:rPr>
              <w:t>个小时，年生产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5"/>
              </w:rPr>
              <w:t>天；项目建成后可年加工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3000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5"/>
              </w:rPr>
              <w:t>吨金属表面处</w:t>
            </w:r>
          </w:p>
          <w:p>
            <w:pPr>
              <w:pStyle w:val="TableText"/>
              <w:spacing w:before="1" w:line="220" w:lineRule="auto"/>
              <w:ind w:left="112"/>
            </w:pPr>
            <w:r>
              <w:rPr>
                <w:spacing w:val="-4"/>
              </w:rPr>
              <w:t>理项目。</w:t>
            </w:r>
          </w:p>
          <w:p>
            <w:pPr>
              <w:pStyle w:val="TableText"/>
              <w:spacing w:before="181" w:line="219" w:lineRule="auto"/>
              <w:ind w:left="62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、项目基本组成</w:t>
            </w:r>
          </w:p>
          <w:p>
            <w:pPr>
              <w:pStyle w:val="TableText"/>
              <w:spacing w:before="180" w:line="220" w:lineRule="auto"/>
              <w:ind w:left="593"/>
            </w:pPr>
            <w:r>
              <w:rPr>
                <w:spacing w:val="-2"/>
              </w:rPr>
              <w:t>项目具体建设内容见下表。</w:t>
            </w:r>
          </w:p>
          <w:p>
            <w:pPr>
              <w:pStyle w:val="TableText"/>
              <w:spacing w:before="176" w:line="223" w:lineRule="auto"/>
              <w:ind w:left="291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2-1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项目具体建设内容</w:t>
            </w:r>
          </w:p>
          <w:tbl>
            <w:tblPr>
              <w:tblStyle w:val="TableNormal022"/>
              <w:tblW w:w="7939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13"/>
              <w:gridCol w:w="1090"/>
              <w:gridCol w:w="5736"/>
            </w:tblGrid>
            <w:tr>
              <w:tblPrEx>
                <w:tblW w:w="7939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1"/>
              </w:trPr>
              <w:tc>
                <w:tcPr>
                  <w:tcW w:w="1113" w:type="dxa"/>
                  <w:vAlign w:val="top"/>
                </w:tcPr>
                <w:p>
                  <w:pPr>
                    <w:pStyle w:val="TableText"/>
                    <w:spacing w:before="34" w:line="218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工程类别</w:t>
                  </w:r>
                </w:p>
              </w:tc>
              <w:tc>
                <w:tcPr>
                  <w:tcW w:w="1090" w:type="dxa"/>
                  <w:vAlign w:val="top"/>
                </w:tcPr>
                <w:p>
                  <w:pPr>
                    <w:pStyle w:val="TableText"/>
                    <w:spacing w:before="34" w:line="218" w:lineRule="auto"/>
                    <w:ind w:left="34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5736" w:type="dxa"/>
                  <w:vAlign w:val="top"/>
                </w:tcPr>
                <w:p>
                  <w:pPr>
                    <w:pStyle w:val="TableText"/>
                    <w:spacing w:before="34" w:line="218" w:lineRule="auto"/>
                    <w:ind w:left="245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建设内容</w:t>
                  </w:r>
                </w:p>
              </w:tc>
            </w:tr>
            <w:tr>
              <w:tblPrEx>
                <w:tblW w:w="7939" w:type="dxa"/>
                <w:tblInd w:w="10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1"/>
              </w:trPr>
              <w:tc>
                <w:tcPr>
                  <w:tcW w:w="1113" w:type="dxa"/>
                  <w:vAlign w:val="top"/>
                </w:tcPr>
                <w:p>
                  <w:pPr>
                    <w:pStyle w:val="TableText"/>
                    <w:spacing w:before="303" w:line="229" w:lineRule="auto"/>
                    <w:ind w:left="14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主体工程</w:t>
                  </w:r>
                </w:p>
              </w:tc>
              <w:tc>
                <w:tcPr>
                  <w:tcW w:w="1090" w:type="dxa"/>
                  <w:vAlign w:val="top"/>
                </w:tcPr>
                <w:p>
                  <w:pPr>
                    <w:pStyle w:val="TableText"/>
                    <w:spacing w:before="303" w:line="228" w:lineRule="auto"/>
                    <w:ind w:left="13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生产车间</w:t>
                  </w:r>
                </w:p>
              </w:tc>
              <w:tc>
                <w:tcPr>
                  <w:tcW w:w="5736" w:type="dxa"/>
                  <w:vAlign w:val="top"/>
                </w:tcPr>
                <w:p>
                  <w:pPr>
                    <w:pStyle w:val="TableText"/>
                    <w:spacing w:before="30"/>
                    <w:ind w:left="121" w:right="38" w:firstLine="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座，建筑面积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400m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1"/>
                      <w:sz w:val="20"/>
                      <w:szCs w:val="20"/>
                    </w:rPr>
                    <w:t>，购置抛丸机、发</w:t>
                  </w:r>
                  <w:r>
                    <w:rPr>
                      <w:sz w:val="20"/>
                      <w:szCs w:val="20"/>
                    </w:rPr>
                    <w:t>黑炉、超声波清洗机、 中温磷化炉、喷砂机等生产设备共计</w:t>
                  </w:r>
                  <w:r>
                    <w:rPr>
                      <w:spacing w:val="-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台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/</w:t>
                  </w:r>
                  <w:r>
                    <w:rPr>
                      <w:sz w:val="20"/>
                      <w:szCs w:val="20"/>
                    </w:rPr>
                    <w:t>套，主要加工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3000  </w:t>
                  </w:r>
                  <w:r>
                    <w:rPr>
                      <w:spacing w:val="7"/>
                      <w:sz w:val="20"/>
                      <w:szCs w:val="20"/>
                    </w:rPr>
                    <w:t>吨金属表面处理项目。</w:t>
                  </w:r>
                </w:p>
              </w:tc>
            </w:tr>
            <w:tr>
              <w:tblPrEx>
                <w:tblW w:w="7939" w:type="dxa"/>
                <w:tblInd w:w="10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111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3" w:line="229" w:lineRule="auto"/>
                    <w:ind w:left="14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辅助工程</w:t>
                  </w:r>
                </w:p>
              </w:tc>
              <w:tc>
                <w:tcPr>
                  <w:tcW w:w="1090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23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办公室</w:t>
                  </w:r>
                </w:p>
              </w:tc>
              <w:tc>
                <w:tcPr>
                  <w:tcW w:w="5736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处，建筑面积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50m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，用于人员办公</w:t>
                  </w:r>
                </w:p>
              </w:tc>
            </w:tr>
            <w:tr>
              <w:tblPrEx>
                <w:tblW w:w="7939" w:type="dxa"/>
                <w:tblInd w:w="10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8"/>
              </w:trPr>
              <w:tc>
                <w:tcPr>
                  <w:tcW w:w="1113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090" w:type="dxa"/>
                  <w:vAlign w:val="top"/>
                </w:tcPr>
                <w:p>
                  <w:pPr>
                    <w:pStyle w:val="TableText"/>
                    <w:spacing w:before="32" w:line="217" w:lineRule="auto"/>
                    <w:ind w:left="12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其他用房</w:t>
                  </w:r>
                </w:p>
              </w:tc>
              <w:tc>
                <w:tcPr>
                  <w:tcW w:w="5736" w:type="dxa"/>
                  <w:vAlign w:val="top"/>
                </w:tcPr>
                <w:p>
                  <w:pPr>
                    <w:pStyle w:val="TableText"/>
                    <w:spacing w:before="32" w:line="217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3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处，建筑面积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30m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，主要作为固废间</w:t>
                  </w:r>
                </w:p>
              </w:tc>
            </w:tr>
            <w:tr>
              <w:tblPrEx>
                <w:tblW w:w="7939" w:type="dxa"/>
                <w:tblInd w:w="10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0"/>
              </w:trPr>
              <w:tc>
                <w:tcPr>
                  <w:tcW w:w="111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4" w:lineRule="auto"/>
                  </w:pPr>
                </w:p>
                <w:p>
                  <w:pPr>
                    <w:spacing w:line="284" w:lineRule="auto"/>
                  </w:pPr>
                </w:p>
                <w:p>
                  <w:pPr>
                    <w:spacing w:line="285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公用工程</w:t>
                  </w:r>
                </w:p>
              </w:tc>
              <w:tc>
                <w:tcPr>
                  <w:tcW w:w="1090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33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供水</w:t>
                  </w:r>
                </w:p>
              </w:tc>
              <w:tc>
                <w:tcPr>
                  <w:tcW w:w="5736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项目年用水量约</w:t>
                  </w:r>
                  <w:r>
                    <w:rPr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1412.24m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，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由平原县供水管网提供。</w:t>
                  </w:r>
                </w:p>
              </w:tc>
            </w:tr>
            <w:tr>
              <w:tblPrEx>
                <w:tblW w:w="7939" w:type="dxa"/>
                <w:tblInd w:w="10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5"/>
              </w:trPr>
              <w:tc>
                <w:tcPr>
                  <w:tcW w:w="111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090" w:type="dxa"/>
                  <w:vAlign w:val="top"/>
                </w:tcPr>
                <w:p>
                  <w:pPr>
                    <w:spacing w:line="254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33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排水</w:t>
                  </w:r>
                </w:p>
              </w:tc>
              <w:tc>
                <w:tcPr>
                  <w:tcW w:w="5736" w:type="dxa"/>
                  <w:vAlign w:val="top"/>
                </w:tcPr>
                <w:p>
                  <w:pPr>
                    <w:pStyle w:val="TableText"/>
                    <w:spacing w:before="33" w:line="244" w:lineRule="auto"/>
                    <w:ind w:left="111" w:right="109" w:firstLine="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项目雨水经地表汇集后通过雨水管道排入市政雨水管网，水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洗废水及酸喷淋废水经污水处理设施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TW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001</w:t>
                  </w:r>
                  <w:r>
                    <w:rPr>
                      <w:spacing w:val="9"/>
                      <w:sz w:val="20"/>
                      <w:szCs w:val="20"/>
                    </w:rPr>
                    <w:t>（调节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+</w:t>
                  </w:r>
                  <w:r>
                    <w:rPr>
                      <w:spacing w:val="9"/>
                      <w:sz w:val="20"/>
                      <w:szCs w:val="20"/>
                    </w:rPr>
                    <w:t>水解酸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</w:rPr>
                    <w:t>化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+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AO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+</w:t>
                  </w:r>
                  <w:r>
                    <w:rPr>
                      <w:spacing w:val="7"/>
                      <w:sz w:val="20"/>
                      <w:szCs w:val="20"/>
                    </w:rPr>
                    <w:t>沉淀）处理后经市政污水管网排入平原中设水务有限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公司进行深度处理。生活污水经化粪池处理后，经市政污水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管网排入平原中设水务有限公司进行深度处理。</w:t>
                  </w:r>
                </w:p>
              </w:tc>
            </w:tr>
            <w:tr>
              <w:tblPrEx>
                <w:tblW w:w="7939" w:type="dxa"/>
                <w:tblInd w:w="10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6"/>
              </w:trPr>
              <w:tc>
                <w:tcPr>
                  <w:tcW w:w="1113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090" w:type="dxa"/>
                  <w:vAlign w:val="top"/>
                </w:tcPr>
                <w:p>
                  <w:pPr>
                    <w:pStyle w:val="TableText"/>
                    <w:spacing w:before="77" w:line="228" w:lineRule="auto"/>
                    <w:ind w:left="33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供电</w:t>
                  </w:r>
                </w:p>
              </w:tc>
              <w:tc>
                <w:tcPr>
                  <w:tcW w:w="5736" w:type="dxa"/>
                  <w:vAlign w:val="top"/>
                </w:tcPr>
                <w:p>
                  <w:pPr>
                    <w:pStyle w:val="TableText"/>
                    <w:spacing w:before="47" w:line="274" w:lineRule="exact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项目年用电量约为</w:t>
                  </w:r>
                  <w:r>
                    <w:rPr>
                      <w:spacing w:val="-4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万</w:t>
                  </w:r>
                  <w:r>
                    <w:rPr>
                      <w:spacing w:val="-46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kW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·h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，</w:t>
                  </w:r>
                  <w:r>
                    <w:rPr>
                      <w:spacing w:val="-59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由平原县供电网提供。</w:t>
                  </w:r>
                </w:p>
              </w:tc>
            </w:tr>
            <w:tr>
              <w:tblPrEx>
                <w:tblW w:w="7939" w:type="dxa"/>
                <w:tblInd w:w="10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6"/>
              </w:trPr>
              <w:tc>
                <w:tcPr>
                  <w:tcW w:w="111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8" w:lineRule="auto"/>
                  </w:pPr>
                </w:p>
                <w:p>
                  <w:pPr>
                    <w:spacing w:line="248" w:lineRule="auto"/>
                  </w:pPr>
                </w:p>
                <w:p>
                  <w:pPr>
                    <w:spacing w:line="248" w:lineRule="auto"/>
                  </w:pPr>
                </w:p>
                <w:p>
                  <w:pPr>
                    <w:spacing w:line="248" w:lineRule="auto"/>
                  </w:pPr>
                </w:p>
                <w:p>
                  <w:pPr>
                    <w:spacing w:line="248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14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环保工程</w:t>
                  </w:r>
                </w:p>
              </w:tc>
              <w:tc>
                <w:tcPr>
                  <w:tcW w:w="1090" w:type="dxa"/>
                  <w:vAlign w:val="top"/>
                </w:tcPr>
                <w:p>
                  <w:pPr>
                    <w:spacing w:line="255" w:lineRule="auto"/>
                  </w:pPr>
                </w:p>
                <w:p>
                  <w:pPr>
                    <w:spacing w:line="255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33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废气</w:t>
                  </w:r>
                </w:p>
              </w:tc>
              <w:tc>
                <w:tcPr>
                  <w:tcW w:w="5736" w:type="dxa"/>
                  <w:vAlign w:val="top"/>
                </w:tcPr>
                <w:p>
                  <w:pPr>
                    <w:pStyle w:val="TableText"/>
                    <w:spacing w:before="31" w:line="246" w:lineRule="auto"/>
                    <w:ind w:left="111" w:right="16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抛丸、喷砂工序产生的粉尘通过密闭收集，废气进入</w:t>
                  </w:r>
                  <w:r>
                    <w:rPr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8"/>
                      <w:sz w:val="20"/>
                      <w:szCs w:val="20"/>
                    </w:rPr>
                    <w:t>套布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袋除尘器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TA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001 </w:t>
                  </w:r>
                  <w:r>
                    <w:rPr>
                      <w:spacing w:val="4"/>
                      <w:sz w:val="20"/>
                      <w:szCs w:val="20"/>
                    </w:rPr>
                    <w:t>处理后经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4"/>
                      <w:sz w:val="20"/>
                      <w:szCs w:val="20"/>
                    </w:rPr>
                    <w:t>根</w:t>
                  </w:r>
                  <w:r>
                    <w:rPr>
                      <w:spacing w:val="-2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高排气筒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001 </w:t>
                  </w:r>
                  <w:r>
                    <w:rPr>
                      <w:spacing w:val="4"/>
                      <w:sz w:val="20"/>
                      <w:szCs w:val="20"/>
                    </w:rPr>
                    <w:t>排放；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发黑工序产生的氨气经发黑槽侧方设置的吸风装置收集后再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经喷淋塔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TA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002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喷淋稀酸液处理后经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4"/>
                      <w:sz w:val="20"/>
                      <w:szCs w:val="20"/>
                    </w:rPr>
                    <w:t>根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高排气筒</w:t>
                  </w:r>
                </w:p>
                <w:p>
                  <w:pPr>
                    <w:pStyle w:val="TableText"/>
                    <w:spacing w:before="25" w:line="215" w:lineRule="auto"/>
                    <w:ind w:left="10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002 </w:t>
                  </w:r>
                  <w:r>
                    <w:rPr>
                      <w:spacing w:val="6"/>
                      <w:sz w:val="20"/>
                      <w:szCs w:val="20"/>
                    </w:rPr>
                    <w:t>排放；</w:t>
                  </w:r>
                </w:p>
              </w:tc>
            </w:tr>
            <w:tr>
              <w:tblPrEx>
                <w:tblW w:w="7939" w:type="dxa"/>
                <w:tblInd w:w="10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3"/>
              </w:trPr>
              <w:tc>
                <w:tcPr>
                  <w:tcW w:w="111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090" w:type="dxa"/>
                  <w:vAlign w:val="top"/>
                </w:tcPr>
                <w:p>
                  <w:pPr>
                    <w:spacing w:line="37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废水处理</w:t>
                  </w:r>
                </w:p>
              </w:tc>
              <w:tc>
                <w:tcPr>
                  <w:tcW w:w="5736" w:type="dxa"/>
                  <w:vAlign w:val="top"/>
                </w:tcPr>
                <w:p>
                  <w:pPr>
                    <w:pStyle w:val="TableText"/>
                    <w:spacing w:before="34" w:line="242" w:lineRule="auto"/>
                    <w:ind w:left="112" w:right="109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水洗废水及酸喷淋废水经污水处理设施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TW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001</w:t>
                  </w:r>
                  <w:r>
                    <w:rPr>
                      <w:spacing w:val="9"/>
                      <w:sz w:val="20"/>
                      <w:szCs w:val="20"/>
                    </w:rPr>
                    <w:t>（调节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+</w:t>
                  </w:r>
                  <w:r>
                    <w:rPr>
                      <w:spacing w:val="9"/>
                      <w:sz w:val="20"/>
                      <w:szCs w:val="20"/>
                    </w:rPr>
                    <w:t>水解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</w:rPr>
                    <w:t>酸化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+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AO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+</w:t>
                  </w:r>
                  <w:r>
                    <w:rPr>
                      <w:spacing w:val="7"/>
                      <w:sz w:val="20"/>
                      <w:szCs w:val="20"/>
                    </w:rPr>
                    <w:t>沉淀）处理后经市政污水管网排入平原中设水务有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限公司进行深度处理。生活污水经化粪池处理后，经市政污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水管网排入平原中设水务有限公司进行深度处理。</w:t>
                  </w:r>
                </w:p>
              </w:tc>
            </w:tr>
            <w:tr>
              <w:tblPrEx>
                <w:tblW w:w="7939" w:type="dxa"/>
                <w:tblInd w:w="10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2"/>
              </w:trPr>
              <w:tc>
                <w:tcPr>
                  <w:tcW w:w="111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090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56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14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固废处理</w:t>
                  </w:r>
                </w:p>
              </w:tc>
              <w:tc>
                <w:tcPr>
                  <w:tcW w:w="5736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5" w:line="243" w:lineRule="auto"/>
                    <w:ind w:left="111" w:right="109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废钢砂、废玻璃砂、除尘器收集的粉尘集中收集后外</w:t>
                  </w:r>
                  <w:r>
                    <w:rPr>
                      <w:spacing w:val="11"/>
                      <w:sz w:val="20"/>
                      <w:szCs w:val="20"/>
                    </w:rPr>
                    <w:t>售物资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回收单位；废酸洗槽液槽渣、废磷化槽液槽渣、污</w:t>
                  </w:r>
                  <w:r>
                    <w:rPr>
                      <w:spacing w:val="11"/>
                      <w:sz w:val="20"/>
                      <w:szCs w:val="20"/>
                    </w:rPr>
                    <w:t>水处理废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油和污泥收集后在危废间暂存，委托有资质单位处</w:t>
                  </w:r>
                  <w:r>
                    <w:rPr>
                      <w:spacing w:val="11"/>
                      <w:sz w:val="20"/>
                      <w:szCs w:val="20"/>
                    </w:rPr>
                    <w:t>置；废包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装桶由生产厂家回收重复使用；生活垃圾集中收集</w:t>
                  </w:r>
                  <w:r>
                    <w:rPr>
                      <w:spacing w:val="11"/>
                      <w:sz w:val="20"/>
                      <w:szCs w:val="20"/>
                    </w:rPr>
                    <w:t>后由当地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环卫部门统一清运处理。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7"/>
          <w:pgSz w:w="11906" w:h="16839"/>
          <w:pgMar w:top="1431" w:right="1451" w:bottom="1014" w:left="1451" w:header="0" w:footer="852" w:gutter="0"/>
          <w:pgNumType w:start="24"/>
          <w:cols w:num="1" w:space="720"/>
        </w:sectPr>
      </w:pPr>
    </w:p>
    <w:p>
      <w:pPr>
        <w:spacing w:before="28"/>
      </w:pPr>
      <w:r>
        <w:pict>
          <v:rect id="_x0000_s1043" o:spid="_x0000_s1043" style="width:0.5pt;height:142.55pt;margin-top:357.25pt;margin-left:517.4pt;mso-height-relative:page;mso-position-horizontal-relative:page;mso-position-vertical-relative:page;mso-width-relative:page;position:absolute;z-index:251677696" coordsize="21600,21600" o:allowincell="f" filled="t" fillcolor="black" stroked="f"/>
        </w:pict>
      </w:r>
      <w:r>
        <w:pict>
          <v:rect id="_x0000_s1044" o:spid="_x0000_s1044" style="width:0.5pt;height:143.05pt;margin-top:356.8pt;margin-left:118.55pt;mso-height-relative:page;mso-position-horizontal-relative:page;mso-position-vertical-relative:page;mso-width-relative:page;position:absolute;z-index:251678720" coordsize="21600,21600" o:allowincell="f" filled="t" fillcolor="black" stroked="f"/>
        </w:pict>
      </w:r>
    </w:p>
    <w:tbl>
      <w:tblPr>
        <w:tblStyle w:val="TableNormal023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1221"/>
        <w:gridCol w:w="158"/>
        <w:gridCol w:w="253"/>
        <w:gridCol w:w="679"/>
        <w:gridCol w:w="352"/>
        <w:gridCol w:w="510"/>
        <w:gridCol w:w="806"/>
        <w:gridCol w:w="1117"/>
        <w:gridCol w:w="435"/>
        <w:gridCol w:w="717"/>
        <w:gridCol w:w="409"/>
        <w:gridCol w:w="1384"/>
        <w:gridCol w:w="115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/>
        </w:trPr>
        <w:tc>
          <w:tcPr>
            <w:tcW w:w="832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221" w:type="dxa"/>
            <w:tcBorders>
              <w:top w:val="single" w:sz="6" w:space="0" w:color="000000"/>
            </w:tcBorders>
            <w:vAlign w:val="top"/>
          </w:tcPr>
          <w:p>
            <w:r>
              <w:pict>
                <v:rect id="_x0000_s1045" o:spid="_x0000_s1045" style="width:0.5pt;height:34.55pt;margin-top:1pt;margin-left:5.1pt;mso-height-relative:page;mso-position-horizontal-relative:page;mso-position-vertical-relative:page;mso-width-relative:page;position:absolute;z-index:251679744" coordsize="21600,21600" filled="t" fillcolor="black" stroked="f"/>
              </w:pict>
            </w:r>
          </w:p>
        </w:tc>
        <w:tc>
          <w:tcPr>
            <w:tcW w:w="1090" w:type="dxa"/>
            <w:gridSpan w:val="3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251" w:line="229" w:lineRule="auto"/>
              <w:ind w:left="13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噪声防治</w:t>
            </w:r>
          </w:p>
        </w:tc>
        <w:tc>
          <w:tcPr>
            <w:tcW w:w="5730" w:type="dxa"/>
            <w:gridSpan w:val="8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15" w:line="239" w:lineRule="auto"/>
              <w:ind w:left="119" w:right="167" w:hanging="1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选用低噪声设备、车间内合理布局、加强设备维护、建筑物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隔声、距离衰减等措施。</w:t>
            </w:r>
          </w:p>
        </w:tc>
        <w:tc>
          <w:tcPr>
            <w:tcW w:w="115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4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156" w:type="dxa"/>
            <w:gridSpan w:val="1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78" w:line="219" w:lineRule="auto"/>
              <w:ind w:left="58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、总平面布置</w:t>
            </w:r>
          </w:p>
          <w:p>
            <w:pPr>
              <w:pStyle w:val="TableText"/>
              <w:spacing w:before="179" w:line="359" w:lineRule="auto"/>
              <w:ind w:left="107" w:right="102" w:firstLine="484"/>
              <w:jc w:val="both"/>
              <w:rPr>
                <w:rFonts w:ascii="Times New Roman" w:eastAsia="Times New Roman" w:hAnsi="Times New Roman" w:cs="Times New Roman"/>
              </w:rPr>
            </w:pPr>
            <w:r>
              <w:t>项目主要建设生产车间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1 </w:t>
            </w:r>
            <w:r>
              <w:t>座，建筑面积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0m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1"/>
              </w:rPr>
              <w:t>，车间内均按照生产工艺</w:t>
            </w:r>
            <w:r>
              <w:t xml:space="preserve"> 流程需求划分功能区，尽量避免生产过程中物料的长距离运输，节省生产过</w:t>
            </w:r>
            <w:r>
              <w:rPr>
                <w:spacing w:val="14"/>
              </w:rPr>
              <w:t xml:space="preserve"> </w:t>
            </w:r>
            <w:r>
              <w:rPr>
                <w:spacing w:val="2"/>
              </w:rPr>
              <w:t>程中的能流消耗，相关环保设施的设置能够紧扣生产线的布局。详见附图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</w:t>
            </w:r>
          </w:p>
          <w:p>
            <w:pPr>
              <w:pStyle w:val="TableText"/>
              <w:spacing w:line="219" w:lineRule="auto"/>
              <w:ind w:left="107"/>
            </w:pPr>
            <w:r>
              <w:rPr>
                <w:spacing w:val="-2"/>
              </w:rPr>
              <w:t>平面布置图。</w:t>
            </w:r>
          </w:p>
          <w:p>
            <w:pPr>
              <w:pStyle w:val="TableText"/>
              <w:spacing w:before="182" w:line="468" w:lineRule="exact"/>
              <w:ind w:left="592"/>
            </w:pPr>
            <w:r>
              <w:rPr>
                <w:spacing w:val="1"/>
                <w:position w:val="17"/>
              </w:rPr>
              <w:t>项目车间内各功能分区布置比较紧凑合理，</w:t>
            </w:r>
            <w:r>
              <w:rPr>
                <w:position w:val="17"/>
              </w:rPr>
              <w:t>缩短了物料的运输距离，节</w:t>
            </w:r>
          </w:p>
          <w:p>
            <w:pPr>
              <w:pStyle w:val="TableText"/>
              <w:spacing w:line="219" w:lineRule="auto"/>
              <w:ind w:left="112"/>
            </w:pPr>
            <w:r>
              <w:rPr>
                <w:spacing w:val="-1"/>
              </w:rPr>
              <w:t>省了能耗，方便了生产管理。项目车间平面布置较为合理。</w:t>
            </w:r>
          </w:p>
          <w:p>
            <w:pPr>
              <w:pStyle w:val="TableText"/>
              <w:spacing w:before="181" w:line="220" w:lineRule="auto"/>
              <w:ind w:left="58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、主要产品及产能</w:t>
            </w:r>
          </w:p>
          <w:p>
            <w:pPr>
              <w:pStyle w:val="TableText"/>
              <w:spacing w:before="182" w:line="220" w:lineRule="auto"/>
              <w:ind w:left="592"/>
            </w:pPr>
            <w:r>
              <w:rPr>
                <w:spacing w:val="-1"/>
              </w:rPr>
              <w:t>项目主要产品及产能信息见下表。</w:t>
            </w:r>
          </w:p>
          <w:p>
            <w:pPr>
              <w:pStyle w:val="TableText"/>
              <w:spacing w:before="175" w:line="213" w:lineRule="auto"/>
              <w:ind w:left="269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2-2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主要产品及产能信息表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632" w:type="dxa"/>
            <w:gridSpan w:val="3"/>
            <w:vAlign w:val="top"/>
          </w:tcPr>
          <w:p>
            <w:pPr>
              <w:pStyle w:val="TableText"/>
              <w:spacing w:before="172" w:line="228" w:lineRule="auto"/>
              <w:ind w:left="44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行业类别</w:t>
            </w:r>
          </w:p>
        </w:tc>
        <w:tc>
          <w:tcPr>
            <w:tcW w:w="1541" w:type="dxa"/>
            <w:gridSpan w:val="3"/>
            <w:vAlign w:val="top"/>
          </w:tcPr>
          <w:p>
            <w:pPr>
              <w:pStyle w:val="TableText"/>
              <w:spacing w:before="172" w:line="228" w:lineRule="auto"/>
              <w:ind w:left="35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单位类型</w:t>
            </w:r>
          </w:p>
        </w:tc>
        <w:tc>
          <w:tcPr>
            <w:tcW w:w="1923" w:type="dxa"/>
            <w:gridSpan w:val="2"/>
            <w:vAlign w:val="top"/>
          </w:tcPr>
          <w:p>
            <w:pPr>
              <w:pStyle w:val="TableText"/>
              <w:spacing w:before="172" w:line="228" w:lineRule="auto"/>
              <w:ind w:left="54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产品名称</w:t>
            </w:r>
          </w:p>
        </w:tc>
        <w:tc>
          <w:tcPr>
            <w:tcW w:w="1561" w:type="dxa"/>
            <w:gridSpan w:val="3"/>
            <w:vAlign w:val="top"/>
          </w:tcPr>
          <w:p>
            <w:pPr>
              <w:pStyle w:val="TableText"/>
              <w:spacing w:before="38" w:line="231" w:lineRule="auto"/>
              <w:ind w:left="575" w:right="119" w:hanging="45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生产能力（吨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</w:t>
            </w:r>
          </w:p>
        </w:tc>
        <w:tc>
          <w:tcPr>
            <w:tcW w:w="1499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8" w:line="231" w:lineRule="auto"/>
              <w:ind w:left="237" w:right="265" w:hanging="5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设计年生产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h</w:t>
            </w:r>
            <w:r>
              <w:rPr>
                <w:spacing w:val="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632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</w:pPr>
          </w:p>
          <w:p>
            <w:pPr>
              <w:spacing w:line="279" w:lineRule="auto"/>
            </w:pPr>
          </w:p>
          <w:p>
            <w:pPr>
              <w:spacing w:line="279" w:lineRule="auto"/>
            </w:pPr>
          </w:p>
          <w:p>
            <w:pPr>
              <w:pStyle w:val="TableText"/>
              <w:spacing w:before="65" w:line="242" w:lineRule="auto"/>
              <w:ind w:left="229" w:right="147" w:firstLine="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金属表面处理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及热处理加工</w:t>
            </w:r>
          </w:p>
        </w:tc>
        <w:tc>
          <w:tcPr>
            <w:tcW w:w="1541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pStyle w:val="TableText"/>
              <w:spacing w:before="65" w:line="230" w:lineRule="auto"/>
              <w:ind w:left="14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金属表面处理</w:t>
            </w:r>
          </w:p>
        </w:tc>
        <w:tc>
          <w:tcPr>
            <w:tcW w:w="1923" w:type="dxa"/>
            <w:gridSpan w:val="2"/>
            <w:vAlign w:val="top"/>
          </w:tcPr>
          <w:p>
            <w:pPr>
              <w:spacing w:before="87" w:line="228" w:lineRule="auto"/>
              <w:ind w:left="753"/>
              <w:rPr>
                <w:rFonts w:ascii="新宋体" w:eastAsia="新宋体" w:hAnsi="新宋体" w:cs="新宋体"/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pacing w:val="4"/>
                <w:sz w:val="20"/>
                <w:szCs w:val="20"/>
              </w:rPr>
              <w:t>压帽</w:t>
            </w:r>
          </w:p>
        </w:tc>
        <w:tc>
          <w:tcPr>
            <w:tcW w:w="1561" w:type="dxa"/>
            <w:gridSpan w:val="3"/>
            <w:vAlign w:val="top"/>
          </w:tcPr>
          <w:p>
            <w:pPr>
              <w:spacing w:before="124" w:line="195" w:lineRule="auto"/>
              <w:ind w:left="6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400</w:t>
            </w:r>
          </w:p>
        </w:tc>
        <w:tc>
          <w:tcPr>
            <w:tcW w:w="1499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24" w:line="195" w:lineRule="auto"/>
              <w:ind w:left="4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2400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632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41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23" w:type="dxa"/>
            <w:gridSpan w:val="2"/>
            <w:vAlign w:val="top"/>
          </w:tcPr>
          <w:p>
            <w:pPr>
              <w:spacing w:before="84" w:line="228" w:lineRule="auto"/>
              <w:ind w:left="650"/>
              <w:rPr>
                <w:rFonts w:ascii="新宋体" w:eastAsia="新宋体" w:hAnsi="新宋体" w:cs="新宋体"/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pacing w:val="6"/>
                <w:sz w:val="20"/>
                <w:szCs w:val="20"/>
              </w:rPr>
              <w:t>延长杆</w:t>
            </w:r>
          </w:p>
        </w:tc>
        <w:tc>
          <w:tcPr>
            <w:tcW w:w="1561" w:type="dxa"/>
            <w:gridSpan w:val="3"/>
            <w:vAlign w:val="top"/>
          </w:tcPr>
          <w:p>
            <w:pPr>
              <w:spacing w:before="122" w:line="195" w:lineRule="auto"/>
              <w:ind w:left="6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400</w:t>
            </w:r>
          </w:p>
        </w:tc>
        <w:tc>
          <w:tcPr>
            <w:tcW w:w="1499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22" w:line="195" w:lineRule="auto"/>
              <w:ind w:left="4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2400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632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41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23" w:type="dxa"/>
            <w:gridSpan w:val="2"/>
            <w:vAlign w:val="top"/>
          </w:tcPr>
          <w:p>
            <w:pPr>
              <w:spacing w:before="102" w:line="228" w:lineRule="auto"/>
              <w:ind w:left="757"/>
              <w:rPr>
                <w:rFonts w:ascii="新宋体" w:eastAsia="新宋体" w:hAnsi="新宋体" w:cs="新宋体"/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pacing w:val="2"/>
                <w:sz w:val="20"/>
                <w:szCs w:val="20"/>
              </w:rPr>
              <w:t>刀柄</w:t>
            </w:r>
          </w:p>
        </w:tc>
        <w:tc>
          <w:tcPr>
            <w:tcW w:w="1561" w:type="dxa"/>
            <w:gridSpan w:val="3"/>
            <w:vAlign w:val="top"/>
          </w:tcPr>
          <w:p>
            <w:pPr>
              <w:spacing w:before="138" w:line="195" w:lineRule="auto"/>
              <w:ind w:left="6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400</w:t>
            </w:r>
          </w:p>
        </w:tc>
        <w:tc>
          <w:tcPr>
            <w:tcW w:w="1499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38" w:line="195" w:lineRule="auto"/>
              <w:ind w:left="4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2400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632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41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23" w:type="dxa"/>
            <w:gridSpan w:val="2"/>
            <w:vAlign w:val="top"/>
          </w:tcPr>
          <w:p>
            <w:pPr>
              <w:spacing w:before="74" w:line="230" w:lineRule="auto"/>
              <w:ind w:left="752"/>
              <w:rPr>
                <w:rFonts w:ascii="新宋体" w:eastAsia="新宋体" w:hAnsi="新宋体" w:cs="新宋体"/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pacing w:val="5"/>
                <w:sz w:val="20"/>
                <w:szCs w:val="20"/>
              </w:rPr>
              <w:t>钳体</w:t>
            </w:r>
          </w:p>
        </w:tc>
        <w:tc>
          <w:tcPr>
            <w:tcW w:w="1561" w:type="dxa"/>
            <w:gridSpan w:val="3"/>
            <w:vAlign w:val="top"/>
          </w:tcPr>
          <w:p>
            <w:pPr>
              <w:spacing w:before="112" w:line="195" w:lineRule="auto"/>
              <w:ind w:left="6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400</w:t>
            </w:r>
          </w:p>
        </w:tc>
        <w:tc>
          <w:tcPr>
            <w:tcW w:w="1499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12" w:line="195" w:lineRule="auto"/>
              <w:ind w:left="4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2400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632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41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23" w:type="dxa"/>
            <w:gridSpan w:val="2"/>
            <w:vAlign w:val="top"/>
          </w:tcPr>
          <w:p>
            <w:pPr>
              <w:spacing w:before="102" w:line="230" w:lineRule="auto"/>
              <w:ind w:left="754"/>
              <w:rPr>
                <w:rFonts w:ascii="新宋体" w:eastAsia="新宋体" w:hAnsi="新宋体" w:cs="新宋体"/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pacing w:val="3"/>
                <w:sz w:val="20"/>
                <w:szCs w:val="20"/>
              </w:rPr>
              <w:t>拉钉</w:t>
            </w:r>
          </w:p>
        </w:tc>
        <w:tc>
          <w:tcPr>
            <w:tcW w:w="1561" w:type="dxa"/>
            <w:gridSpan w:val="3"/>
            <w:vAlign w:val="top"/>
          </w:tcPr>
          <w:p>
            <w:pPr>
              <w:spacing w:before="138" w:line="195" w:lineRule="auto"/>
              <w:ind w:left="6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700</w:t>
            </w:r>
          </w:p>
        </w:tc>
        <w:tc>
          <w:tcPr>
            <w:tcW w:w="1499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38" w:line="195" w:lineRule="auto"/>
              <w:ind w:left="4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2400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632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1541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1923" w:type="dxa"/>
            <w:gridSpan w:val="2"/>
            <w:vAlign w:val="top"/>
          </w:tcPr>
          <w:p>
            <w:pPr>
              <w:spacing w:before="80" w:line="228" w:lineRule="auto"/>
              <w:ind w:left="651"/>
              <w:rPr>
                <w:rFonts w:ascii="新宋体" w:eastAsia="新宋体" w:hAnsi="新宋体" w:cs="新宋体"/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pacing w:val="6"/>
                <w:sz w:val="20"/>
                <w:szCs w:val="20"/>
              </w:rPr>
              <w:t>液压件</w:t>
            </w:r>
          </w:p>
        </w:tc>
        <w:tc>
          <w:tcPr>
            <w:tcW w:w="1561" w:type="dxa"/>
            <w:gridSpan w:val="3"/>
            <w:vAlign w:val="top"/>
          </w:tcPr>
          <w:p>
            <w:pPr>
              <w:spacing w:before="118" w:line="195" w:lineRule="auto"/>
              <w:ind w:left="6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700</w:t>
            </w:r>
          </w:p>
        </w:tc>
        <w:tc>
          <w:tcPr>
            <w:tcW w:w="1499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18" w:line="195" w:lineRule="auto"/>
              <w:ind w:left="4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2400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156" w:type="dxa"/>
            <w:gridSpan w:val="1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0" w:line="209" w:lineRule="auto"/>
              <w:ind w:left="243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2-3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主要产品及产能信息补充表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Align w:val="top"/>
          </w:tcPr>
          <w:p>
            <w:pPr>
              <w:pStyle w:val="TableText"/>
              <w:spacing w:before="187" w:line="241" w:lineRule="auto"/>
              <w:ind w:left="596" w:right="156" w:hanging="4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</w:t>
            </w:r>
          </w:p>
        </w:tc>
        <w:tc>
          <w:tcPr>
            <w:tcW w:w="1284" w:type="dxa"/>
            <w:gridSpan w:val="3"/>
            <w:vAlign w:val="top"/>
          </w:tcPr>
          <w:p>
            <w:pPr>
              <w:spacing w:line="258" w:lineRule="auto"/>
            </w:pPr>
          </w:p>
          <w:p>
            <w:pPr>
              <w:pStyle w:val="TableText"/>
              <w:spacing w:before="65" w:line="231" w:lineRule="auto"/>
              <w:ind w:left="23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主要工艺</w:t>
            </w:r>
          </w:p>
        </w:tc>
        <w:tc>
          <w:tcPr>
            <w:tcW w:w="1316" w:type="dxa"/>
            <w:gridSpan w:val="2"/>
            <w:vAlign w:val="top"/>
          </w:tcPr>
          <w:p>
            <w:pPr>
              <w:pStyle w:val="TableText"/>
              <w:spacing w:before="188" w:line="241" w:lineRule="auto"/>
              <w:ind w:left="569" w:right="123" w:hanging="42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生产设施编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line="258" w:lineRule="auto"/>
            </w:pPr>
          </w:p>
          <w:p>
            <w:pPr>
              <w:pStyle w:val="TableText"/>
              <w:spacing w:before="65" w:line="228" w:lineRule="auto"/>
              <w:ind w:left="37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生产设施</w:t>
            </w:r>
          </w:p>
        </w:tc>
        <w:tc>
          <w:tcPr>
            <w:tcW w:w="717" w:type="dxa"/>
            <w:vAlign w:val="top"/>
          </w:tcPr>
          <w:p>
            <w:pPr>
              <w:pStyle w:val="TableText"/>
              <w:spacing w:before="187" w:line="241" w:lineRule="auto"/>
              <w:ind w:left="151" w:right="107" w:firstLine="1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/</w:t>
            </w:r>
            <w:r>
              <w:rPr>
                <w:spacing w:val="-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套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258" w:lineRule="auto"/>
            </w:pPr>
          </w:p>
          <w:p>
            <w:pPr>
              <w:pStyle w:val="TableText"/>
              <w:spacing w:before="65" w:line="228" w:lineRule="auto"/>
              <w:ind w:left="50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>/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容积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Merge w:val="restart"/>
            <w:tcBorders>
              <w:bottom w:val="nil"/>
            </w:tcBorders>
            <w:vAlign w:val="top"/>
          </w:tcPr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pStyle w:val="TableText"/>
              <w:spacing w:before="65" w:line="229" w:lineRule="auto"/>
              <w:ind w:left="38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预处理</w:t>
            </w:r>
          </w:p>
        </w:tc>
        <w:tc>
          <w:tcPr>
            <w:tcW w:w="1284" w:type="dxa"/>
            <w:gridSpan w:val="3"/>
            <w:vMerge w:val="restart"/>
            <w:tcBorders>
              <w:bottom w:val="nil"/>
            </w:tcBorders>
            <w:vAlign w:val="top"/>
          </w:tcPr>
          <w:p/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pStyle w:val="TableText"/>
              <w:spacing w:before="65" w:line="228" w:lineRule="auto"/>
              <w:ind w:left="12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机械预处理</w:t>
            </w:r>
          </w:p>
        </w:tc>
        <w:tc>
          <w:tcPr>
            <w:tcW w:w="1316" w:type="dxa"/>
            <w:gridSpan w:val="2"/>
            <w:vAlign w:val="top"/>
          </w:tcPr>
          <w:p>
            <w:pPr>
              <w:spacing w:before="83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0001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pStyle w:val="TableText"/>
              <w:spacing w:before="63" w:line="228" w:lineRule="auto"/>
              <w:ind w:left="47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抛丸机</w:t>
            </w:r>
          </w:p>
        </w:tc>
        <w:tc>
          <w:tcPr>
            <w:tcW w:w="717" w:type="dxa"/>
            <w:vAlign w:val="top"/>
          </w:tcPr>
          <w:p>
            <w:pPr>
              <w:spacing w:before="85" w:line="195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3" w:line="274" w:lineRule="exact"/>
              <w:ind w:left="2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6"/>
                <w:position w:val="1"/>
                <w:sz w:val="20"/>
                <w:szCs w:val="20"/>
              </w:rPr>
              <w:t>额定功率</w:t>
            </w:r>
            <w:r>
              <w:rPr>
                <w:spacing w:val="-3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kw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284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16" w:type="dxa"/>
            <w:gridSpan w:val="2"/>
            <w:vAlign w:val="top"/>
          </w:tcPr>
          <w:p>
            <w:pPr>
              <w:spacing w:before="84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0002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pStyle w:val="TableText"/>
              <w:spacing w:before="63" w:line="227" w:lineRule="auto"/>
              <w:ind w:left="47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抛丸机</w:t>
            </w:r>
          </w:p>
        </w:tc>
        <w:tc>
          <w:tcPr>
            <w:tcW w:w="717" w:type="dxa"/>
            <w:vAlign w:val="top"/>
          </w:tcPr>
          <w:p>
            <w:pPr>
              <w:spacing w:before="75" w:line="195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2" w:line="274" w:lineRule="exact"/>
              <w:ind w:left="2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6"/>
                <w:position w:val="1"/>
                <w:sz w:val="20"/>
                <w:szCs w:val="20"/>
              </w:rPr>
              <w:t>额定功率</w:t>
            </w:r>
            <w:r>
              <w:rPr>
                <w:spacing w:val="-3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kw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284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16" w:type="dxa"/>
            <w:gridSpan w:val="2"/>
            <w:vAlign w:val="top"/>
          </w:tcPr>
          <w:p>
            <w:pPr>
              <w:spacing w:before="99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0003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pStyle w:val="TableText"/>
              <w:spacing w:before="63" w:line="227" w:lineRule="auto"/>
              <w:ind w:left="47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抛丸机</w:t>
            </w:r>
          </w:p>
        </w:tc>
        <w:tc>
          <w:tcPr>
            <w:tcW w:w="717" w:type="dxa"/>
            <w:vAlign w:val="top"/>
          </w:tcPr>
          <w:p>
            <w:pPr>
              <w:spacing w:before="75" w:line="195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2" w:line="274" w:lineRule="exact"/>
              <w:ind w:left="2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6"/>
                <w:position w:val="1"/>
                <w:sz w:val="20"/>
                <w:szCs w:val="20"/>
              </w:rPr>
              <w:t>额定功率</w:t>
            </w:r>
            <w:r>
              <w:rPr>
                <w:spacing w:val="-3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kw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284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16" w:type="dxa"/>
            <w:gridSpan w:val="2"/>
            <w:vAlign w:val="top"/>
          </w:tcPr>
          <w:p>
            <w:pPr>
              <w:spacing w:before="99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0004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pStyle w:val="TableText"/>
              <w:spacing w:before="63" w:line="227" w:lineRule="auto"/>
              <w:ind w:left="47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抛丸机</w:t>
            </w:r>
          </w:p>
        </w:tc>
        <w:tc>
          <w:tcPr>
            <w:tcW w:w="717" w:type="dxa"/>
            <w:vAlign w:val="top"/>
          </w:tcPr>
          <w:p>
            <w:pPr>
              <w:spacing w:before="75" w:line="195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2" w:line="274" w:lineRule="exact"/>
              <w:ind w:left="2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6"/>
                <w:position w:val="1"/>
                <w:sz w:val="20"/>
                <w:szCs w:val="20"/>
              </w:rPr>
              <w:t>额定功率</w:t>
            </w:r>
            <w:r>
              <w:rPr>
                <w:spacing w:val="-3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kw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284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16" w:type="dxa"/>
            <w:gridSpan w:val="2"/>
            <w:vAlign w:val="top"/>
          </w:tcPr>
          <w:p>
            <w:pPr>
              <w:spacing w:before="99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0005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pStyle w:val="TableText"/>
              <w:spacing w:before="63" w:line="227" w:lineRule="auto"/>
              <w:ind w:left="47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抛丸机</w:t>
            </w:r>
          </w:p>
        </w:tc>
        <w:tc>
          <w:tcPr>
            <w:tcW w:w="717" w:type="dxa"/>
            <w:vAlign w:val="top"/>
          </w:tcPr>
          <w:p>
            <w:pPr>
              <w:spacing w:before="75" w:line="195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2" w:line="274" w:lineRule="exact"/>
              <w:ind w:left="2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6"/>
                <w:position w:val="1"/>
                <w:sz w:val="20"/>
                <w:szCs w:val="20"/>
              </w:rPr>
              <w:t>额定功率</w:t>
            </w:r>
            <w:r>
              <w:rPr>
                <w:spacing w:val="-3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kw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284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16" w:type="dxa"/>
            <w:gridSpan w:val="2"/>
            <w:vAlign w:val="top"/>
          </w:tcPr>
          <w:p>
            <w:pPr>
              <w:spacing w:before="99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0006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pStyle w:val="TableText"/>
              <w:spacing w:before="63" w:line="227" w:lineRule="auto"/>
              <w:ind w:left="47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抛丸机</w:t>
            </w:r>
          </w:p>
        </w:tc>
        <w:tc>
          <w:tcPr>
            <w:tcW w:w="717" w:type="dxa"/>
            <w:vAlign w:val="top"/>
          </w:tcPr>
          <w:p>
            <w:pPr>
              <w:spacing w:before="75" w:line="195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2" w:line="274" w:lineRule="exact"/>
              <w:ind w:left="2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6"/>
                <w:position w:val="1"/>
                <w:sz w:val="20"/>
                <w:szCs w:val="20"/>
              </w:rPr>
              <w:t>额定功率</w:t>
            </w:r>
            <w:r>
              <w:rPr>
                <w:spacing w:val="-3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kw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1284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1316" w:type="dxa"/>
            <w:gridSpan w:val="2"/>
            <w:vAlign w:val="top"/>
          </w:tcPr>
          <w:p>
            <w:pPr>
              <w:spacing w:before="89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0007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pStyle w:val="TableText"/>
              <w:spacing w:before="63" w:line="207" w:lineRule="auto"/>
              <w:ind w:left="48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喷砂机</w:t>
            </w:r>
          </w:p>
        </w:tc>
        <w:tc>
          <w:tcPr>
            <w:tcW w:w="717" w:type="dxa"/>
            <w:vAlign w:val="top"/>
          </w:tcPr>
          <w:p>
            <w:pPr>
              <w:spacing w:before="65" w:line="195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0" w:line="267" w:lineRule="exact"/>
              <w:ind w:left="1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6"/>
                <w:position w:val="1"/>
                <w:sz w:val="20"/>
                <w:szCs w:val="20"/>
              </w:rPr>
              <w:t>额定功率</w:t>
            </w:r>
            <w:r>
              <w:rPr>
                <w:spacing w:val="-38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0.63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kw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2" w:line="229" w:lineRule="auto"/>
              <w:ind w:left="17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转化膜处理</w:t>
            </w:r>
          </w:p>
        </w:tc>
        <w:tc>
          <w:tcPr>
            <w:tcW w:w="1284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3" w:line="228" w:lineRule="auto"/>
              <w:ind w:left="44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磷化</w:t>
            </w:r>
          </w:p>
        </w:tc>
        <w:tc>
          <w:tcPr>
            <w:tcW w:w="1316" w:type="dxa"/>
            <w:gridSpan w:val="2"/>
            <w:vAlign w:val="top"/>
          </w:tcPr>
          <w:p>
            <w:pPr>
              <w:spacing w:before="137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0008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pStyle w:val="TableText"/>
              <w:spacing w:before="101" w:line="228" w:lineRule="auto"/>
              <w:ind w:left="2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中温磷化炉</w:t>
            </w:r>
          </w:p>
        </w:tc>
        <w:tc>
          <w:tcPr>
            <w:tcW w:w="717" w:type="dxa"/>
            <w:vAlign w:val="top"/>
          </w:tcPr>
          <w:p>
            <w:pPr>
              <w:pStyle w:val="TableText"/>
              <w:spacing w:before="100" w:line="231" w:lineRule="auto"/>
              <w:ind w:left="20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台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229" w:lineRule="auto"/>
              <w:ind w:left="55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-1"/>
                <w:sz w:val="20"/>
                <w:szCs w:val="20"/>
              </w:rPr>
              <w:t>容积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1m</w:t>
            </w:r>
            <w:r>
              <w:rPr>
                <w:rFonts w:ascii="Times New Roman" w:eastAsia="Times New Roman" w:hAnsi="Times New Roman" w:cs="Times New Roman"/>
                <w:spacing w:val="-1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1284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1316" w:type="dxa"/>
            <w:gridSpan w:val="2"/>
            <w:vAlign w:val="top"/>
          </w:tcPr>
          <w:p>
            <w:pPr>
              <w:spacing w:before="139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0009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pStyle w:val="TableText"/>
              <w:spacing w:before="103" w:line="228" w:lineRule="auto"/>
              <w:ind w:left="2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中温磷化炉</w:t>
            </w:r>
          </w:p>
        </w:tc>
        <w:tc>
          <w:tcPr>
            <w:tcW w:w="717" w:type="dxa"/>
            <w:vAlign w:val="top"/>
          </w:tcPr>
          <w:p>
            <w:pPr>
              <w:pStyle w:val="TableText"/>
              <w:spacing w:before="103" w:line="231" w:lineRule="auto"/>
              <w:ind w:left="20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台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3" w:line="229" w:lineRule="auto"/>
              <w:ind w:left="55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-1"/>
                <w:sz w:val="20"/>
                <w:szCs w:val="20"/>
              </w:rPr>
              <w:t>容积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1m</w:t>
            </w:r>
            <w:r>
              <w:rPr>
                <w:rFonts w:ascii="Times New Roman" w:eastAsia="Times New Roman" w:hAnsi="Times New Roman" w:cs="Times New Roman"/>
                <w:spacing w:val="-1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0" w:line="233" w:lineRule="auto"/>
              <w:ind w:left="39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热处理</w:t>
            </w:r>
          </w:p>
        </w:tc>
        <w:tc>
          <w:tcPr>
            <w:tcW w:w="1284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1" w:line="230" w:lineRule="auto"/>
              <w:ind w:left="12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表面热处理</w:t>
            </w:r>
          </w:p>
        </w:tc>
        <w:tc>
          <w:tcPr>
            <w:tcW w:w="1316" w:type="dxa"/>
            <w:gridSpan w:val="2"/>
            <w:vAlign w:val="top"/>
          </w:tcPr>
          <w:p>
            <w:pPr>
              <w:spacing w:before="141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0010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pStyle w:val="TableText"/>
              <w:spacing w:before="103" w:line="229" w:lineRule="auto"/>
              <w:ind w:left="47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发黑炉</w:t>
            </w:r>
          </w:p>
        </w:tc>
        <w:tc>
          <w:tcPr>
            <w:tcW w:w="717" w:type="dxa"/>
            <w:vAlign w:val="top"/>
          </w:tcPr>
          <w:p>
            <w:pPr>
              <w:spacing w:before="141" w:line="195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5" w:line="229" w:lineRule="auto"/>
              <w:ind w:left="47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3"/>
                <w:sz w:val="20"/>
                <w:szCs w:val="20"/>
              </w:rPr>
              <w:t>容积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0.4m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832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1379" w:type="dxa"/>
            <w:gridSpan w:val="2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1284" w:type="dxa"/>
            <w:gridSpan w:val="3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1316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spacing w:before="109" w:line="195" w:lineRule="auto"/>
              <w:ind w:left="3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0011</w:t>
            </w:r>
          </w:p>
        </w:tc>
        <w:tc>
          <w:tcPr>
            <w:tcW w:w="1552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0" w:line="229" w:lineRule="auto"/>
              <w:ind w:left="47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发黑炉</w:t>
            </w:r>
          </w:p>
        </w:tc>
        <w:tc>
          <w:tcPr>
            <w:tcW w:w="717" w:type="dxa"/>
            <w:tcBorders>
              <w:bottom w:val="single" w:sz="6" w:space="0" w:color="000000"/>
            </w:tcBorders>
            <w:vAlign w:val="top"/>
          </w:tcPr>
          <w:p>
            <w:pPr>
              <w:spacing w:before="109" w:line="195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8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0" w:line="229" w:lineRule="auto"/>
              <w:ind w:left="47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3"/>
                <w:sz w:val="20"/>
                <w:szCs w:val="20"/>
              </w:rPr>
              <w:t>容积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0.4m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3</w:t>
            </w:r>
          </w:p>
        </w:tc>
      </w:tr>
    </w:tbl>
    <w:p>
      <w:pPr>
        <w:pStyle w:val="BodyText"/>
      </w:pPr>
    </w:p>
    <w:p>
      <w:pPr>
        <w:sectPr>
          <w:footerReference w:type="default" r:id="rId28"/>
          <w:pgSz w:w="11906" w:h="16839"/>
          <w:pgMar w:top="1431" w:right="1451" w:bottom="1014" w:left="1451" w:header="0" w:footer="852" w:gutter="0"/>
          <w:pgNumType w:start="25"/>
          <w:cols w:num="1" w:space="720"/>
        </w:sectPr>
      </w:pPr>
    </w:p>
    <w:p>
      <w:pPr>
        <w:spacing w:before="28"/>
      </w:pPr>
    </w:p>
    <w:tbl>
      <w:tblPr>
        <w:tblStyle w:val="TableNormal024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141"/>
        <w:gridCol w:w="635"/>
        <w:gridCol w:w="614"/>
        <w:gridCol w:w="409"/>
        <w:gridCol w:w="874"/>
        <w:gridCol w:w="1316"/>
        <w:gridCol w:w="1550"/>
        <w:gridCol w:w="717"/>
        <w:gridCol w:w="1750"/>
        <w:gridCol w:w="151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/>
        </w:trPr>
        <w:tc>
          <w:tcPr>
            <w:tcW w:w="8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90" w:type="dxa"/>
            <w:gridSpan w:val="3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/>
        </w:tc>
        <w:tc>
          <w:tcPr>
            <w:tcW w:w="1283" w:type="dxa"/>
            <w:gridSpan w:val="2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/>
        </w:tc>
        <w:tc>
          <w:tcPr>
            <w:tcW w:w="1316" w:type="dxa"/>
            <w:tcBorders>
              <w:top w:val="single" w:sz="6" w:space="0" w:color="000000"/>
            </w:tcBorders>
            <w:vAlign w:val="top"/>
          </w:tcPr>
          <w:p>
            <w:pPr>
              <w:spacing w:before="102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0012</w:t>
            </w:r>
          </w:p>
        </w:tc>
        <w:tc>
          <w:tcPr>
            <w:tcW w:w="155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6" w:line="229" w:lineRule="auto"/>
              <w:ind w:left="46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发黑炉</w:t>
            </w:r>
          </w:p>
        </w:tc>
        <w:tc>
          <w:tcPr>
            <w:tcW w:w="717" w:type="dxa"/>
            <w:tcBorders>
              <w:top w:val="single" w:sz="6" w:space="0" w:color="000000"/>
            </w:tcBorders>
            <w:vAlign w:val="top"/>
          </w:tcPr>
          <w:p>
            <w:pPr>
              <w:spacing w:before="102" w:line="195" w:lineRule="auto"/>
              <w:ind w:left="3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1" w:type="dxa"/>
            <w:gridSpan w:val="2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6" w:line="229" w:lineRule="auto"/>
              <w:ind w:left="46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3"/>
                <w:sz w:val="20"/>
                <w:szCs w:val="20"/>
              </w:rPr>
              <w:t>容积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0.4m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90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283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16" w:type="dxa"/>
            <w:vAlign w:val="top"/>
          </w:tcPr>
          <w:p>
            <w:pPr>
              <w:spacing w:before="94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0013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spacing w:before="58" w:line="229" w:lineRule="auto"/>
              <w:ind w:left="46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发黑炉</w:t>
            </w:r>
          </w:p>
        </w:tc>
        <w:tc>
          <w:tcPr>
            <w:tcW w:w="717" w:type="dxa"/>
            <w:vAlign w:val="top"/>
          </w:tcPr>
          <w:p>
            <w:pPr>
              <w:spacing w:before="94" w:line="195" w:lineRule="auto"/>
              <w:ind w:left="3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1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8" w:line="229" w:lineRule="auto"/>
              <w:ind w:left="46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3"/>
                <w:sz w:val="20"/>
                <w:szCs w:val="20"/>
              </w:rPr>
              <w:t>容积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0.4m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90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283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16" w:type="dxa"/>
            <w:vAlign w:val="top"/>
          </w:tcPr>
          <w:p>
            <w:pPr>
              <w:spacing w:before="79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0014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spacing w:before="41" w:line="228" w:lineRule="auto"/>
              <w:ind w:left="1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超声波清洗机</w:t>
            </w:r>
          </w:p>
        </w:tc>
        <w:tc>
          <w:tcPr>
            <w:tcW w:w="717" w:type="dxa"/>
            <w:vAlign w:val="top"/>
          </w:tcPr>
          <w:p>
            <w:pPr>
              <w:spacing w:before="80" w:line="195" w:lineRule="auto"/>
              <w:ind w:left="3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1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59" w:line="216" w:lineRule="auto"/>
              <w:ind w:left="65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0.25m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90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283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16" w:type="dxa"/>
            <w:vAlign w:val="top"/>
          </w:tcPr>
          <w:p>
            <w:pPr>
              <w:spacing w:before="107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0015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spacing w:before="68" w:line="228" w:lineRule="auto"/>
              <w:ind w:left="1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超声波清洗机</w:t>
            </w:r>
          </w:p>
        </w:tc>
        <w:tc>
          <w:tcPr>
            <w:tcW w:w="717" w:type="dxa"/>
            <w:vAlign w:val="top"/>
          </w:tcPr>
          <w:p>
            <w:pPr>
              <w:spacing w:before="107" w:line="195" w:lineRule="auto"/>
              <w:ind w:left="3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1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87" w:line="216" w:lineRule="auto"/>
              <w:ind w:left="65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0.25m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90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1283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1316" w:type="dxa"/>
            <w:vAlign w:val="top"/>
          </w:tcPr>
          <w:p>
            <w:pPr>
              <w:spacing w:before="89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0016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spacing w:before="53" w:line="228" w:lineRule="auto"/>
              <w:ind w:left="1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超声波清洗机</w:t>
            </w:r>
          </w:p>
        </w:tc>
        <w:tc>
          <w:tcPr>
            <w:tcW w:w="717" w:type="dxa"/>
            <w:vAlign w:val="top"/>
          </w:tcPr>
          <w:p>
            <w:pPr>
              <w:spacing w:before="90" w:line="195" w:lineRule="auto"/>
              <w:ind w:left="3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1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69" w:line="216" w:lineRule="auto"/>
              <w:ind w:left="65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0.25m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90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1" w:line="241" w:lineRule="auto"/>
              <w:ind w:left="599" w:right="168" w:hanging="42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废气处理系</w:t>
            </w:r>
            <w:r>
              <w:rPr>
                <w:sz w:val="20"/>
                <w:szCs w:val="20"/>
              </w:rPr>
              <w:t xml:space="preserve"> 统</w:t>
            </w:r>
          </w:p>
        </w:tc>
        <w:tc>
          <w:tcPr>
            <w:tcW w:w="128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</w:pPr>
          </w:p>
          <w:p>
            <w:pPr>
              <w:pStyle w:val="TableText"/>
              <w:spacing w:before="65" w:line="229" w:lineRule="auto"/>
              <w:ind w:left="2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废气处理</w:t>
            </w:r>
          </w:p>
        </w:tc>
        <w:tc>
          <w:tcPr>
            <w:tcW w:w="1316" w:type="dxa"/>
            <w:vAlign w:val="top"/>
          </w:tcPr>
          <w:p>
            <w:pPr>
              <w:spacing w:before="187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0017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spacing w:before="148" w:line="228" w:lineRule="auto"/>
              <w:ind w:left="36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风机风量</w:t>
            </w:r>
          </w:p>
        </w:tc>
        <w:tc>
          <w:tcPr>
            <w:tcW w:w="717" w:type="dxa"/>
            <w:vAlign w:val="top"/>
          </w:tcPr>
          <w:p>
            <w:pPr>
              <w:pStyle w:val="TableText"/>
              <w:spacing w:before="148" w:line="231" w:lineRule="auto"/>
              <w:ind w:left="19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台</w:t>
            </w:r>
          </w:p>
        </w:tc>
        <w:tc>
          <w:tcPr>
            <w:tcW w:w="1901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20" w:line="274" w:lineRule="exact"/>
              <w:ind w:left="5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6000m</w:t>
            </w:r>
            <w:r>
              <w:rPr>
                <w:rFonts w:ascii="Times New Roman" w:eastAsia="Times New Roman" w:hAnsi="Times New Roman" w:cs="Times New Roman"/>
                <w:spacing w:val="3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/h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90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1283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1316" w:type="dxa"/>
            <w:vAlign w:val="top"/>
          </w:tcPr>
          <w:p>
            <w:pPr>
              <w:spacing w:before="186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0018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spacing w:before="150" w:line="228" w:lineRule="auto"/>
              <w:ind w:left="36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风机风量</w:t>
            </w:r>
          </w:p>
        </w:tc>
        <w:tc>
          <w:tcPr>
            <w:tcW w:w="717" w:type="dxa"/>
            <w:vAlign w:val="top"/>
          </w:tcPr>
          <w:p>
            <w:pPr>
              <w:pStyle w:val="TableText"/>
              <w:spacing w:before="150" w:line="231" w:lineRule="auto"/>
              <w:ind w:left="19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台</w:t>
            </w:r>
          </w:p>
        </w:tc>
        <w:tc>
          <w:tcPr>
            <w:tcW w:w="1901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19" w:line="274" w:lineRule="exact"/>
              <w:ind w:left="5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3000m</w:t>
            </w:r>
            <w:r>
              <w:rPr>
                <w:rFonts w:ascii="Times New Roman" w:eastAsia="Times New Roman" w:hAnsi="Times New Roman" w:cs="Times New Roman"/>
                <w:spacing w:val="3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/h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0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157" w:type="dxa"/>
            <w:gridSpan w:val="10"/>
            <w:tcBorders>
              <w:bottom w:val="single" w:sz="4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" w:line="501" w:lineRule="exact"/>
              <w:jc w:val="right"/>
            </w:pPr>
            <w:r>
              <w:rPr>
                <w:spacing w:val="-7"/>
                <w:position w:val="16"/>
              </w:rPr>
              <w:t>备注：酸洗槽容积</w:t>
            </w:r>
            <w:r>
              <w:rPr>
                <w:spacing w:val="-51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>0.216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7"/>
                <w:position w:val="22"/>
                <w:sz w:val="13"/>
                <w:szCs w:val="13"/>
              </w:rPr>
              <w:t>3</w:t>
            </w:r>
            <w:r>
              <w:rPr>
                <w:spacing w:val="-8"/>
                <w:position w:val="16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8"/>
                <w:position w:val="16"/>
              </w:rPr>
              <w:t>1#</w:t>
            </w:r>
            <w:r>
              <w:rPr>
                <w:spacing w:val="-8"/>
                <w:position w:val="16"/>
              </w:rPr>
              <w:t>水洗槽容积为</w:t>
            </w:r>
            <w:r>
              <w:rPr>
                <w:spacing w:val="-3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position w:val="16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8"/>
                <w:position w:val="22"/>
                <w:sz w:val="13"/>
                <w:szCs w:val="13"/>
              </w:rPr>
              <w:t>3</w:t>
            </w:r>
            <w:r>
              <w:rPr>
                <w:spacing w:val="-7"/>
                <w:position w:val="16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>2#</w:t>
            </w:r>
            <w:r>
              <w:rPr>
                <w:spacing w:val="-7"/>
                <w:position w:val="16"/>
              </w:rPr>
              <w:t>水洗槽容积为</w:t>
            </w:r>
            <w:r>
              <w:rPr>
                <w:spacing w:val="-3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>1.4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7"/>
                <w:position w:val="22"/>
                <w:sz w:val="13"/>
                <w:szCs w:val="13"/>
              </w:rPr>
              <w:t>3</w:t>
            </w:r>
            <w:r>
              <w:rPr>
                <w:spacing w:val="-54"/>
                <w:position w:val="16"/>
              </w:rPr>
              <w:t>，</w:t>
            </w:r>
          </w:p>
          <w:p>
            <w:pPr>
              <w:pStyle w:val="TableText"/>
              <w:spacing w:line="219" w:lineRule="auto"/>
              <w:ind w:left="110"/>
            </w:pPr>
            <w:r>
              <w:rPr>
                <w:spacing w:val="-1"/>
              </w:rPr>
              <w:t>本项目主要原辅材料消耗情况见下表。</w:t>
            </w:r>
          </w:p>
          <w:p>
            <w:pPr>
              <w:pStyle w:val="TableText"/>
              <w:spacing w:before="177" w:line="223" w:lineRule="auto"/>
              <w:ind w:left="254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2-4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主要原辅材料消耗一览表</w:t>
            </w:r>
          </w:p>
          <w:tbl>
            <w:tblPr>
              <w:tblStyle w:val="TableNormal024"/>
              <w:tblW w:w="7919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37"/>
              <w:gridCol w:w="1661"/>
              <w:gridCol w:w="1064"/>
              <w:gridCol w:w="1363"/>
              <w:gridCol w:w="3094"/>
            </w:tblGrid>
            <w:tr>
              <w:tblPrEx>
                <w:tblW w:w="7919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6"/>
              </w:trPr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2" w:line="230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91" w:line="231" w:lineRule="auto"/>
                    <w:ind w:left="57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名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称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pStyle w:val="TableText"/>
                    <w:spacing w:before="92" w:line="229" w:lineRule="auto"/>
                    <w:ind w:left="32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pStyle w:val="TableText"/>
                    <w:spacing w:before="92" w:line="230" w:lineRule="auto"/>
                    <w:ind w:left="47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用量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92" w:line="230" w:lineRule="auto"/>
                    <w:ind w:left="134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4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96" w:line="195" w:lineRule="auto"/>
                    <w:ind w:left="3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1" w:line="228" w:lineRule="auto"/>
                    <w:ind w:left="20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产品金属工件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0" w:line="274" w:lineRule="exact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96" w:line="195" w:lineRule="auto"/>
                    <w:ind w:left="4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3000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0" w:line="228" w:lineRule="auto"/>
                    <w:ind w:left="63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由委托处理厂家提供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4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98" w:line="195" w:lineRule="auto"/>
                    <w:ind w:left="3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0" w:line="231" w:lineRule="auto"/>
                    <w:ind w:left="62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钢砂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1" w:line="275" w:lineRule="exact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98" w:line="195" w:lineRule="auto"/>
                    <w:ind w:left="6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0" w:line="228" w:lineRule="auto"/>
                    <w:ind w:left="50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外购，袋装，车间储存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5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100" w:line="195" w:lineRule="auto"/>
                    <w:ind w:left="3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2" w:line="229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玻璃砂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3" w:line="274" w:lineRule="exact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100" w:line="195" w:lineRule="auto"/>
                    <w:ind w:left="6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50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外购，袋装，车间储存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9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125" w:line="195" w:lineRule="auto"/>
                    <w:ind w:left="3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89" w:line="229" w:lineRule="auto"/>
                    <w:ind w:left="629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片碱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58" w:line="274" w:lineRule="exact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125" w:line="195" w:lineRule="auto"/>
                    <w:ind w:left="6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89" w:line="229" w:lineRule="auto"/>
                    <w:ind w:left="40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外购，袋装，发黑液成分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5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100" w:line="195" w:lineRule="auto"/>
                    <w:ind w:left="3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2" w:line="230" w:lineRule="auto"/>
                    <w:ind w:left="41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亚硝酸钠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4" w:line="274" w:lineRule="exact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100" w:line="195" w:lineRule="auto"/>
                    <w:ind w:left="6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2" w:line="229" w:lineRule="auto"/>
                    <w:ind w:left="40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外购，袋装，发黑液成分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5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102" w:line="192" w:lineRule="auto"/>
                    <w:ind w:left="3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3" w:line="228" w:lineRule="auto"/>
                    <w:ind w:left="62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皂粉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2" w:line="274" w:lineRule="exact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99" w:line="195" w:lineRule="auto"/>
                    <w:ind w:left="6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3" w:line="228" w:lineRule="auto"/>
                    <w:ind w:left="50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外购，袋装，车间储存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5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99" w:line="195" w:lineRule="auto"/>
                    <w:ind w:left="3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532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防锈油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3" w:line="274" w:lineRule="exact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100" w:line="195" w:lineRule="auto"/>
                    <w:ind w:left="6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50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外购，桶装，车间储存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5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103" w:line="192" w:lineRule="auto"/>
                    <w:ind w:left="3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51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磷化液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4" w:line="274" w:lineRule="exact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100" w:line="195" w:lineRule="auto"/>
                    <w:ind w:left="6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50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外购，罐装，车间储存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5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99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3" w:line="228" w:lineRule="auto"/>
                    <w:ind w:left="52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草酸液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2" w:line="274" w:lineRule="exact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99" w:line="195" w:lineRule="auto"/>
                    <w:ind w:left="5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3" w:line="228" w:lineRule="auto"/>
                    <w:ind w:left="8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外购桶装，用于金属件酸洗工序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5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99" w:line="195" w:lineRule="auto"/>
                    <w:ind w:left="3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51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柠檬酸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3" w:line="274" w:lineRule="exact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99" w:line="195" w:lineRule="auto"/>
                    <w:ind w:left="5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4" w:line="227" w:lineRule="auto"/>
                    <w:ind w:left="29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外购桶装，用于酸喷淋阶段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1"/>
              </w:trPr>
              <w:tc>
                <w:tcPr>
                  <w:tcW w:w="7919" w:type="dxa"/>
                  <w:gridSpan w:val="5"/>
                  <w:vAlign w:val="top"/>
                </w:tcPr>
                <w:p>
                  <w:pPr>
                    <w:pStyle w:val="TableText"/>
                    <w:spacing w:before="91" w:line="228" w:lineRule="auto"/>
                    <w:ind w:left="355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能源消耗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5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100" w:line="195" w:lineRule="auto"/>
                    <w:ind w:left="3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73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4" w:line="274" w:lineRule="exact"/>
                    <w:ind w:left="3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7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100" w:line="195" w:lineRule="auto"/>
                    <w:ind w:left="3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1412.24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52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由平原县供水管网提供</w:t>
                  </w:r>
                </w:p>
              </w:tc>
            </w:tr>
            <w:tr>
              <w:tblPrEx>
                <w:tblW w:w="7919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9"/>
              </w:trPr>
              <w:tc>
                <w:tcPr>
                  <w:tcW w:w="737" w:type="dxa"/>
                  <w:vAlign w:val="top"/>
                </w:tcPr>
                <w:p>
                  <w:pPr>
                    <w:spacing w:before="101" w:line="195" w:lineRule="auto"/>
                    <w:ind w:left="3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spacing w:before="63" w:line="234" w:lineRule="auto"/>
                    <w:ind w:left="75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电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spacing w:before="34" w:line="275" w:lineRule="exact"/>
                    <w:ind w:left="2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kwh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1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pStyle w:val="TableText"/>
                    <w:spacing w:before="63" w:line="229" w:lineRule="auto"/>
                    <w:ind w:left="49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万</w:t>
                  </w:r>
                </w:p>
              </w:tc>
              <w:tc>
                <w:tcPr>
                  <w:tcW w:w="3094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63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由平原县供电网提供</w:t>
                  </w:r>
                </w:p>
              </w:tc>
            </w:tr>
          </w:tbl>
          <w:p>
            <w:pPr>
              <w:pStyle w:val="TableText"/>
              <w:spacing w:before="35" w:line="219" w:lineRule="auto"/>
              <w:ind w:left="595"/>
            </w:pPr>
            <w:r>
              <w:rPr>
                <w:spacing w:val="-2"/>
              </w:rPr>
              <w:t>原辅材料理化性质：</w:t>
            </w:r>
          </w:p>
          <w:p>
            <w:pPr>
              <w:pStyle w:val="TableText"/>
              <w:spacing w:before="183" w:line="219" w:lineRule="auto"/>
              <w:ind w:left="590"/>
            </w:pPr>
            <w:r>
              <w:rPr>
                <w:spacing w:val="-1"/>
              </w:rPr>
              <w:t>本项目主要的原辅材料理化性质见下表。</w:t>
            </w:r>
          </w:p>
          <w:p>
            <w:pPr>
              <w:pStyle w:val="TableText"/>
              <w:spacing w:before="176" w:line="211" w:lineRule="auto"/>
              <w:ind w:left="238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2-5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主要原辅材料理化性质一览表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41" w:type="dxa"/>
            <w:vMerge w:val="restart"/>
            <w:tcBorders>
              <w:top w:val="nil"/>
              <w:bottom w:val="nil"/>
              <w:right w:val="single" w:sz="4" w:space="0" w:color="000000"/>
            </w:tcBorders>
            <w:vAlign w:val="top"/>
          </w:tcPr>
          <w:p/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top"/>
          </w:tcPr>
          <w:p>
            <w:pPr>
              <w:pStyle w:val="TableText"/>
              <w:spacing w:before="213" w:line="218" w:lineRule="auto"/>
              <w:ind w:left="3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73" w:line="231" w:lineRule="auto"/>
              <w:ind w:left="30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6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74" w:line="229" w:lineRule="auto"/>
              <w:ind w:left="268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理化性质</w:t>
            </w:r>
          </w:p>
        </w:tc>
        <w:tc>
          <w:tcPr>
            <w:tcW w:w="151" w:type="dxa"/>
            <w:vMerge w:val="restart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41" w:type="dxa"/>
            <w:vMerge/>
            <w:tcBorders>
              <w:top w:val="nil"/>
              <w:bottom w:val="nil"/>
              <w:right w:val="single" w:sz="4" w:space="0" w:color="000000"/>
            </w:tcBorders>
            <w:vAlign w:val="top"/>
          </w:tcPr>
          <w:p/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279" w:lineRule="auto"/>
            </w:pPr>
          </w:p>
          <w:p>
            <w:pPr>
              <w:spacing w:line="280" w:lineRule="auto"/>
            </w:pPr>
          </w:p>
          <w:p>
            <w:pPr>
              <w:spacing w:before="58" w:line="195" w:lineRule="auto"/>
              <w:ind w:left="2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pStyle w:val="TableText"/>
              <w:spacing w:before="65" w:line="229" w:lineRule="auto"/>
              <w:ind w:left="30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片碱</w:t>
            </w:r>
          </w:p>
        </w:tc>
        <w:tc>
          <w:tcPr>
            <w:tcW w:w="6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39" w:line="243" w:lineRule="auto"/>
              <w:ind w:left="106" w:right="41" w:firstLine="1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化学式为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NaOH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，俗称烧碱、火碱、片碱、苛性钠，为一种具有高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腐蚀性的强碱，一般为片状或颗粒形态，易溶于水并形成碱性溶液，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另有潮解性，易吸取空气中的水蒸气。纯品是无色透明的晶体。密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度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gcm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³</w:t>
            </w:r>
            <w:r>
              <w:rPr>
                <w:rFonts w:ascii="Times New Roman" w:eastAsia="Times New Roman" w:hAnsi="Times New Roman" w:cs="Times New Roman"/>
                <w:spacing w:val="-2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。熔点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318.4</w:t>
            </w:r>
            <w:r>
              <w:rPr>
                <w:spacing w:val="3"/>
                <w:sz w:val="20"/>
                <w:szCs w:val="20"/>
              </w:rPr>
              <w:t>℃</w:t>
            </w:r>
            <w:r>
              <w:rPr>
                <w:spacing w:val="-7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。沸点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1390</w:t>
            </w:r>
            <w:r>
              <w:rPr>
                <w:spacing w:val="3"/>
                <w:sz w:val="20"/>
                <w:szCs w:val="20"/>
              </w:rPr>
              <w:t>℃</w:t>
            </w:r>
            <w:r>
              <w:rPr>
                <w:spacing w:val="-7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。工业品含有少量的氯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化钠和碳酸钠，是白色不透明的固体。</w:t>
            </w:r>
          </w:p>
        </w:tc>
        <w:tc>
          <w:tcPr>
            <w:tcW w:w="151" w:type="dxa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141" w:type="dxa"/>
            <w:vMerge/>
            <w:tcBorders>
              <w:top w:val="nil"/>
              <w:bottom w:val="single" w:sz="6" w:space="0" w:color="000000"/>
              <w:right w:val="single" w:sz="4" w:space="0" w:color="000000"/>
            </w:tcBorders>
            <w:vAlign w:val="top"/>
          </w:tcPr>
          <w:p/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top"/>
          </w:tcPr>
          <w:p>
            <w:pPr>
              <w:spacing w:line="280" w:lineRule="auto"/>
            </w:pPr>
          </w:p>
          <w:p>
            <w:pPr>
              <w:spacing w:line="281" w:lineRule="auto"/>
            </w:pPr>
          </w:p>
          <w:p>
            <w:pPr>
              <w:spacing w:before="57" w:line="195" w:lineRule="auto"/>
              <w:ind w:left="2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top"/>
          </w:tcPr>
          <w:p>
            <w:pPr>
              <w:spacing w:line="382" w:lineRule="auto"/>
            </w:pPr>
          </w:p>
          <w:p>
            <w:pPr>
              <w:pStyle w:val="TableText"/>
              <w:spacing w:before="65"/>
              <w:ind w:left="403" w:right="198" w:hanging="20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亚硝酸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钠</w:t>
            </w:r>
          </w:p>
        </w:tc>
        <w:tc>
          <w:tcPr>
            <w:tcW w:w="6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41" w:line="228" w:lineRule="auto"/>
              <w:ind w:left="151"/>
              <w:rPr>
                <w:sz w:val="20"/>
                <w:szCs w:val="20"/>
              </w:rPr>
            </w:pPr>
            <w:r>
              <w:rPr>
                <w:color w:val="333333"/>
                <w:spacing w:val="8"/>
                <w:sz w:val="20"/>
                <w:szCs w:val="20"/>
              </w:rPr>
              <w:t>硝酸钠为无机盐的一种，化学式为</w:t>
            </w:r>
            <w:r>
              <w:rPr>
                <w:color w:val="333333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NaNO</w:t>
            </w:r>
            <w:r>
              <w:rPr>
                <w:rFonts w:ascii="Times New Roman" w:eastAsia="Times New Roman" w:hAnsi="Times New Roman" w:cs="Times New Roman"/>
                <w:color w:val="333333"/>
                <w:spacing w:val="8"/>
                <w:position w:val="-1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pacing w:val="-11"/>
                <w:position w:val="-1"/>
                <w:sz w:val="13"/>
                <w:szCs w:val="13"/>
              </w:rPr>
              <w:t xml:space="preserve"> </w:t>
            </w:r>
            <w:r>
              <w:rPr>
                <w:color w:val="333333"/>
                <w:spacing w:val="8"/>
                <w:sz w:val="20"/>
                <w:szCs w:val="20"/>
              </w:rPr>
              <w:t>，</w:t>
            </w:r>
            <w:r>
              <w:rPr>
                <w:color w:val="333333"/>
                <w:spacing w:val="-57"/>
                <w:sz w:val="20"/>
                <w:szCs w:val="20"/>
              </w:rPr>
              <w:t xml:space="preserve"> </w:t>
            </w:r>
            <w:r>
              <w:rPr>
                <w:color w:val="333333"/>
                <w:spacing w:val="8"/>
                <w:sz w:val="20"/>
                <w:szCs w:val="20"/>
              </w:rPr>
              <w:t>白色</w:t>
            </w:r>
            <w:r>
              <w:rPr>
                <w:color w:val="333333"/>
                <w:spacing w:val="7"/>
                <w:sz w:val="20"/>
                <w:szCs w:val="20"/>
              </w:rPr>
              <w:t>固体粉末，又称</w:t>
            </w:r>
          </w:p>
          <w:p>
            <w:pPr>
              <w:pStyle w:val="TableText"/>
              <w:spacing w:before="24" w:line="224" w:lineRule="auto"/>
              <w:ind w:left="109"/>
              <w:rPr>
                <w:sz w:val="20"/>
                <w:szCs w:val="20"/>
              </w:rPr>
            </w:pPr>
            <w:r>
              <w:rPr>
                <w:color w:val="333333"/>
                <w:spacing w:val="6"/>
                <w:sz w:val="20"/>
                <w:szCs w:val="20"/>
              </w:rPr>
              <w:t>为智利硝石或秘鲁硝石（较不常见）。世上最大的硝酸钠矿位于智</w:t>
            </w:r>
          </w:p>
          <w:p>
            <w:pPr>
              <w:pStyle w:val="TableText"/>
              <w:spacing w:line="272" w:lineRule="exact"/>
              <w:ind w:left="1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color w:val="333333"/>
                <w:spacing w:val="9"/>
                <w:position w:val="2"/>
                <w:sz w:val="20"/>
                <w:szCs w:val="20"/>
              </w:rPr>
              <w:t>利阿塔卡马沙漠。可由下列化学式合成</w:t>
            </w:r>
            <w:r>
              <w:rPr>
                <w:rFonts w:ascii="Arial" w:eastAsia="Arial" w:hAnsi="Arial" w:cs="Arial"/>
                <w:color w:val="333333"/>
                <w:spacing w:val="9"/>
                <w:position w:val="2"/>
                <w:sz w:val="20"/>
                <w:szCs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333333"/>
                <w:position w:val="2"/>
                <w:sz w:val="20"/>
                <w:szCs w:val="20"/>
              </w:rPr>
              <w:t>NaOH</w:t>
            </w:r>
            <w:r>
              <w:rPr>
                <w:rFonts w:ascii="Times New Roman" w:eastAsia="Times New Roman" w:hAnsi="Times New Roman" w:cs="Times New Roman"/>
                <w:color w:val="333333"/>
                <w:spacing w:val="9"/>
                <w:position w:val="2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color w:val="333333"/>
                <w:position w:val="2"/>
                <w:sz w:val="20"/>
                <w:szCs w:val="20"/>
              </w:rPr>
              <w:t>aq</w:t>
            </w:r>
            <w:r>
              <w:rPr>
                <w:rFonts w:ascii="Times New Roman" w:eastAsia="Times New Roman" w:hAnsi="Times New Roman" w:cs="Times New Roman"/>
                <w:color w:val="333333"/>
                <w:spacing w:val="9"/>
                <w:position w:val="2"/>
                <w:sz w:val="20"/>
                <w:szCs w:val="20"/>
              </w:rPr>
              <w:t xml:space="preserve">) + </w:t>
            </w:r>
            <w:r>
              <w:rPr>
                <w:rFonts w:ascii="Times New Roman" w:eastAsia="Times New Roman" w:hAnsi="Times New Roman" w:cs="Times New Roman"/>
                <w:color w:val="333333"/>
                <w:position w:val="2"/>
                <w:sz w:val="20"/>
                <w:szCs w:val="20"/>
              </w:rPr>
              <w:t>HNO</w:t>
            </w:r>
            <w:r>
              <w:rPr>
                <w:rFonts w:ascii="Times New Roman" w:eastAsia="Times New Roman" w:hAnsi="Times New Roman" w:cs="Times New Roman"/>
                <w:color w:val="333333"/>
                <w:spacing w:val="9"/>
                <w:position w:val="1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pacing w:val="9"/>
                <w:position w:val="2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color w:val="333333"/>
                <w:position w:val="2"/>
                <w:sz w:val="20"/>
                <w:szCs w:val="20"/>
              </w:rPr>
              <w:t>aq</w:t>
            </w:r>
            <w:r>
              <w:rPr>
                <w:rFonts w:ascii="Times New Roman" w:eastAsia="Times New Roman" w:hAnsi="Times New Roman" w:cs="Times New Roman"/>
                <w:color w:val="333333"/>
                <w:spacing w:val="9"/>
                <w:position w:val="2"/>
                <w:sz w:val="20"/>
                <w:szCs w:val="20"/>
              </w:rPr>
              <w:t>) →</w:t>
            </w:r>
          </w:p>
          <w:p>
            <w:pPr>
              <w:pStyle w:val="TableText"/>
              <w:spacing w:line="272" w:lineRule="exact"/>
              <w:ind w:left="23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position w:val="2"/>
                <w:sz w:val="20"/>
                <w:szCs w:val="20"/>
              </w:rPr>
              <w:t>NaNO</w:t>
            </w:r>
            <w:r>
              <w:rPr>
                <w:rFonts w:ascii="Times New Roman" w:eastAsia="Times New Roman" w:hAnsi="Times New Roman" w:cs="Times New Roman"/>
                <w:color w:val="333333"/>
                <w:spacing w:val="8"/>
                <w:position w:val="1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pacing w:val="8"/>
                <w:position w:val="2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color w:val="333333"/>
                <w:position w:val="2"/>
                <w:sz w:val="20"/>
                <w:szCs w:val="20"/>
              </w:rPr>
              <w:t>aq</w:t>
            </w:r>
            <w:r>
              <w:rPr>
                <w:rFonts w:ascii="Times New Roman" w:eastAsia="Times New Roman" w:hAnsi="Times New Roman" w:cs="Times New Roman"/>
                <w:color w:val="333333"/>
                <w:spacing w:val="8"/>
                <w:position w:val="2"/>
                <w:sz w:val="20"/>
                <w:szCs w:val="20"/>
              </w:rPr>
              <w:t>) + H2O(l)</w:t>
            </w:r>
            <w:r>
              <w:rPr>
                <w:color w:val="333333"/>
                <w:spacing w:val="8"/>
                <w:position w:val="2"/>
                <w:sz w:val="20"/>
                <w:szCs w:val="20"/>
              </w:rPr>
              <w:t>硝酸钠加热至</w:t>
            </w:r>
            <w:r>
              <w:rPr>
                <w:color w:val="333333"/>
                <w:spacing w:val="-3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8"/>
                <w:position w:val="2"/>
                <w:sz w:val="20"/>
                <w:szCs w:val="20"/>
              </w:rPr>
              <w:t>380</w:t>
            </w:r>
            <w:r>
              <w:rPr>
                <w:color w:val="333333"/>
                <w:spacing w:val="8"/>
                <w:position w:val="2"/>
                <w:sz w:val="20"/>
                <w:szCs w:val="20"/>
              </w:rPr>
              <w:t>℃分解产生亚硝酸钠和氧</w:t>
            </w:r>
          </w:p>
          <w:p>
            <w:pPr>
              <w:pStyle w:val="TableText"/>
              <w:spacing w:before="30" w:line="215" w:lineRule="auto"/>
              <w:ind w:right="1"/>
              <w:jc w:val="right"/>
              <w:rPr>
                <w:sz w:val="20"/>
                <w:szCs w:val="20"/>
              </w:rPr>
            </w:pPr>
            <w:r>
              <w:rPr>
                <w:color w:val="333333"/>
                <w:spacing w:val="6"/>
                <w:sz w:val="20"/>
                <w:szCs w:val="20"/>
              </w:rPr>
              <w:t>气 。硝酸钠具有氧化性，可与铅共热反应产生亚硝酸钠和氧化铅。</w:t>
            </w:r>
          </w:p>
        </w:tc>
        <w:tc>
          <w:tcPr>
            <w:tcW w:w="151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footerReference w:type="default" r:id="rId29"/>
          <w:pgSz w:w="11906" w:h="16839"/>
          <w:pgMar w:top="1431" w:right="1451" w:bottom="1014" w:left="1451" w:header="0" w:footer="852" w:gutter="0"/>
          <w:pgNumType w:start="26"/>
          <w:cols w:num="1" w:space="720"/>
        </w:sectPr>
      </w:pPr>
    </w:p>
    <w:p>
      <w:pPr>
        <w:spacing w:before="28"/>
      </w:pPr>
    </w:p>
    <w:tbl>
      <w:tblPr>
        <w:tblStyle w:val="TableNormal025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8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4"/>
        </w:trPr>
        <w:tc>
          <w:tcPr>
            <w:tcW w:w="8988" w:type="dxa"/>
            <w:vAlign w:val="top"/>
          </w:tcPr>
          <w:p>
            <w:pPr>
              <w:spacing w:line="52" w:lineRule="auto"/>
              <w:rPr>
                <w:sz w:val="2"/>
              </w:rPr>
            </w:pPr>
            <w:r>
              <w:pict>
                <v:rect id="_x0000_s1046" o:spid="_x0000_s1046" style="width:0.5pt;height:654.8pt;margin-top:0.95pt;margin-left:41.05pt;mso-height-relative:page;mso-position-horizontal-relative:page;mso-position-vertical-relative:page;mso-width-relative:page;position:absolute;z-index:251680768" coordsize="21600,21600" filled="t" fillcolor="black" stroked="f"/>
              </w:pict>
            </w:r>
          </w:p>
          <w:tbl>
            <w:tblPr>
              <w:tblStyle w:val="TableNormal025"/>
              <w:tblW w:w="7882" w:type="dxa"/>
              <w:tblInd w:w="95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42"/>
              <w:gridCol w:w="1024"/>
              <w:gridCol w:w="6216"/>
            </w:tblGrid>
            <w:tr>
              <w:tblPrEx>
                <w:tblW w:w="7882" w:type="dxa"/>
                <w:tblInd w:w="95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5"/>
              </w:trPr>
              <w:tc>
                <w:tcPr>
                  <w:tcW w:w="642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024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621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6" w:line="228" w:lineRule="auto"/>
                    <w:ind w:left="106"/>
                    <w:rPr>
                      <w:sz w:val="20"/>
                      <w:szCs w:val="20"/>
                    </w:rPr>
                  </w:pPr>
                  <w:r>
                    <w:rPr>
                      <w:color w:val="333333"/>
                      <w:spacing w:val="6"/>
                      <w:sz w:val="20"/>
                      <w:szCs w:val="20"/>
                    </w:rPr>
                    <w:t>还在常温下将氢碘酸氧化成碘单质并形成一氧化氮：硝酸钠溶液中</w:t>
                  </w:r>
                </w:p>
                <w:p>
                  <w:pPr>
                    <w:pStyle w:val="TableText"/>
                    <w:spacing w:before="24" w:line="219" w:lineRule="auto"/>
                    <w:ind w:left="122"/>
                    <w:rPr>
                      <w:sz w:val="20"/>
                      <w:szCs w:val="20"/>
                    </w:rPr>
                  </w:pPr>
                  <w:r>
                    <w:rPr>
                      <w:color w:val="333333"/>
                      <w:spacing w:val="9"/>
                      <w:sz w:val="20"/>
                      <w:szCs w:val="20"/>
                    </w:rPr>
                    <w:t>引入氢离子后会表现出硝酸的特性：硝酸钠为</w:t>
                  </w:r>
                  <w:r>
                    <w:rPr>
                      <w:color w:val="333333"/>
                      <w:spacing w:val="8"/>
                      <w:sz w:val="20"/>
                      <w:szCs w:val="20"/>
                    </w:rPr>
                    <w:t>腌制盐的成分之一。</w:t>
                  </w:r>
                </w:p>
              </w:tc>
            </w:tr>
            <w:tr>
              <w:tblPrEx>
                <w:tblW w:w="7882" w:type="dxa"/>
                <w:tblInd w:w="95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18"/>
              </w:trPr>
              <w:tc>
                <w:tcPr>
                  <w:tcW w:w="642" w:type="dxa"/>
                  <w:vAlign w:val="top"/>
                </w:tcPr>
                <w:p>
                  <w:pPr>
                    <w:spacing w:line="278" w:lineRule="auto"/>
                  </w:pPr>
                </w:p>
                <w:p>
                  <w:pPr>
                    <w:spacing w:before="58" w:line="195" w:lineRule="auto"/>
                    <w:ind w:left="2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24" w:type="dxa"/>
                  <w:vAlign w:val="top"/>
                </w:tcPr>
                <w:p>
                  <w:pPr>
                    <w:pStyle w:val="TableText"/>
                    <w:spacing w:before="302" w:line="228" w:lineRule="auto"/>
                    <w:ind w:left="30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皂粉</w:t>
                  </w:r>
                </w:p>
              </w:tc>
              <w:tc>
                <w:tcPr>
                  <w:tcW w:w="6216" w:type="dxa"/>
                  <w:vAlign w:val="top"/>
                </w:tcPr>
                <w:p>
                  <w:pPr>
                    <w:pStyle w:val="TableText"/>
                    <w:spacing w:before="31" w:line="239" w:lineRule="auto"/>
                    <w:ind w:left="106" w:right="36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color w:val="333333"/>
                      <w:spacing w:val="2"/>
                      <w:sz w:val="20"/>
                      <w:szCs w:val="20"/>
                    </w:rPr>
                    <w:t>皂粉是一种把洗、护功能结合起来的洗涤产品，具有天然、强去污、</w:t>
                  </w:r>
                  <w:r>
                    <w:rPr>
                      <w:color w:val="333333"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color w:val="333333"/>
                      <w:spacing w:val="8"/>
                      <w:sz w:val="20"/>
                      <w:szCs w:val="20"/>
                    </w:rPr>
                    <w:t>超低泡、易漂洗等特点。它的活性物质主要是脂</w:t>
                  </w:r>
                  <w:r>
                    <w:rPr>
                      <w:color w:val="333333"/>
                      <w:spacing w:val="7"/>
                      <w:sz w:val="20"/>
                      <w:szCs w:val="20"/>
                    </w:rPr>
                    <w:t>肪酸，原料</w:t>
                  </w:r>
                  <w:r>
                    <w:rPr>
                      <w:color w:val="333333"/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pacing w:val="7"/>
                      <w:sz w:val="20"/>
                      <w:szCs w:val="20"/>
                    </w:rPr>
                    <w:t xml:space="preserve">90%    </w:t>
                  </w:r>
                  <w:r>
                    <w:rPr>
                      <w:color w:val="333333"/>
                      <w:spacing w:val="9"/>
                      <w:sz w:val="20"/>
                      <w:szCs w:val="20"/>
                    </w:rPr>
                    <w:t>以上来自可再生的植物油脂，且不含聚磷酸盐。</w:t>
                  </w:r>
                </w:p>
              </w:tc>
            </w:tr>
            <w:tr>
              <w:tblPrEx>
                <w:tblW w:w="7882" w:type="dxa"/>
                <w:tblInd w:w="95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5"/>
              </w:trPr>
              <w:tc>
                <w:tcPr>
                  <w:tcW w:w="642" w:type="dxa"/>
                  <w:vAlign w:val="top"/>
                </w:tcPr>
                <w:p>
                  <w:pPr>
                    <w:spacing w:line="283" w:lineRule="auto"/>
                  </w:pPr>
                </w:p>
                <w:p>
                  <w:pPr>
                    <w:spacing w:before="58" w:line="195" w:lineRule="auto"/>
                    <w:ind w:left="2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24" w:type="dxa"/>
                  <w:vAlign w:val="top"/>
                </w:tcPr>
                <w:p/>
                <w:p>
                  <w:pPr>
                    <w:pStyle w:val="TableText"/>
                    <w:spacing w:before="65" w:line="228" w:lineRule="auto"/>
                    <w:ind w:left="19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磷化剂</w:t>
                  </w:r>
                </w:p>
              </w:tc>
              <w:tc>
                <w:tcPr>
                  <w:tcW w:w="6216" w:type="dxa"/>
                  <w:vAlign w:val="top"/>
                </w:tcPr>
                <w:p>
                  <w:pPr>
                    <w:pStyle w:val="TableText"/>
                    <w:spacing w:before="35"/>
                    <w:ind w:left="107" w:right="106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磷化剂的原理是磷化液本身和基体反应后在基体表面生成一层致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密的化学转化膜，以起到保护基体的作用。磷酸二氢钠</w:t>
                  </w:r>
                  <w:r>
                    <w:rPr>
                      <w:spacing w:val="-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5%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、磷酸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30%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、柠檬酸</w:t>
                  </w:r>
                  <w:r>
                    <w:rPr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1%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、水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64%</w:t>
                  </w:r>
                </w:p>
              </w:tc>
            </w:tr>
          </w:tbl>
          <w:p>
            <w:pPr>
              <w:pStyle w:val="TableText"/>
              <w:spacing w:before="155" w:line="220" w:lineRule="auto"/>
              <w:ind w:left="141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、劳动组织安排</w:t>
            </w:r>
          </w:p>
          <w:p>
            <w:pPr>
              <w:pStyle w:val="TableText"/>
              <w:spacing w:before="181" w:line="466" w:lineRule="exact"/>
              <w:ind w:left="1419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17"/>
              </w:rPr>
              <w:t>项目劳动定员为</w:t>
            </w:r>
            <w:r>
              <w:rPr>
                <w:spacing w:val="-1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人，采用</w:t>
            </w:r>
            <w:r>
              <w:rPr>
                <w:spacing w:val="-2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班工作制，</w:t>
            </w:r>
            <w:r>
              <w:rPr>
                <w:spacing w:val="-71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白班</w:t>
            </w:r>
            <w:r>
              <w:rPr>
                <w:spacing w:val="-38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7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个小时，年生产</w:t>
            </w:r>
            <w:r>
              <w:rPr>
                <w:spacing w:val="-4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300</w:t>
            </w:r>
          </w:p>
          <w:p>
            <w:pPr>
              <w:pStyle w:val="TableText"/>
              <w:spacing w:before="1" w:line="220" w:lineRule="auto"/>
              <w:ind w:left="940"/>
            </w:pPr>
            <w:r>
              <w:rPr>
                <w:spacing w:val="-4"/>
              </w:rPr>
              <w:t>天，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2400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4"/>
              </w:rPr>
              <w:t>小时。</w:t>
            </w:r>
          </w:p>
          <w:p>
            <w:pPr>
              <w:pStyle w:val="TableText"/>
              <w:spacing w:before="180" w:line="221" w:lineRule="auto"/>
              <w:ind w:left="141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、公用工程</w:t>
            </w:r>
          </w:p>
          <w:p>
            <w:pPr>
              <w:pStyle w:val="TableText"/>
              <w:spacing w:before="179" w:line="219" w:lineRule="auto"/>
              <w:ind w:left="1427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）供水：</w:t>
            </w:r>
          </w:p>
          <w:p>
            <w:pPr>
              <w:pStyle w:val="TableText"/>
              <w:spacing w:before="183" w:line="322" w:lineRule="auto"/>
              <w:ind w:left="936" w:right="128" w:firstLine="478"/>
            </w:pPr>
            <w:r>
              <w:rPr>
                <w:spacing w:val="-4"/>
              </w:rPr>
              <w:t xml:space="preserve">①水洗槽用水：酸洗及磷化后水洗用水方式为浸泡水洗，浸泡水洗时间 </w:t>
            </w:r>
            <w:r>
              <w:rPr>
                <w:spacing w:val="-5"/>
              </w:rPr>
              <w:t>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 </w:t>
            </w:r>
            <w:r>
              <w:rPr>
                <w:spacing w:val="-5"/>
              </w:rPr>
              <w:t>分钟，浸泡水洗过程按日蒸发损耗量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5%</w:t>
            </w:r>
            <w:r>
              <w:rPr>
                <w:spacing w:val="-5"/>
              </w:rPr>
              <w:t>计，则水槽补水量为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12m</w:t>
            </w:r>
            <w:r>
              <w:rPr>
                <w:rFonts w:ascii="Times New Roman" w:eastAsia="Times New Roman" w:hAnsi="Times New Roman" w:cs="Times New Roman"/>
                <w:spacing w:val="-5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d</w:t>
            </w:r>
            <w:r>
              <w:rPr>
                <w:spacing w:val="-6"/>
              </w:rPr>
              <w:t>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36m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2"/>
              </w:rPr>
              <w:t>。水洗槽总有效容积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2.4m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  <w:position w:val="7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，每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 </w:t>
            </w:r>
            <w:r>
              <w:rPr>
                <w:spacing w:val="-2"/>
              </w:rPr>
              <w:t>更换一次，则纯水用量为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240m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06" w:line="318" w:lineRule="auto"/>
              <w:ind w:left="940" w:right="264" w:firstLine="473"/>
            </w:pPr>
            <w:r>
              <w:t>②酸洗池用水：酸洗槽有效容积为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0.216m</w:t>
            </w:r>
            <w:r>
              <w:rPr>
                <w:rFonts w:ascii="Times New Roman" w:eastAsia="Times New Roman" w:hAnsi="Times New Roman" w:cs="Times New Roman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8"/>
                <w:position w:val="8"/>
                <w:sz w:val="15"/>
                <w:szCs w:val="15"/>
              </w:rPr>
              <w:t xml:space="preserve"> </w:t>
            </w:r>
            <w:r>
              <w:t>，按日蒸发损</w:t>
            </w:r>
            <w:r>
              <w:rPr>
                <w:spacing w:val="-1"/>
              </w:rPr>
              <w:t>耗量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5%</w:t>
            </w:r>
            <w:r>
              <w:rPr>
                <w:spacing w:val="-1"/>
              </w:rPr>
              <w:t>计，</w:t>
            </w:r>
            <w:r>
              <w:t xml:space="preserve"> </w:t>
            </w:r>
            <w:r>
              <w:rPr>
                <w:spacing w:val="-1"/>
              </w:rPr>
              <w:t>则补水量为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0.0108m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/d</w:t>
            </w:r>
            <w:r>
              <w:rPr>
                <w:spacing w:val="-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3.24m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/a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09" w:line="319" w:lineRule="auto"/>
              <w:ind w:left="935" w:right="102" w:firstLine="478"/>
            </w:pPr>
            <w:r>
              <w:rPr>
                <w:spacing w:val="-4"/>
              </w:rPr>
              <w:t>③磷化池用水：磷化池有效容积为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spacing w:val="-4"/>
              </w:rPr>
              <w:t>，按日蒸发损耗量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5%</w:t>
            </w:r>
            <w:r>
              <w:rPr>
                <w:spacing w:val="-4"/>
              </w:rPr>
              <w:t>计，则补水</w:t>
            </w:r>
            <w:r>
              <w:t xml:space="preserve"> </w:t>
            </w:r>
            <w:r>
              <w:rPr>
                <w:spacing w:val="-1"/>
              </w:rPr>
              <w:t>量为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0.05m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/d</w:t>
            </w:r>
            <w:r>
              <w:rPr>
                <w:spacing w:val="-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/a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41" w:line="430" w:lineRule="exact"/>
              <w:ind w:left="1413"/>
              <w:rPr>
                <w:rFonts w:ascii="Times New Roman" w:eastAsia="Times New Roman" w:hAnsi="Times New Roman" w:cs="Times New Roman"/>
              </w:rPr>
            </w:pPr>
            <w:r>
              <w:rPr>
                <w:spacing w:val="4"/>
                <w:position w:val="14"/>
              </w:rPr>
              <w:t>④发黑剂调配用水：发黑剂主要成分为片碱、亚硝酸钠、水按照</w:t>
            </w:r>
            <w:r>
              <w:rPr>
                <w:spacing w:val="-10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4"/>
              </w:rPr>
              <w:t>1:1:2</w:t>
            </w:r>
          </w:p>
          <w:p>
            <w:pPr>
              <w:pStyle w:val="TableText"/>
              <w:spacing w:line="360" w:lineRule="exact"/>
              <w:ind w:left="955"/>
            </w:pPr>
            <w:r>
              <w:rPr>
                <w:spacing w:val="-2"/>
                <w:position w:val="2"/>
              </w:rPr>
              <w:t>的比例进行调配，则发黑剂调配用水</w:t>
            </w:r>
            <w:r>
              <w:rPr>
                <w:spacing w:val="-46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6m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/a</w:t>
            </w:r>
            <w:r>
              <w:rPr>
                <w:spacing w:val="-2"/>
                <w:position w:val="2"/>
              </w:rPr>
              <w:t>。</w:t>
            </w:r>
          </w:p>
          <w:p>
            <w:pPr>
              <w:pStyle w:val="TableText"/>
              <w:spacing w:before="142" w:line="322" w:lineRule="auto"/>
              <w:ind w:left="930" w:right="102" w:firstLine="483"/>
            </w:pPr>
            <w:r>
              <w:t>⑤酸喷淋用水：发黑工序产生的废气采用酸喷淋处</w:t>
            </w:r>
            <w:r>
              <w:rPr>
                <w:spacing w:val="-1"/>
              </w:rPr>
              <w:t>理，酸喷淋循环量为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/h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，蒸发损耗量按循环水量的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10%</w:t>
            </w:r>
            <w:r>
              <w:rPr>
                <w:spacing w:val="-2"/>
              </w:rPr>
              <w:t>计，则</w:t>
            </w:r>
            <w:r>
              <w:rPr>
                <w:spacing w:val="-3"/>
              </w:rPr>
              <w:t>补水量为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3.2m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/d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960m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3"/>
              </w:rPr>
              <w:t>。喷</w:t>
            </w:r>
            <w:r>
              <w:t xml:space="preserve"> </w:t>
            </w:r>
            <w:r>
              <w:rPr>
                <w:spacing w:val="-1"/>
              </w:rPr>
              <w:t>淋用水每半年更换一次，更换水量为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2m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1"/>
              </w:rPr>
              <w:t>，则总用水量为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62m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44" w:line="323" w:lineRule="auto"/>
              <w:ind w:left="937" w:right="102" w:firstLine="476"/>
            </w:pPr>
            <w:r>
              <w:rPr>
                <w:spacing w:val="2"/>
              </w:rPr>
              <w:t>⑥项目劳动定员</w:t>
            </w:r>
            <w:r>
              <w:rPr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2"/>
              </w:rPr>
              <w:t>人，不安排食宿，参考《建筑给水排水设计标准》</w:t>
            </w:r>
            <w:r>
              <w:t xml:space="preserve"> </w:t>
            </w: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GB50015-2019</w:t>
            </w:r>
            <w:r>
              <w:rPr>
                <w:spacing w:val="-14"/>
              </w:rPr>
              <w:t>），</w:t>
            </w:r>
            <w:r>
              <w:rPr>
                <w:spacing w:val="-3"/>
              </w:rPr>
              <w:t>人员生活用水量按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50L/</w:t>
            </w:r>
            <w:r>
              <w:rPr>
                <w:spacing w:val="-3"/>
              </w:rPr>
              <w:t>人</w:t>
            </w:r>
            <w:r>
              <w:rPr>
                <w:spacing w:val="-9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·d </w:t>
            </w:r>
            <w:r>
              <w:rPr>
                <w:spacing w:val="-3"/>
              </w:rPr>
              <w:t>计，项目年生产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00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4"/>
              </w:rPr>
              <w:t>天，则</w:t>
            </w:r>
            <w:r>
              <w:t xml:space="preserve"> </w:t>
            </w:r>
            <w:r>
              <w:rPr>
                <w:spacing w:val="-3"/>
              </w:rPr>
              <w:t>生活用水量为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150m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/a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43" w:line="220" w:lineRule="auto"/>
              <w:ind w:left="1427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）排水：</w:t>
            </w:r>
          </w:p>
          <w:p>
            <w:pPr>
              <w:pStyle w:val="TableText"/>
              <w:spacing w:before="144" w:line="503" w:lineRule="exact"/>
              <w:ind w:left="1417"/>
            </w:pPr>
            <w:r>
              <w:rPr>
                <w:position w:val="16"/>
              </w:rPr>
              <w:t>生活用水产污系数按</w:t>
            </w:r>
            <w:r>
              <w:rPr>
                <w:spacing w:val="-33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80%</w:t>
            </w:r>
            <w:r>
              <w:rPr>
                <w:position w:val="16"/>
              </w:rPr>
              <w:t>计，则生活废水产生量为</w:t>
            </w:r>
            <w:r>
              <w:rPr>
                <w:spacing w:val="-2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120m</w:t>
            </w:r>
            <w:r>
              <w:rPr>
                <w:rFonts w:ascii="Times New Roman" w:eastAsia="Times New Roman" w:hAnsi="Times New Roman" w:cs="Times New Roman"/>
                <w:position w:val="23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3"/>
                <w:position w:val="16"/>
              </w:rPr>
              <w:t xml:space="preserve"> </w:t>
            </w:r>
            <w:r>
              <w:rPr>
                <w:position w:val="16"/>
              </w:rPr>
              <w:t>。生活污水</w:t>
            </w:r>
          </w:p>
          <w:p>
            <w:pPr>
              <w:pStyle w:val="TableText"/>
              <w:spacing w:before="1" w:line="220" w:lineRule="auto"/>
              <w:ind w:left="937"/>
            </w:pPr>
            <w:r>
              <w:t>经厂区化粪池收集预处理后排入市政污水管网，进入平原中设水务有限公司</w:t>
            </w:r>
          </w:p>
        </w:tc>
      </w:tr>
    </w:tbl>
    <w:p>
      <w:pPr>
        <w:pStyle w:val="BodyText"/>
      </w:pPr>
    </w:p>
    <w:p>
      <w:pPr>
        <w:sectPr>
          <w:footerReference w:type="default" r:id="rId30"/>
          <w:pgSz w:w="11906" w:h="16839"/>
          <w:pgMar w:top="1431" w:right="1451" w:bottom="1014" w:left="1451" w:header="0" w:footer="852" w:gutter="0"/>
          <w:pgNumType w:start="27"/>
          <w:cols w:num="1" w:space="720"/>
        </w:sectPr>
      </w:pPr>
    </w:p>
    <w:p>
      <w:pPr>
        <w:spacing w:before="28"/>
      </w:pPr>
    </w:p>
    <w:tbl>
      <w:tblPr>
        <w:tblStyle w:val="TableNormal026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8157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6"/>
        </w:trPr>
        <w:tc>
          <w:tcPr>
            <w:tcW w:w="831" w:type="dxa"/>
            <w:vMerge w:val="restart"/>
            <w:tcBorders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8157" w:type="dxa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39" w:line="221" w:lineRule="auto"/>
              <w:ind w:left="109"/>
            </w:pPr>
            <w:r>
              <w:rPr>
                <w:spacing w:val="-2"/>
              </w:rPr>
              <w:t>深度处理深度处理。</w:t>
            </w:r>
          </w:p>
          <w:p>
            <w:pPr>
              <w:pStyle w:val="TableText"/>
              <w:spacing w:before="180" w:line="359" w:lineRule="auto"/>
              <w:ind w:left="108" w:right="102" w:firstLine="483"/>
              <w:jc w:val="both"/>
            </w:pPr>
            <w:r>
              <w:rPr>
                <w:spacing w:val="-5"/>
              </w:rPr>
              <w:t>水洗槽用水每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天更换一次，水洗槽总有效容积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2.4m</w:t>
            </w:r>
            <w:r>
              <w:rPr>
                <w:rFonts w:ascii="Times New Roman" w:eastAsia="Times New Roman" w:hAnsi="Times New Roman" w:cs="Times New Roman"/>
                <w:spacing w:val="-5"/>
                <w:position w:val="8"/>
                <w:sz w:val="15"/>
                <w:szCs w:val="15"/>
              </w:rPr>
              <w:t>3</w:t>
            </w:r>
            <w:r>
              <w:rPr>
                <w:spacing w:val="-5"/>
              </w:rPr>
              <w:t>，水槽污水产生量</w:t>
            </w:r>
            <w:r>
              <w:t xml:space="preserve"> </w:t>
            </w:r>
            <w:r>
              <w:rPr>
                <w:spacing w:val="-2"/>
              </w:rPr>
              <w:t>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240m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2"/>
              </w:rPr>
              <w:t>。喷淋用水每半年更换一次，更换水量为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3"/>
              </w:rPr>
              <w:t>。水槽废水及喷淋</w:t>
            </w:r>
            <w:r>
              <w:t xml:space="preserve"> </w:t>
            </w:r>
            <w:r>
              <w:rPr>
                <w:spacing w:val="-3"/>
              </w:rPr>
              <w:t>废水经污水处理设施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TW001</w:t>
            </w:r>
            <w:r>
              <w:rPr>
                <w:spacing w:val="-3"/>
              </w:rPr>
              <w:t>（调节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+</w:t>
            </w:r>
            <w:r>
              <w:rPr>
                <w:spacing w:val="-3"/>
              </w:rPr>
              <w:t>水解酸化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+AO+</w:t>
            </w:r>
            <w:r>
              <w:rPr>
                <w:spacing w:val="-3"/>
              </w:rPr>
              <w:t>沉淀）处理后经市政污水</w:t>
            </w:r>
          </w:p>
          <w:p>
            <w:pPr>
              <w:pStyle w:val="TableText"/>
              <w:spacing w:line="220" w:lineRule="auto"/>
              <w:ind w:left="114"/>
            </w:pPr>
            <w:r>
              <w:rPr>
                <w:spacing w:val="-1"/>
              </w:rPr>
              <w:t>管网排入平原中设水务有限公司进行深度处理。</w:t>
            </w:r>
          </w:p>
          <w:p>
            <w:pPr>
              <w:pStyle w:val="TableText"/>
              <w:spacing w:before="181" w:line="468" w:lineRule="exact"/>
              <w:ind w:left="593"/>
            </w:pPr>
            <w:r>
              <w:rPr>
                <w:spacing w:val="-1"/>
                <w:position w:val="17"/>
              </w:rPr>
              <w:t>项目采用雨污分流排水系统，雨水经地表汇集后通过厂区雨水管道排入</w:t>
            </w:r>
          </w:p>
          <w:p>
            <w:pPr>
              <w:pStyle w:val="TableText"/>
              <w:spacing w:line="220" w:lineRule="auto"/>
              <w:ind w:left="116"/>
            </w:pPr>
            <w:r>
              <w:rPr>
                <w:spacing w:val="-3"/>
              </w:rPr>
              <w:t>市政雨水管道。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7"/>
        </w:trPr>
        <w:tc>
          <w:tcPr>
            <w:tcW w:w="831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8157" w:type="dxa"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spacing w:line="415" w:lineRule="auto"/>
            </w:pPr>
            <w:r>
              <w:pict>
                <v:rect id="_x0000_s1047" o:spid="_x0000_s1047" style="width:0.85pt;height:3in;margin-top:53.9pt;margin-left:61.95pt;mso-height-relative:page;mso-position-horizontal-relative:page;mso-position-vertical-relative:page;mso-width-relative:page;position:absolute;z-index:251692032" coordsize="21600,21600" filled="t" fillcolor="black" stroked="f"/>
              </w:pict>
            </w:r>
            <w:r>
              <w:drawing>
                <wp:anchor distT="0" distB="0" distL="0" distR="0" simplePos="0" relativeHeight="251684864" behindDoc="0" locked="0" layoutInCell="1" allowOverlap="1">
                  <wp:simplePos x="0" y="0"/>
                  <wp:positionH relativeFrom="rightMargin">
                    <wp:posOffset>-3695700</wp:posOffset>
                  </wp:positionH>
                  <wp:positionV relativeFrom="topMargin">
                    <wp:posOffset>401320</wp:posOffset>
                  </wp:positionV>
                  <wp:extent cx="294640" cy="189865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716" cy="189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3840" behindDoc="0" locked="0" layoutInCell="1" allowOverlap="1">
                  <wp:simplePos x="0" y="0"/>
                  <wp:positionH relativeFrom="rightMargin">
                    <wp:posOffset>-4056380</wp:posOffset>
                  </wp:positionH>
                  <wp:positionV relativeFrom="topMargin">
                    <wp:posOffset>582295</wp:posOffset>
                  </wp:positionV>
                  <wp:extent cx="897890" cy="256540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889" cy="25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8" o:spid="_x0000_s1048" type="#_x0000_t202" style="width:6.8pt;height:11.35pt;margin-top:122.7pt;margin-left:184.4pt;mso-height-relative:page;mso-position-horizontal-relative:page;mso-position-vertical-relative:page;mso-width-relative:page;position:absolute;z-index:25169612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6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9" o:spid="_x0000_s1049" type="#_x0000_t202" style="width:6.8pt;height:11.35pt;margin-top:124.5pt;margin-left:68.5pt;mso-height-relative:page;mso-position-horizontal-relative:page;mso-position-vertical-relative:page;mso-width-relative:page;position:absolute;z-index:25168998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6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0" o:spid="_x0000_s1050" type="#_x0000_t202" style="width:65.85pt;height:23.9pt;margin-top:122.2pt;margin-left:204.9pt;mso-height-relative:page;mso-position-horizontal-relative:page;mso-position-vertical-relative:page;mso-width-relative:page;position:absolute;z-index:25168691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6"/>
                          <w:tblW w:w="1251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251"/>
                        </w:tblGrid>
                        <w:tr>
                          <w:tblPrEx>
                            <w:tblW w:w="1251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87"/>
                          </w:trPr>
                          <w:tc>
                            <w:tcPr>
                              <w:tcW w:w="125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2" w:line="229" w:lineRule="auto"/>
                                <w:ind w:left="146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sz w:val="20"/>
                                  <w:szCs w:val="20"/>
                                </w:rPr>
                                <w:t>发黑工序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94080" behindDoc="0" locked="0" layoutInCell="1" allowOverlap="1">
                  <wp:simplePos x="0" y="0"/>
                  <wp:positionH relativeFrom="rightMargin">
                    <wp:posOffset>-4384040</wp:posOffset>
                  </wp:positionH>
                  <wp:positionV relativeFrom="topMargin">
                    <wp:posOffset>1562100</wp:posOffset>
                  </wp:positionV>
                  <wp:extent cx="1473835" cy="283845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568" cy="283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5888" behindDoc="0" locked="0" layoutInCell="1" allowOverlap="1">
                  <wp:simplePos x="0" y="0"/>
                  <wp:positionH relativeFrom="rightMargin">
                    <wp:posOffset>-2897505</wp:posOffset>
                  </wp:positionH>
                  <wp:positionV relativeFrom="topMargin">
                    <wp:posOffset>1679575</wp:posOffset>
                  </wp:positionV>
                  <wp:extent cx="333375" cy="42545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425" cy="4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1" o:spid="_x0000_s1051" type="#_x0000_t202" style="width:88.45pt;height:14.4pt;margin-top:50.8pt;margin-left:61.05pt;mso-height-relative:page;mso-position-horizontal-relative:page;mso-position-vertical-relative:page;mso-width-relative:page;position:absolute;z-index:25169305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position w:val="8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333375" cy="42545"/>
                              <wp:effectExtent l="0" t="0" r="0" b="0"/>
                              <wp:docPr id="28" name="IM 2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8" name="IM 2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3425" cy="4273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6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酸洗池用水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2" o:spid="_x0000_s1052" type="#_x0000_t202" style="width:74.9pt;height:14.35pt;margin-top:127.95pt;margin-left:95.85pt;mso-height-relative:page;mso-position-horizontal-relative:page;mso-position-vertical-relative:page;mso-width-relative:page;position:absolute;z-index:251695104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8"/>
                            <w:sz w:val="20"/>
                            <w:szCs w:val="20"/>
                          </w:rPr>
                          <w:t>发黑剂调配用水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before="65" w:line="228" w:lineRule="auto"/>
              <w:ind w:left="28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损耗</w:t>
            </w:r>
            <w:r>
              <w:rPr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3.24</w:t>
            </w:r>
          </w:p>
          <w:p>
            <w:pPr>
              <w:spacing w:before="182" w:line="146" w:lineRule="exact"/>
              <w:ind w:left="13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-2"/>
                <w:sz w:val="20"/>
                <w:szCs w:val="20"/>
              </w:rPr>
              <w:t>3.24</w:t>
            </w:r>
          </w:p>
          <w:p>
            <w:pPr>
              <w:pStyle w:val="TableText"/>
              <w:spacing w:before="285" w:line="399" w:lineRule="exact"/>
              <w:ind w:left="23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drawing>
                <wp:inline distT="0" distB="0" distL="0" distR="0">
                  <wp:extent cx="294640" cy="18923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716" cy="189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4"/>
                <w:sz w:val="20"/>
                <w:szCs w:val="20"/>
              </w:rPr>
              <w:t>损耗</w:t>
            </w:r>
            <w:r>
              <w:rPr>
                <w:spacing w:val="-19"/>
                <w:position w:val="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4"/>
                <w:sz w:val="20"/>
                <w:szCs w:val="20"/>
              </w:rPr>
              <w:t>15</w:t>
            </w:r>
          </w:p>
          <w:p>
            <w:pPr>
              <w:pStyle w:val="TableText"/>
              <w:tabs>
                <w:tab w:val="left" w:pos="1401"/>
              </w:tabs>
              <w:spacing w:line="217" w:lineRule="auto"/>
              <w:ind w:left="125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6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8"/>
                <w:position w:val="6"/>
                <w:sz w:val="20"/>
                <w:szCs w:val="20"/>
              </w:rPr>
              <w:t xml:space="preserve">      </w:t>
            </w:r>
            <w:r>
              <w:rPr>
                <w:spacing w:val="3"/>
                <w:position w:val="-1"/>
                <w:sz w:val="20"/>
                <w:szCs w:val="20"/>
              </w:rPr>
              <w:t>磷化池用水</w:t>
            </w:r>
            <w:r>
              <w:rPr>
                <w:spacing w:val="2"/>
                <w:position w:val="-1"/>
                <w:sz w:val="20"/>
                <w:szCs w:val="20"/>
              </w:rPr>
              <w:t xml:space="preserve">  </w:t>
            </w:r>
          </w:p>
          <w:p>
            <w:pPr>
              <w:spacing w:line="281" w:lineRule="auto"/>
            </w:pPr>
          </w:p>
          <w:p>
            <w:pPr>
              <w:spacing w:line="281" w:lineRule="auto"/>
            </w:pPr>
          </w:p>
          <w:p>
            <w:pPr>
              <w:spacing w:line="281" w:lineRule="auto"/>
            </w:pPr>
          </w:p>
          <w:p>
            <w:pPr>
              <w:pStyle w:val="TableText"/>
              <w:tabs>
                <w:tab w:val="left" w:pos="1368"/>
              </w:tabs>
              <w:spacing w:before="116" w:line="220" w:lineRule="auto"/>
              <w:ind w:left="12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053" o:spid="_x0000_s1053" type="#_x0000_t202" style="width:56.55pt;height:26.1pt;margin-top:3.25pt;margin-left:6.4pt;mso-height-relative:page;mso-width-relative:page;position:absolute;z-index:251691008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3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新鲜水</w:t>
                        </w:r>
                      </w:p>
                      <w:p>
                        <w:pPr>
                          <w:spacing w:before="24" w:line="219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1412.24</w:t>
                        </w:r>
                        <w:r>
                          <w:rPr>
                            <w:position w:val="9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274320" cy="42545"/>
                              <wp:effectExtent l="0" t="0" r="0" b="0"/>
                              <wp:docPr id="32" name="IM 3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2" name="IM 3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4535" cy="4274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2816" behindDoc="1" locked="0" layoutInCell="1" allowOverlap="1">
                  <wp:simplePos x="0" y="0"/>
                  <wp:positionH relativeFrom="column">
                    <wp:posOffset>1118870</wp:posOffset>
                  </wp:positionH>
                  <wp:positionV relativeFrom="paragraph">
                    <wp:posOffset>310515</wp:posOffset>
                  </wp:positionV>
                  <wp:extent cx="885825" cy="256540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256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position w:val="4"/>
                <w:sz w:val="20"/>
                <w:szCs w:val="20"/>
              </w:rPr>
              <w:t>962</w:t>
            </w:r>
            <w:r>
              <w:rPr>
                <w:rFonts w:ascii="Times New Roman" w:eastAsia="Times New Roman" w:hAnsi="Times New Roman" w:cs="Times New Roman"/>
                <w:spacing w:val="2"/>
                <w:position w:val="4"/>
                <w:sz w:val="20"/>
                <w:szCs w:val="20"/>
              </w:rPr>
              <w:t xml:space="preserve">     </w:t>
            </w:r>
            <w:r>
              <w:rPr>
                <w:spacing w:val="3"/>
                <w:position w:val="-20"/>
                <w:sz w:val="20"/>
                <w:szCs w:val="20"/>
              </w:rPr>
              <w:t>酸喷淋用</w:t>
            </w:r>
            <w:r>
              <w:ruby>
                <w:rubyPr>
                  <w:rubyAlign w:val="left"/>
                  <w:hps w:val="20"/>
                  <w:hpsRaise w:val="28"/>
                  <w:hpsBaseText w:val="24"/>
                  <w:lid w:val="en-US"/>
                </w:rubyPr>
                <w:rt>
                  <w:r>
                    <w:rPr>
                      <w:w w:val="152"/>
                      <w:sz w:val="20"/>
                      <w:szCs w:val="20"/>
                    </w:rPr>
                    <w:t>损</w:t>
                  </w:r>
                </w:rt>
                <w:rubyBase>
                  <w:r>
                    <w:rPr>
                      <w:w w:val="105"/>
                      <w:position w:val="-20"/>
                      <w:sz w:val="20"/>
                      <w:szCs w:val="20"/>
                    </w:rPr>
                    <w:t>水</w:t>
                  </w:r>
                </w:rubyBase>
              </w:ruby>
            </w:r>
            <w:r>
              <w:rPr>
                <w:spacing w:val="3"/>
                <w:position w:val="28"/>
                <w:sz w:val="20"/>
                <w:szCs w:val="20"/>
              </w:rPr>
              <w:t>耗</w:t>
            </w:r>
            <w:r>
              <w:rPr>
                <w:spacing w:val="-36"/>
                <w:position w:val="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28"/>
                <w:sz w:val="20"/>
                <w:szCs w:val="20"/>
              </w:rPr>
              <w:t xml:space="preserve">960      </w:t>
            </w:r>
          </w:p>
          <w:p>
            <w:pPr>
              <w:pStyle w:val="TableText"/>
              <w:tabs>
                <w:tab w:val="left" w:pos="1400"/>
              </w:tabs>
              <w:spacing w:before="284" w:line="228" w:lineRule="auto"/>
              <w:ind w:left="1277"/>
              <w:rPr>
                <w:sz w:val="20"/>
                <w:szCs w:val="20"/>
              </w:rPr>
            </w:pPr>
            <w:r>
              <w:pict>
                <v:shape id="_x0000_s1054" o:spid="_x0000_s1054" type="#_x0000_t202" style="width:10.15pt;height:43.25pt;margin-top:-5.75pt;margin-left:193.95pt;mso-height-relative:page;mso-width-relative:page;position:absolute;z-index:25168793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20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40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42545" cy="523875"/>
                              <wp:effectExtent l="0" t="0" r="0" b="0"/>
                              <wp:docPr id="36" name="IM 3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6" name="IM 3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2722" cy="5238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1792" behindDoc="1" locked="0" layoutInCell="1" allowOverlap="1">
                  <wp:simplePos x="0" y="0"/>
                  <wp:positionH relativeFrom="column">
                    <wp:posOffset>1148715</wp:posOffset>
                  </wp:positionH>
                  <wp:positionV relativeFrom="paragraph">
                    <wp:posOffset>411480</wp:posOffset>
                  </wp:positionV>
                  <wp:extent cx="2085340" cy="315595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5340" cy="315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5" o:spid="_x0000_s1055" type="#_x0000_t202" style="width:137.5pt;height:12.5pt;margin-top:65.65pt;margin-left:236.7pt;mso-height-relative:page;mso-width-relative:page;position:absolute;z-index:251688960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0"/>
                            <w:position w:val="-1"/>
                            <w:sz w:val="20"/>
                            <w:szCs w:val="20"/>
                          </w:rPr>
                          <w:t xml:space="preserve">120        </w:t>
                        </w:r>
                        <w:r>
                          <w:rPr>
                            <w:spacing w:val="10"/>
                            <w:sz w:val="20"/>
                            <w:szCs w:val="20"/>
                          </w:rPr>
                          <w:t>平原县中设水务有限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6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20"/>
                <w:szCs w:val="20"/>
              </w:rPr>
              <w:t xml:space="preserve">276     </w:t>
            </w:r>
            <w:r>
              <w:rPr>
                <w:spacing w:val="4"/>
                <w:position w:val="-9"/>
                <w:sz w:val="20"/>
                <w:szCs w:val="20"/>
              </w:rPr>
              <w:t>水槽用</w:t>
            </w:r>
            <w:r>
              <w:rPr>
                <w:position w:val="-49"/>
                <w:sz w:val="20"/>
                <w:szCs w:val="20"/>
              </w:rPr>
              <w:drawing>
                <wp:inline distT="0" distB="0" distL="0" distR="0">
                  <wp:extent cx="389255" cy="713740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727" cy="713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uby>
                <w:rubyPr>
                  <w:rubyAlign w:val="left"/>
                  <w:hps w:val="20"/>
                  <w:hpsRaise w:val="44"/>
                  <w:hpsBaseText w:val="24"/>
                  <w:lid w:val="en-US"/>
                </w:rubyPr>
                <w:rt>
                  <w:r>
                    <w:rPr>
                      <w:rFonts w:ascii="Times New Roman" w:eastAsia="Times New Roman" w:hAnsi="Times New Roman" w:cs="Times New Roman"/>
                      <w:w w:val="68"/>
                      <w:sz w:val="20"/>
                      <w:szCs w:val="20"/>
                    </w:rPr>
                    <w:t>3</w:t>
                  </w:r>
                </w:rt>
                <w:rubyBase>
                  <w:r>
                    <w:rPr>
                      <w:rFonts w:ascii="Times New Roman" w:eastAsia="Times New Roman" w:hAnsi="Times New Roman" w:cs="Times New Roman"/>
                      <w:w w:val="70"/>
                      <w:position w:val="11"/>
                      <w:sz w:val="20"/>
                      <w:szCs w:val="20"/>
                    </w:rPr>
                    <w:t>4</w:t>
                  </w:r>
                </w:rubyBase>
              </w:ruby>
            </w:r>
            <w:r>
              <w:rPr>
                <w:position w:val="-46"/>
                <w:sz w:val="20"/>
                <w:szCs w:val="20"/>
              </w:rPr>
              <w:drawing>
                <wp:inline distT="0" distB="0" distL="0" distR="0">
                  <wp:extent cx="71755" cy="673100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66" cy="673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4"/>
                <w:position w:val="-4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-46"/>
                <w:sz w:val="20"/>
                <w:szCs w:val="20"/>
              </w:rPr>
              <w:t xml:space="preserve">   </w:t>
            </w:r>
            <w:r>
              <w:rPr>
                <w:spacing w:val="4"/>
                <w:position w:val="-2"/>
                <w:sz w:val="20"/>
                <w:szCs w:val="20"/>
              </w:rPr>
              <w:t>污水处理设备</w:t>
            </w:r>
            <w:r>
              <w:rPr>
                <w:spacing w:val="25"/>
                <w:position w:val="-2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4"/>
                <w:position w:val="21"/>
                <w:sz w:val="20"/>
                <w:szCs w:val="20"/>
              </w:rPr>
              <w:t>242</w:t>
            </w:r>
            <w:r>
              <w:rPr>
                <w:rFonts w:ascii="Times New Roman" w:eastAsia="Times New Roman" w:hAnsi="Times New Roman" w:cs="Times New Roman"/>
                <w:spacing w:val="42"/>
                <w:w w:val="101"/>
                <w:position w:val="21"/>
                <w:sz w:val="20"/>
                <w:szCs w:val="20"/>
              </w:rPr>
              <w:t xml:space="preserve"> </w:t>
            </w:r>
            <w:r>
              <w:rPr>
                <w:position w:val="-33"/>
                <w:sz w:val="20"/>
                <w:szCs w:val="20"/>
              </w:rPr>
              <w:drawing>
                <wp:inline distT="0" distB="0" distL="0" distR="0">
                  <wp:extent cx="42545" cy="288925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29" cy="289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tabs>
                <w:tab w:val="left" w:pos="1371"/>
              </w:tabs>
              <w:spacing w:before="105" w:line="219" w:lineRule="auto"/>
              <w:ind w:left="125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8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position w:val="8"/>
                <w:sz w:val="20"/>
                <w:szCs w:val="20"/>
              </w:rPr>
              <w:t>150</w:t>
            </w:r>
            <w:r>
              <w:rPr>
                <w:rFonts w:ascii="Times New Roman" w:eastAsia="Times New Roman" w:hAnsi="Times New Roman" w:cs="Times New Roman"/>
                <w:spacing w:val="9"/>
                <w:position w:val="8"/>
                <w:sz w:val="20"/>
                <w:szCs w:val="20"/>
              </w:rPr>
              <w:t xml:space="preserve">     </w:t>
            </w:r>
            <w:r>
              <w:rPr>
                <w:spacing w:val="4"/>
                <w:position w:val="1"/>
                <w:sz w:val="20"/>
                <w:szCs w:val="20"/>
              </w:rPr>
              <w:t>生活用水</w:t>
            </w:r>
            <w:r>
              <w:rPr>
                <w:spacing w:val="15"/>
                <w:position w:val="1"/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20"/>
                <w:szCs w:val="20"/>
              </w:rPr>
              <w:t xml:space="preserve">120       </w:t>
            </w:r>
            <w:r>
              <w:rPr>
                <w:spacing w:val="4"/>
                <w:position w:val="2"/>
                <w:sz w:val="20"/>
                <w:szCs w:val="20"/>
              </w:rPr>
              <w:t>化粪</w:t>
            </w:r>
            <w:r>
              <w:rPr>
                <w:spacing w:val="3"/>
                <w:position w:val="2"/>
                <w:sz w:val="20"/>
                <w:szCs w:val="20"/>
              </w:rPr>
              <w:t>池</w:t>
            </w:r>
            <w:r>
              <w:rPr>
                <w:spacing w:val="87"/>
                <w:position w:val="2"/>
                <w:sz w:val="20"/>
                <w:szCs w:val="20"/>
              </w:rPr>
              <w:t xml:space="preserve"> </w:t>
            </w:r>
            <w:r>
              <w:rPr>
                <w:position w:val="7"/>
                <w:sz w:val="20"/>
                <w:szCs w:val="20"/>
              </w:rPr>
              <w:drawing>
                <wp:inline distT="0" distB="0" distL="0" distR="0">
                  <wp:extent cx="464185" cy="42545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210" cy="4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9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3"/>
                <w:position w:val="-4"/>
                <w:sz w:val="20"/>
                <w:szCs w:val="20"/>
              </w:rPr>
              <w:t>公司进行深度处理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8"/>
        </w:trPr>
        <w:tc>
          <w:tcPr>
            <w:tcW w:w="831" w:type="dxa"/>
            <w:vMerge/>
            <w:tcBorders>
              <w:top w:val="nil"/>
              <w:right w:val="single" w:sz="2" w:space="0" w:color="000000"/>
            </w:tcBorders>
            <w:vAlign w:val="top"/>
          </w:tcPr>
          <w:p/>
        </w:tc>
        <w:tc>
          <w:tcPr>
            <w:tcW w:w="8157" w:type="dxa"/>
            <w:tcBorders>
              <w:top w:val="nil"/>
              <w:left w:val="single" w:sz="2" w:space="0" w:color="000000"/>
            </w:tcBorders>
            <w:vAlign w:val="top"/>
          </w:tcPr>
          <w:p>
            <w:pPr>
              <w:pStyle w:val="TableText"/>
              <w:spacing w:before="99" w:line="220" w:lineRule="auto"/>
              <w:ind w:left="235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2-1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项目水平衡图（单位：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/a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>
            <w:pPr>
              <w:pStyle w:val="TableText"/>
              <w:spacing w:before="144" w:line="359" w:lineRule="exact"/>
              <w:ind w:left="601"/>
            </w:pPr>
            <w:r>
              <w:rPr>
                <w:spacing w:val="-3"/>
                <w:position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2</w:t>
            </w:r>
            <w:r>
              <w:rPr>
                <w:spacing w:val="-3"/>
                <w:position w:val="2"/>
              </w:rPr>
              <w:t>）供电：项目用电</w:t>
            </w:r>
            <w:r>
              <w:rPr>
                <w:spacing w:val="-42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5"/>
                <w:position w:val="2"/>
              </w:rPr>
              <w:t xml:space="preserve"> </w:t>
            </w:r>
            <w:r>
              <w:rPr>
                <w:spacing w:val="-3"/>
                <w:position w:val="2"/>
              </w:rPr>
              <w:t>万</w:t>
            </w:r>
            <w:r>
              <w:rPr>
                <w:spacing w:val="-58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kWh/a</w:t>
            </w:r>
            <w:r>
              <w:rPr>
                <w:rFonts w:ascii="Times New Roman" w:eastAsia="Times New Roman" w:hAnsi="Times New Roman" w:cs="Times New Roman"/>
                <w:spacing w:val="-35"/>
                <w:position w:val="2"/>
              </w:rPr>
              <w:t xml:space="preserve"> </w:t>
            </w:r>
            <w:r>
              <w:rPr>
                <w:spacing w:val="-3"/>
                <w:position w:val="2"/>
              </w:rPr>
              <w:t>，由平原县供电网提供。</w:t>
            </w:r>
          </w:p>
          <w:p>
            <w:pPr>
              <w:pStyle w:val="TableText"/>
              <w:spacing w:before="144" w:line="219" w:lineRule="auto"/>
              <w:jc w:val="right"/>
            </w:pPr>
            <w:r>
              <w:rPr>
                <w:spacing w:val="-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spacing w:val="-8"/>
              </w:rPr>
              <w:t>）供热：项目发黑炉及中温磷化炉采用电</w:t>
            </w:r>
            <w:r>
              <w:rPr>
                <w:spacing w:val="-9"/>
              </w:rPr>
              <w:t>加热，办公室取暖采用空调。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https://d.book118.com/675323213010011112</w:t>
        </w:r>
      </w:hyperlink>
    </w:p>
    <w:p/>
    <w:sectPr>
      <w:footerReference w:type="default" r:id="rId46"/>
      <w:pgSz w:w="11906" w:h="16839"/>
      <w:pgMar w:top="1431" w:right="1451" w:bottom="1014" w:left="1451" w:header="0" w:footer="852" w:gutter="0"/>
      <w:pgNumType w:start="28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6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4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4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3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5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3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11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22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1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23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1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24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1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25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1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26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1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47A4E12"/>
  </w:rsids>
  <w:docVars>
    <w:docVar w:name="commondata" w:val="eyJoZGlkIjoiMzg5MzIzOGViZDdkODk4MmE0YTVmMDFiMmQzMDNhZD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宋体" w:eastAsia="宋体" w:hAnsi="宋体" w:cs="宋体"/>
      <w:sz w:val="24"/>
      <w:szCs w:val="24"/>
      <w:lang w:val="en-US" w:eastAsia="en-US" w:bidi="ar-SA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7">
    <w:name w:val="Table Normal_0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8">
    <w:name w:val="Table Normal_0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9">
    <w:name w:val="Table Normal_0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0">
    <w:name w:val="Table Normal_0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1">
    <w:name w:val="Table Normal_0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2">
    <w:name w:val="Table Normal_0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3">
    <w:name w:val="Table Normal_0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4">
    <w:name w:val="Table Normal_0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5">
    <w:name w:val="Table Normal_0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6">
    <w:name w:val="Table Normal_0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7">
    <w:name w:val="Table Normal_0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8">
    <w:name w:val="Table Normal_0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9">
    <w:name w:val="Table Normal_0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0">
    <w:name w:val="Table Normal_0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1">
    <w:name w:val="Table Normal_0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2">
    <w:name w:val="Table Normal_0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3">
    <w:name w:val="Table Normal_0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4">
    <w:name w:val="Table Normal_0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5">
    <w:name w:val="Table Normal_0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6">
    <w:name w:val="Table Normal_0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image" Target="media/image1.png" /><Relationship Id="rId32" Type="http://schemas.openxmlformats.org/officeDocument/2006/relationships/image" Target="media/image2.png" /><Relationship Id="rId33" Type="http://schemas.openxmlformats.org/officeDocument/2006/relationships/image" Target="media/image3.png" /><Relationship Id="rId34" Type="http://schemas.openxmlformats.org/officeDocument/2006/relationships/image" Target="media/image4.png" /><Relationship Id="rId35" Type="http://schemas.openxmlformats.org/officeDocument/2006/relationships/image" Target="media/image5.png" /><Relationship Id="rId36" Type="http://schemas.openxmlformats.org/officeDocument/2006/relationships/image" Target="media/image6.png" /><Relationship Id="rId37" Type="http://schemas.openxmlformats.org/officeDocument/2006/relationships/image" Target="media/image7.png" /><Relationship Id="rId38" Type="http://schemas.openxmlformats.org/officeDocument/2006/relationships/image" Target="media/image8.png" /><Relationship Id="rId39" Type="http://schemas.openxmlformats.org/officeDocument/2006/relationships/image" Target="media/image9.png" /><Relationship Id="rId4" Type="http://schemas.openxmlformats.org/officeDocument/2006/relationships/customXml" Target="../customXml/item1.xml" /><Relationship Id="rId40" Type="http://schemas.openxmlformats.org/officeDocument/2006/relationships/image" Target="media/image10.png" /><Relationship Id="rId41" Type="http://schemas.openxmlformats.org/officeDocument/2006/relationships/image" Target="media/image11.png" /><Relationship Id="rId42" Type="http://schemas.openxmlformats.org/officeDocument/2006/relationships/image" Target="media/image12.png" /><Relationship Id="rId43" Type="http://schemas.openxmlformats.org/officeDocument/2006/relationships/image" Target="media/image13.png" /><Relationship Id="rId44" Type="http://schemas.openxmlformats.org/officeDocument/2006/relationships/image" Target="media/image14.png" /><Relationship Id="rId45" Type="http://schemas.openxmlformats.org/officeDocument/2006/relationships/hyperlink" Target="https://d.book118.com/675323213010011112" TargetMode="External" /><Relationship Id="rId46" Type="http://schemas.openxmlformats.org/officeDocument/2006/relationships/footer" Target="footer2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lastModifiedBy>龙风呈祥</cp:lastModifiedBy>
  <cp:revision>0</cp:revision>
  <dcterms:created xsi:type="dcterms:W3CDTF">2023-09-28T08:54:00Z</dcterms:created>
  <dcterms:modified xsi:type="dcterms:W3CDTF">2024-02-04T03:09:34Z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2024-02-04T11:07:58Z</vt:filetime>
  </property>
  <property fmtid="{D5CDD505-2E9C-101B-9397-08002B2CF9AE}" pid="3" name="CRO">
    <vt:lpwstr>wqlLaW5nc29mdCBQREYgdG8gV1BTIDkw</vt:lpwstr>
  </property>
  <property fmtid="{D5CDD505-2E9C-101B-9397-08002B2CF9AE}" pid="4" name="ICV">
    <vt:lpwstr>F47F94F168C44AAEA688294E6400A776_12</vt:lpwstr>
  </property>
  <property fmtid="{D5CDD505-2E9C-101B-9397-08002B2CF9AE}" pid="5" name="KSOProductBuildVer">
    <vt:lpwstr>2052-12.1.0.16250</vt:lpwstr>
  </property>
</Properties>
</file>