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r>
        <w:drawing>
          <wp:anchor simplePos="0" relativeHeight="251658240" behindDoc="0" locked="0" layoutInCell="1" allowOverlap="1">
            <wp:simplePos x="0" y="0"/>
            <wp:positionH relativeFrom="page">
              <wp:posOffset>12001500</wp:posOffset>
            </wp:positionH>
            <wp:positionV relativeFrom="topMargin">
              <wp:posOffset>12649200</wp:posOffset>
            </wp:positionV>
            <wp:extent cx="304800" cy="393700"/>
            <wp:wrapNone/>
            <wp:docPr id="10013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-179070</wp:posOffset>
                </wp:positionH>
                <wp:positionV relativeFrom="paragraph">
                  <wp:posOffset>1152525</wp:posOffset>
                </wp:positionV>
                <wp:extent cx="5633085" cy="4587240"/>
                <wp:effectExtent l="0" t="0" r="0" b="0"/>
                <wp:wrapNone/>
                <wp:docPr id="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2798445" y="1447800"/>
                          <a:ext cx="5633085" cy="45872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NormalWeb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both"/>
                              <w:textAlignment w:val="auto"/>
                              <w:rPr>
                                <w:rFonts w:ascii="字魂270号-龙门手书" w:eastAsia="字魂270号-龙门手书" w:hAnsi="字魂270号-龙门手书" w:cs="字魂270号-龙门手书" w:hint="eastAsia"/>
                                <w:color w:val="000000" w:themeColor="text1"/>
                                <w:sz w:val="60"/>
                                <w:szCs w:val="6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字魂270号-龙门手书" w:eastAsia="字魂270号-龙门手书" w:hAnsi="字魂270号-龙门手书" w:cs="字魂270号-龙门手书" w:hint="eastAsia"/>
                                <w:color w:val="000000" w:themeColor="text1"/>
                                <w:kern w:val="24"/>
                                <w:sz w:val="60"/>
                                <w:szCs w:val="6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以“思辨之光” 焕发“文艺之美”</w:t>
                            </w:r>
                          </w:p>
                        </w:txbxContent>
                      </wps:txbx>
                      <wps:bodyPr vert="horz"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5" type="#_x0000_t202" style="width:443.55pt;height:361.2pt;margin-top:90.75pt;margin-left:-14.1pt;mso-wrap-distance-bottom:0;mso-wrap-distance-left:9pt;mso-wrap-distance-right:9pt;mso-wrap-distance-top:0;position:absolute;v-text-anchor:top;z-index:251659264" filled="f" fillcolor="this">
                <v:textbox style="mso-fit-shape-to-text:t">
                  <w:txbxContent>
                    <w:p>
                      <w:pPr>
                        <w:pStyle w:val="NormalWeb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both"/>
                        <w:textAlignment w:val="auto"/>
                        <w:rPr>
                          <w:rFonts w:ascii="字魂270号-龙门手书" w:eastAsia="字魂270号-龙门手书" w:hAnsi="字魂270号-龙门手书" w:cs="字魂270号-龙门手书" w:hint="eastAsia"/>
                          <w:color w:val="000000" w:themeColor="text1"/>
                          <w:sz w:val="60"/>
                          <w:szCs w:val="60"/>
                        </w:rPr>
                      </w:pPr>
                      <w:r>
                        <w:rPr>
                          <w:rFonts w:ascii="字魂270号-龙门手书" w:eastAsia="字魂270号-龙门手书" w:hAnsi="字魂270号-龙门手书" w:cs="字魂270号-龙门手书" w:hint="eastAsia"/>
                          <w:color w:val="000000" w:themeColor="text1"/>
                          <w:kern w:val="24"/>
                          <w:sz w:val="60"/>
                          <w:szCs w:val="60"/>
                        </w:rPr>
                        <w:t>以“思辨之光” 焕发“文艺之美”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-1199515</wp:posOffset>
            </wp:positionH>
            <wp:positionV relativeFrom="paragraph">
              <wp:posOffset>-1005840</wp:posOffset>
            </wp:positionV>
            <wp:extent cx="7640320" cy="10802620"/>
            <wp:effectExtent l="0" t="0" r="17780" b="17780"/>
            <wp:wrapNone/>
            <wp:docPr id="1" name="图片 1" descr="D:/Documents/Desktop/dianyazhipugufengshuimobeijing-32406613_1.jpgdianyazhipugufengshuimobeijing-32406613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/Documents/Desktop/dianyazhipugufengshuimobeijing-32406613_1.jpgdianyazhipugufengshuimobeijing-32406613_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rcRect t="2834" b="2834"/>
                    <a:stretch>
                      <a:fillRect/>
                    </a:stretch>
                  </pic:blipFill>
                  <pic:spPr>
                    <a:xfrm>
                      <a:off x="0" y="0"/>
                      <a:ext cx="7640320" cy="10802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bookmarkStart w:id="0" w:name="_GoBack"/>
      <w:bookmarkEnd w:id="0"/>
      <w:r>
        <w:rPr>
          <w:rFonts w:hint="eastAsia"/>
          <w:lang w:val="en-US"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3312160</wp:posOffset>
                </wp:positionH>
                <wp:positionV relativeFrom="paragraph">
                  <wp:posOffset>4679315</wp:posOffset>
                </wp:positionV>
                <wp:extent cx="2537460" cy="419100"/>
                <wp:effectExtent l="0" t="0" r="0" b="0"/>
                <wp:wrapNone/>
                <wp:docPr id="13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37460" cy="419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NormalWeb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jc w:val="center"/>
                              <w:textAlignment w:val="auto"/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color w:val="000000" w:themeColor="text1"/>
                                <w:kern w:val="24"/>
                                <w:sz w:val="40"/>
                                <w:szCs w:val="4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语文九年级下册</w:t>
                            </w:r>
                          </w:p>
                        </w:txbxContent>
                      </wps:txbx>
                      <wps:bodyPr wrap="square" rtlCol="0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type="#_x0000_t202" style="width:199.8pt;height:33pt;margin-top:368.45pt;margin-left:260.8pt;mso-wrap-distance-bottom:0;mso-wrap-distance-left:9pt;mso-wrap-distance-right:9pt;mso-wrap-distance-top:0;position:absolute;v-text-anchor:top;z-index:251664384" filled="f" fillcolor="this">
                <v:textbox>
                  <w:txbxContent>
                    <w:p>
                      <w:pPr>
                        <w:pStyle w:val="NormalWeb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jc w:val="center"/>
                        <w:textAlignment w:val="auto"/>
                        <w:rPr>
                          <w:rFonts w:ascii="楷体" w:eastAsia="楷体" w:hAnsi="楷体" w:cs="楷体" w:hint="eastAsia"/>
                          <w:color w:val="000000" w:themeColor="text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color w:val="000000" w:themeColor="text1"/>
                          <w:kern w:val="24"/>
                          <w:sz w:val="40"/>
                          <w:szCs w:val="40"/>
                          <w:lang w:val="en-US" w:eastAsia="zh-CN"/>
                        </w:rPr>
                        <w:t>语文九年级下册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784860</wp:posOffset>
                </wp:positionH>
                <wp:positionV relativeFrom="paragraph">
                  <wp:posOffset>1955800</wp:posOffset>
                </wp:positionV>
                <wp:extent cx="3810000" cy="54927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927860" y="3068320"/>
                          <a:ext cx="3810000" cy="549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华文行楷" w:eastAsia="华文行楷" w:hAnsi="华文行楷" w:cs="华文行楷" w:hint="eastAsia"/>
                                <w:sz w:val="44"/>
                                <w:szCs w:val="52"/>
                              </w:rPr>
                            </w:pPr>
                            <w:r>
                              <w:rPr>
                                <w:rFonts w:ascii="华文行楷" w:eastAsia="华文行楷" w:hAnsi="华文行楷" w:cs="华文行楷" w:hint="eastAsia"/>
                                <w:sz w:val="44"/>
                                <w:szCs w:val="52"/>
                                <w:lang w:val="en-US" w:eastAsia="zh-CN"/>
                              </w:rPr>
                              <w:t>第四单元整体教学设计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300pt;height:43.25pt;margin-top:154pt;margin-left:61.8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>
                      <w:pPr>
                        <w:jc w:val="center"/>
                        <w:rPr>
                          <w:rFonts w:ascii="华文行楷" w:eastAsia="华文行楷" w:hAnsi="华文行楷" w:cs="华文行楷" w:hint="eastAsia"/>
                          <w:sz w:val="44"/>
                          <w:szCs w:val="52"/>
                        </w:rPr>
                      </w:pPr>
                      <w:r>
                        <w:rPr>
                          <w:rFonts w:ascii="华文行楷" w:eastAsia="华文行楷" w:hAnsi="华文行楷" w:cs="华文行楷" w:hint="eastAsia"/>
                          <w:sz w:val="44"/>
                          <w:szCs w:val="52"/>
                          <w:lang w:val="en-US" w:eastAsia="zh-CN"/>
                        </w:rPr>
                        <w:t>第四单元整体教学设计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before="0" w:beforeLines="0" w:after="0" w:afterLines="0" w:line="240" w:lineRule="auto"/>
        <w:ind w:left="0" w:right="0" w:firstLine="0" w:leftChars="0" w:rightChars="0" w:firstLineChars="0"/>
        <w:jc w:val="center"/>
      </w:pPr>
      <w:r>
        <w:rPr>
          <w:rFonts w:ascii="宋体" w:eastAsia="宋体" w:hAnsi="宋体"/>
          <w:b/>
          <w:bCs/>
          <w:sz w:val="21"/>
        </w:rPr>
        <w:t>目录</w:t>
      </w:r>
    </w:p>
    <w:p>
      <w:pPr>
        <w:pStyle w:val="WPSOffice1"/>
        <w:tabs>
          <w:tab w:val="right" w:leader="dot" w:pos="8306"/>
        </w:tabs>
      </w:pPr>
      <w:r>
        <w:fldChar w:fldCharType="begin"/>
      </w:r>
      <w:r>
        <w:instrText xml:space="preserve">TOC \o "1-1" \h \u </w:instrText>
      </w:r>
      <w:r>
        <w:fldChar w:fldCharType="separate"/>
      </w:r>
      <w:hyperlink w:anchor="_Toc20580" w:history="1">
        <w:r>
          <w:rPr>
            <w:rFonts w:hint="eastAsia"/>
            <w:lang w:val="en-US" w:eastAsia="zh-CN"/>
          </w:rPr>
          <w:t>设计背景</w:t>
        </w:r>
        <w:r>
          <w:tab/>
        </w:r>
        <w:r>
          <w:rPr>
            <w:rFonts w:hint="eastAsia"/>
            <w:lang w:val="en-US" w:eastAsia="zh-CN"/>
          </w:rPr>
          <w:t>1</w:t>
        </w:r>
      </w:hyperlink>
    </w:p>
    <w:p>
      <w:pPr>
        <w:pStyle w:val="WPSOffice1"/>
        <w:tabs>
          <w:tab w:val="right" w:leader="dot" w:pos="8306"/>
        </w:tabs>
      </w:pPr>
      <w:hyperlink w:anchor="_Toc598" w:history="1">
        <w:r>
          <w:rPr>
            <w:rFonts w:hint="eastAsia"/>
            <w:lang w:val="en-US" w:eastAsia="zh-CN"/>
          </w:rPr>
          <w:t>设计依据</w:t>
        </w:r>
        <w:r>
          <w:tab/>
        </w:r>
        <w:r>
          <w:rPr>
            <w:rFonts w:hint="eastAsia"/>
            <w:lang w:val="en-US" w:eastAsia="zh-CN"/>
          </w:rPr>
          <w:t>2</w:t>
        </w:r>
      </w:hyperlink>
    </w:p>
    <w:p>
      <w:pPr>
        <w:pStyle w:val="WPSOffice1"/>
        <w:tabs>
          <w:tab w:val="right" w:leader="dot" w:pos="8306"/>
        </w:tabs>
      </w:pPr>
      <w:hyperlink w:anchor="_Toc1620" w:history="1">
        <w:r>
          <w:rPr>
            <w:rFonts w:hint="eastAsia"/>
            <w:lang w:val="en-US" w:eastAsia="zh-CN"/>
          </w:rPr>
          <w:t>学习任务与课段课时</w:t>
        </w:r>
        <w:r>
          <w:tab/>
        </w:r>
        <w:r>
          <w:rPr>
            <w:rFonts w:hint="eastAsia"/>
            <w:lang w:val="en-US" w:eastAsia="zh-CN"/>
          </w:rPr>
          <w:t>3</w:t>
        </w:r>
      </w:hyperlink>
    </w:p>
    <w:p>
      <w:pPr>
        <w:pStyle w:val="WPSOffice1"/>
        <w:tabs>
          <w:tab w:val="right" w:leader="dot" w:pos="8306"/>
        </w:tabs>
      </w:pPr>
      <w:hyperlink w:anchor="_Toc13257" w:history="1">
        <w:r>
          <w:rPr>
            <w:rFonts w:asciiTheme="minorEastAsia" w:eastAsiaTheme="minorEastAsia" w:hAnsiTheme="minorEastAsia" w:cstheme="minorEastAsia" w:hint="eastAsia"/>
            <w:bCs w:val="0"/>
            <w:lang w:val="en-US" w:eastAsia="zh-CN"/>
          </w:rPr>
          <w:t>学习目标</w:t>
        </w:r>
        <w:r>
          <w:tab/>
        </w:r>
        <w:r>
          <w:rPr>
            <w:rFonts w:hint="eastAsia"/>
            <w:lang w:val="en-US" w:eastAsia="zh-CN"/>
          </w:rPr>
          <w:t>4</w:t>
        </w:r>
      </w:hyperlink>
    </w:p>
    <w:p>
      <w:pPr>
        <w:pStyle w:val="WPSOffice1"/>
        <w:tabs>
          <w:tab w:val="right" w:leader="dot" w:pos="8306"/>
        </w:tabs>
      </w:pPr>
      <w:hyperlink w:anchor="_Toc10823" w:history="1">
        <w:r>
          <w:rPr>
            <w:rFonts w:asciiTheme="minorEastAsia" w:eastAsiaTheme="minorEastAsia" w:hAnsiTheme="minorEastAsia" w:cstheme="minorEastAsia" w:hint="eastAsia"/>
            <w:bCs w:val="0"/>
            <w:lang w:val="en-US" w:eastAsia="zh-CN"/>
          </w:rPr>
          <w:t>教学实施</w:t>
        </w:r>
        <w:r>
          <w:tab/>
        </w:r>
        <w:r>
          <w:fldChar w:fldCharType="begin"/>
        </w:r>
        <w:r>
          <w:instrText xml:space="preserve"> PAGEREF _Toc10823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WPSOffice1"/>
        <w:tabs>
          <w:tab w:val="right" w:leader="dot" w:pos="8306"/>
        </w:tabs>
        <w:ind w:firstLine="200" w:firstLineChars="100"/>
      </w:pPr>
      <w:hyperlink w:anchor="_Toc2215" w:history="1">
        <w:r>
          <w:rPr>
            <w:rFonts w:asciiTheme="minorEastAsia" w:eastAsiaTheme="minorEastAsia" w:hAnsiTheme="minorEastAsia" w:cstheme="minorEastAsia" w:hint="eastAsia"/>
            <w:bCs w:val="0"/>
            <w:lang w:val="en-US" w:eastAsia="zh-CN"/>
          </w:rPr>
          <w:t>第一课段  思维导图理结构 对比探究构策略</w:t>
        </w:r>
        <w:r>
          <w:tab/>
        </w:r>
        <w:r>
          <w:fldChar w:fldCharType="begin"/>
        </w:r>
        <w:r>
          <w:instrText xml:space="preserve"> PAGEREF _Toc2215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WPSOffice1"/>
        <w:tabs>
          <w:tab w:val="right" w:leader="dot" w:pos="8306"/>
        </w:tabs>
        <w:ind w:firstLine="400" w:firstLineChars="200"/>
      </w:pPr>
      <w:hyperlink w:anchor="_Toc11436" w:history="1">
        <w:r>
          <w:rPr>
            <w:rFonts w:asciiTheme="minorEastAsia" w:eastAsiaTheme="minorEastAsia" w:hAnsiTheme="minorEastAsia" w:cstheme="minorEastAsia" w:hint="eastAsia"/>
            <w:bCs w:val="0"/>
            <w:lang w:val="en-US" w:eastAsia="zh-CN"/>
          </w:rPr>
          <w:t>第一课时</w:t>
        </w:r>
        <w:r>
          <w:tab/>
        </w:r>
        <w:r>
          <w:fldChar w:fldCharType="begin"/>
        </w:r>
        <w:r>
          <w:instrText xml:space="preserve"> PAGEREF _Toc11436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WPSOffice1"/>
        <w:tabs>
          <w:tab w:val="right" w:leader="dot" w:pos="8306"/>
        </w:tabs>
        <w:ind w:firstLine="400" w:firstLineChars="200"/>
      </w:pPr>
      <w:hyperlink w:anchor="_Toc13602" w:history="1">
        <w:r>
          <w:rPr>
            <w:rFonts w:ascii="宋体" w:eastAsia="宋体" w:hAnsi="宋体" w:cs="宋体" w:hint="eastAsia"/>
            <w:bCs/>
            <w:kern w:val="2"/>
            <w:szCs w:val="24"/>
            <w:lang w:val="en-US" w:eastAsia="zh-CN" w:bidi="ar-SA"/>
          </w:rPr>
          <w:t>第二</w:t>
        </w:r>
        <w:r>
          <w:rPr>
            <w:rFonts w:ascii="宋体" w:hAnsi="宋体" w:cs="宋体" w:hint="eastAsia"/>
            <w:bCs/>
            <w:kern w:val="2"/>
            <w:szCs w:val="24"/>
            <w:lang w:val="en-US" w:eastAsia="zh-CN" w:bidi="ar-SA"/>
          </w:rPr>
          <w:t>课时</w:t>
        </w:r>
        <w:r>
          <w:tab/>
        </w:r>
        <w:r>
          <w:rPr>
            <w:rFonts w:hint="eastAsia"/>
            <w:lang w:val="en-US" w:eastAsia="zh-CN"/>
          </w:rPr>
          <w:t>8</w:t>
        </w:r>
      </w:hyperlink>
    </w:p>
    <w:p>
      <w:pPr>
        <w:pStyle w:val="WPSOffice1"/>
        <w:tabs>
          <w:tab w:val="right" w:leader="dot" w:pos="8306"/>
        </w:tabs>
        <w:ind w:firstLine="400" w:firstLineChars="200"/>
      </w:pPr>
      <w:hyperlink w:anchor="_Toc26721" w:history="1">
        <w:r>
          <w:rPr>
            <w:rFonts w:hint="eastAsia"/>
            <w:lang w:val="en-US" w:eastAsia="zh-CN"/>
          </w:rPr>
          <w:t>第三课时</w:t>
        </w:r>
        <w:r>
          <w:tab/>
        </w:r>
        <w:r>
          <w:fldChar w:fldCharType="begin"/>
        </w:r>
        <w:r>
          <w:instrText xml:space="preserve"> PAGEREF _Toc26721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WPSOffice1"/>
        <w:tabs>
          <w:tab w:val="right" w:leader="dot" w:pos="8306"/>
        </w:tabs>
        <w:ind w:firstLine="200" w:firstLineChars="100"/>
      </w:pPr>
      <w:hyperlink w:anchor="_Toc10799" w:history="1">
        <w:r>
          <w:rPr>
            <w:rFonts w:ascii="宋体" w:eastAsia="宋体" w:hAnsi="宋体" w:cs="宋体" w:hint="eastAsia"/>
            <w:bCs w:val="0"/>
            <w:kern w:val="2"/>
            <w:szCs w:val="24"/>
            <w:lang w:val="en-US" w:eastAsia="zh-CN" w:bidi="ar-SA"/>
          </w:rPr>
          <w:t>第</w:t>
        </w:r>
        <w:r>
          <w:rPr>
            <w:rFonts w:ascii="宋体" w:hAnsi="宋体" w:cs="宋体" w:hint="eastAsia"/>
            <w:bCs w:val="0"/>
            <w:kern w:val="2"/>
            <w:szCs w:val="24"/>
            <w:lang w:val="en-US" w:eastAsia="zh-CN" w:bidi="ar-SA"/>
          </w:rPr>
          <w:t>二</w:t>
        </w:r>
        <w:r>
          <w:rPr>
            <w:rFonts w:ascii="宋体" w:eastAsia="宋体" w:hAnsi="宋体" w:cs="宋体" w:hint="eastAsia"/>
            <w:bCs w:val="0"/>
            <w:kern w:val="2"/>
            <w:szCs w:val="24"/>
            <w:lang w:val="en-US" w:eastAsia="zh-CN" w:bidi="ar-SA"/>
          </w:rPr>
          <w:t>课段  学以致用固方法 触类旁通巧运用</w:t>
        </w:r>
        <w:r>
          <w:tab/>
        </w:r>
        <w:r>
          <w:fldChar w:fldCharType="begin"/>
        </w:r>
        <w:r>
          <w:instrText xml:space="preserve"> PAGEREF _Toc10799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WPSOffice1"/>
        <w:tabs>
          <w:tab w:val="right" w:leader="dot" w:pos="8306"/>
        </w:tabs>
        <w:ind w:firstLine="400" w:firstLineChars="200"/>
      </w:pPr>
      <w:hyperlink w:anchor="_Toc19924" w:history="1">
        <w:r>
          <w:rPr>
            <w:rFonts w:ascii="宋体" w:hAnsi="宋体" w:cs="宋体" w:hint="eastAsia"/>
            <w:bCs w:val="0"/>
            <w:kern w:val="2"/>
            <w:szCs w:val="24"/>
            <w:lang w:val="en-US" w:eastAsia="zh-CN" w:bidi="ar-SA"/>
          </w:rPr>
          <w:t>第一课时</w:t>
        </w:r>
        <w:r>
          <w:tab/>
        </w:r>
        <w:r>
          <w:fldChar w:fldCharType="begin"/>
        </w:r>
        <w:r>
          <w:instrText xml:space="preserve"> PAGEREF _Toc19924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WPSOffice1"/>
        <w:tabs>
          <w:tab w:val="right" w:leader="dot" w:pos="8306"/>
        </w:tabs>
        <w:ind w:firstLine="400" w:firstLineChars="200"/>
        <w:rPr>
          <w:rFonts w:hint="eastAsia"/>
          <w:lang w:eastAsia="zh-CN"/>
        </w:rPr>
      </w:pPr>
      <w:hyperlink w:anchor="_Toc29864" w:history="1">
        <w:r>
          <w:rPr>
            <w:rFonts w:ascii="宋体" w:hAnsi="宋体" w:cs="宋体" w:hint="eastAsia"/>
            <w:bCs w:val="0"/>
            <w:kern w:val="2"/>
            <w:szCs w:val="24"/>
            <w:lang w:val="en-US" w:eastAsia="zh-CN" w:bidi="ar-SA"/>
          </w:rPr>
          <w:t>第二课时</w:t>
        </w:r>
        <w:r>
          <w:tab/>
        </w:r>
        <w:r>
          <w:rPr>
            <w:rFonts w:hint="eastAsia"/>
            <w:lang w:val="en-US" w:eastAsia="zh-CN"/>
          </w:rPr>
          <w:t>2</w:t>
        </w:r>
      </w:hyperlink>
      <w:r>
        <w:rPr>
          <w:rFonts w:hint="eastAsia"/>
          <w:lang w:val="en-US" w:eastAsia="zh-CN"/>
        </w:rPr>
        <w:t>4</w:t>
      </w:r>
    </w:p>
    <w:p>
      <w:pPr>
        <w:pStyle w:val="WPSOffice1"/>
        <w:tabs>
          <w:tab w:val="right" w:leader="dot" w:pos="8306"/>
        </w:tabs>
      </w:pPr>
      <w:hyperlink w:anchor="_Toc9232" w:history="1">
        <w:r>
          <w:rPr>
            <w:rFonts w:ascii="宋体" w:hAnsi="宋体" w:cs="宋体" w:hint="eastAsia"/>
            <w:bCs w:val="0"/>
            <w:kern w:val="2"/>
            <w:szCs w:val="24"/>
            <w:lang w:val="en-US" w:eastAsia="zh-CN" w:bidi="ar-SA"/>
          </w:rPr>
          <w:t>单元设计反思</w:t>
        </w:r>
        <w:r>
          <w:tab/>
        </w:r>
        <w:r>
          <w:fldChar w:fldCharType="begin"/>
        </w:r>
        <w:r>
          <w:instrText xml:space="preserve"> PAGEREF _Toc9232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WPSOffice1"/>
        <w:tabs>
          <w:tab w:val="right" w:leader="dot" w:pos="8306"/>
        </w:tabs>
        <w:rPr>
          <w:rFonts w:hint="eastAsia"/>
          <w:lang w:eastAsia="zh-CN"/>
        </w:rPr>
      </w:pPr>
      <w:hyperlink w:anchor="_Toc24225" w:history="1">
        <w:r>
          <w:rPr>
            <w:rFonts w:ascii="宋体" w:hAnsi="宋体" w:cs="宋体" w:hint="eastAsia"/>
            <w:bCs w:val="0"/>
            <w:kern w:val="2"/>
            <w:szCs w:val="24"/>
            <w:lang w:val="en-US" w:eastAsia="zh-CN" w:bidi="ar-SA"/>
          </w:rPr>
          <w:t>单元测试反馈</w:t>
        </w:r>
        <w:r>
          <w:tab/>
        </w:r>
        <w:r>
          <w:rPr>
            <w:rFonts w:hint="eastAsia"/>
            <w:lang w:val="en-US" w:eastAsia="zh-CN"/>
          </w:rPr>
          <w:t>3</w:t>
        </w:r>
      </w:hyperlink>
      <w:r>
        <w:rPr>
          <w:rFonts w:hint="eastAsia"/>
          <w:lang w:val="en-US" w:eastAsia="zh-CN"/>
        </w:rPr>
        <w:t>0</w:t>
      </w:r>
    </w:p>
    <w:p>
      <w:r>
        <w:fldChar w:fldCharType="end"/>
      </w:r>
    </w:p>
    <w:p>
      <w:pPr>
        <w:sectPr>
          <w:pgSz w:w="11906" w:h="16838"/>
          <w:pgMar w:top="1440" w:right="1800" w:bottom="1440" w:left="1800" w:header="851" w:footer="992" w:gutter="0"/>
          <w:pgNumType w:fmt="decimal" w:start="2"/>
          <w:cols w:num="1" w:space="425"/>
          <w:docGrid w:type="lines" w:linePitch="312" w:charSpace="0"/>
        </w:sectPr>
      </w:pPr>
    </w:p>
    <w:p/>
    <w:p>
      <w:pPr>
        <w:spacing w:line="360" w:lineRule="auto"/>
        <w:jc w:val="center"/>
        <w:rPr>
          <w:rFonts w:asciiTheme="minorEastAsia" w:eastAsiaTheme="minorEastAsia" w:hAnsiTheme="minorEastAsia" w:cstheme="minorEastAsia" w:hint="eastAsia"/>
          <w:b/>
          <w:bCs/>
        </w:rPr>
      </w:pPr>
      <w:r>
        <w:rPr>
          <w:rFonts w:asciiTheme="minorEastAsia" w:eastAsiaTheme="minorEastAsia" w:hAnsiTheme="minorEastAsia" w:cstheme="minorEastAsia" w:hint="eastAsia"/>
          <w:b/>
          <w:bCs/>
          <w:lang w:val="en-US" w:eastAsia="zh-CN"/>
        </w:rPr>
        <w:t>设计背景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统编版初中语文九年级下册第四单元是一个议论文单元，人文主题是“读书、谈美、论艺”。教科书选编的五篇文章，都涉及人们的精神生活，既富有思想性，又蕴含艺术美：有从宏观视角谈论读书求知话题的《谈读书》；有从微观角度探讨欣赏艺术作品方法的《不求甚解》《驱遣我们的想象》；有侧重阐释美学观念的《无言之美》；有着重探讨意境问题的《山水画的意境》。从教科书的内部编排结构来看，初中学段的三个议论文单元结构一致，均由单元导读、课文、注释、课前预习、课后思考探究、阅读提示组成，其中单元导语、课前预习、课后探究及阅读提示指明了本单元的学习任务及学习重点；从学生能力提升的角度来看，三个议论文单元针对学生不同能力的提升而教学侧重点有所不同。在前期的议论文教学中，学生已积累了议论文论点、论据、论证方法及论证思路的相关知识。作为议论文学习的第三个单元，本单元的教学主要引导学生在综合训练一般议论性文章的基础上，了解建构文艺论文的阅读策略，并迁移运用到其他文学作品的鉴赏及自己的议论文写作中，能通过资料辅助，尝试撰写浅显的文艺论文。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  <w:sectPr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fmt="decimal" w:start="1"/>
          <w:cols w:num="1" w:space="425"/>
          <w:docGrid w:type="lines" w:linePitch="312" w:charSpace="0"/>
        </w:sectPr>
      </w:pP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jc w:val="center"/>
        <w:rPr>
          <w:rFonts w:asciiTheme="minorEastAsia" w:eastAsiaTheme="minorEastAsia" w:hAnsiTheme="minorEastAsia" w:cstheme="minorEastAsia" w:hint="eastAsia"/>
          <w:b/>
          <w:bCs/>
        </w:rPr>
      </w:pPr>
      <w:r>
        <w:rPr>
          <w:rFonts w:asciiTheme="minorEastAsia" w:eastAsiaTheme="minorEastAsia" w:hAnsiTheme="minorEastAsia" w:cstheme="minorEastAsia" w:hint="eastAsia"/>
          <w:b/>
          <w:bCs/>
          <w:lang w:val="en-US" w:eastAsia="zh-CN"/>
        </w:rPr>
        <w:t>设计依据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default"/>
          <w:b w:val="0"/>
          <w:bCs w:val="0"/>
        </w:rPr>
      </w:pPr>
      <w:r>
        <w:rPr>
          <w:rFonts w:asciiTheme="minorEastAsia" w:eastAsiaTheme="minorEastAsia" w:hAnsiTheme="minorEastAsia" w:cstheme="minorEastAsia" w:hint="default"/>
          <w:b w:val="0"/>
          <w:bCs w:val="0"/>
          <w:lang w:val="en-US" w:eastAsia="zh-CN"/>
        </w:rPr>
        <w:t>《义务教育语文课程标准（2022年版）》第四学段（7～9年级）的课程目标，在“阅读与鉴赏”中要求引导学生“阅读简单的议论文，能区分观点与材料（道理、事实、数据、 图表等)，发现观点与材料之间的联系，并通过自己的思考，作出判断”,在“表达与交流”中要求学生“自信、负责地表达自己的观点”，“写简单的议论性文章，做到观点明确，有理有据”。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default"/>
          <w:b w:val="0"/>
          <w:bCs w:val="0"/>
        </w:rPr>
      </w:pPr>
      <w:r>
        <w:rPr>
          <w:rFonts w:asciiTheme="minorEastAsia" w:eastAsiaTheme="minorEastAsia" w:hAnsiTheme="minorEastAsia" w:cstheme="minorEastAsia" w:hint="default"/>
          <w:b w:val="0"/>
          <w:bCs w:val="0"/>
          <w:lang w:val="en-US" w:eastAsia="zh-CN"/>
        </w:rPr>
        <w:t>在课程内容中，本单元的课文契合“发展型学习任务群”中“思辨性阅读与表达”的要求，其第四课段（7～9年级）旨在引导学生“阅读诗话、文论、书画艺术论的经典片段，尝试运用其中的观点欣赏、评析作品”。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default"/>
          <w:b w:val="0"/>
          <w:bCs w:val="0"/>
        </w:rPr>
      </w:pPr>
      <w:r>
        <w:rPr>
          <w:rFonts w:asciiTheme="minorEastAsia" w:eastAsiaTheme="minorEastAsia" w:hAnsiTheme="minorEastAsia" w:cstheme="minorEastAsia" w:hint="default"/>
          <w:b w:val="0"/>
          <w:bCs w:val="0"/>
          <w:lang w:val="en-US" w:eastAsia="zh-CN"/>
        </w:rPr>
        <w:t>在第四学段（7～9年级）的“学业质量描述”中要求学生能够“在讨论问题过程中，能积极发表自己的看法，做到有中心，有根据，有条理”，“阅读简单议论性文章，能区分观点与材料，并能解释观点与材料之间的联系；能运用实证材料对他人观点作出价值判断”。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default"/>
          <w:b w:val="0"/>
          <w:bCs w:val="0"/>
        </w:rPr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default"/>
          <w:b w:val="0"/>
          <w:bCs w:val="0"/>
          <w:lang w:val="en-US" w:eastAsia="zh-CN"/>
        </w:rPr>
        <w:t>综上，课程目标、课程内容和课程评价都要求，在学习文艺论文和议论性随笔、杂文时，应关注论证和价值判断两个方面内容，在本专题中论证侧重于论证的三要素及其关系。</w:t>
      </w:r>
    </w:p>
    <w:p>
      <w:pPr>
        <w:spacing w:line="360" w:lineRule="auto"/>
        <w:jc w:val="center"/>
        <w:rPr>
          <w:rFonts w:asciiTheme="minorEastAsia" w:eastAsiaTheme="minorEastAsia" w:hAnsiTheme="minorEastAsia" w:cstheme="minorEastAsia" w:hint="default"/>
          <w:b/>
          <w:bCs/>
        </w:rPr>
      </w:pPr>
      <w:r>
        <w:rPr>
          <w:rFonts w:asciiTheme="minorEastAsia" w:eastAsiaTheme="minorEastAsia" w:hAnsiTheme="minorEastAsia" w:cstheme="minorEastAsia" w:hint="eastAsia"/>
          <w:b/>
          <w:bCs/>
          <w:lang w:val="en-US" w:eastAsia="zh-CN"/>
        </w:rPr>
        <w:t>学习任务与课段课时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单元整体教学设置了四项学习任务：一是进行一般议论性文章的综合训练；二是巩固文艺论文阅读策略；三是撰写议论文；四是运用辩论技巧表达观点。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以“学生能够撰写一篇观点明确、且贴着观点对论据进行深入分析的500字议论文”为核心任务，纠正学生议论文写作单纯以“观点+论据”，不重视分析的简单化写作倾向。围绕核心任务，单元设计了3个子任务：一是借助思维导图、表格，梳理出《谈读书》《不求甚解》的文章结构及对比出两篇文章的异同；二是通过找出核心概念、绘制思维导图、梳理论述思路来精读《山水画的意境》，自读《无言之美》《驱遣我们的想象》，以了解文艺论文的阅读策略；三是通过图画与照片比美、完成“学习日记”来引导学生进一步巩固文艺论文的阅读策略；四是引导学生迁移运用文艺论文论述方法以完成一篇议论文的写作。第一个任务是基础，第二个任务是建构文艺论文阅读策略的关键，第三个任务是基于前两个任务的归纳及训练，第四个任务是迁移运用和能力提升。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  <w:highlight w:val="none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highlight w:val="none"/>
          <w:lang w:val="en-US" w:eastAsia="zh-CN"/>
        </w:rPr>
        <w:t>学习流程设计了两个课段，前后为层进关系：第一个课段第一课时回顾复习一般议论性文阅读策略，运用所学方法通读课文，熟悉文章内容；第二课时以两篇精读课文《谈读书》《不求甚解》为范本，先是引导学生运用前两个议论文单元所学知识画出思维导图，明晰文章的论点、论据及论证思路；然后通过补充表格内容来比较这两篇文章在主题及论述方面的异同，从而对一般议论性文章的阅读策略进行综合性训练；第三课时精读《山水画的意境》，通过自设思维导图理清文章结构，总结作者的论述思路，在此基础上引导学生用同样的方法自读《无言之美》《驱遣我们的想象》来理解作所论述的观点，最后通过表格引导学生了解文艺论文中核心概念（如“意境”）与其它相关概念（如“景”“情”“意匠”）之间的关系，帮助学生初步建构文艺论文的阅读策略；第二课段第一课时学习文艺鉴赏的方法，通过对比“黄山迎客松”图画与照片，进而深入理解不同艺术形式的审美标准和鉴赏方法；接着通过实例及仿写实例的方式，帮助学生理解文艺论文中观点与实例的关系，以巩固文艺论文的阅读策略。第二课时设计了两个任务，任务一是以《送孟浩然之广陵》为综合训练材料，引导学生横向勾连本单元知识，写一个200字以上的鉴赏文段；任务二是选择本单元文章确定辩题，分组讨论，表达观点。最终完成核心任务，请学生结合文艺论文阅读策略带来的写作启示，撰写一篇题为“学习当温故知新”的议论文。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default"/>
          <w:b w:val="0"/>
          <w:bCs w:val="0"/>
        </w:rPr>
      </w:pP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jc w:val="center"/>
        <w:rPr>
          <w:rFonts w:asciiTheme="minorEastAsia" w:eastAsiaTheme="minorEastAsia" w:hAnsiTheme="minorEastAsia" w:cstheme="minorEastAsia" w:hint="eastAsia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/>
          <w:bCs/>
          <w:lang w:val="en-US" w:eastAsia="zh-CN"/>
        </w:rPr>
        <w:t>学习目标</w:t>
      </w:r>
    </w:p>
    <w:p>
      <w:pPr>
        <w:spacing w:line="360" w:lineRule="auto"/>
        <w:jc w:val="left"/>
        <w:outlineLvl w:val="0"/>
        <w:rPr>
          <w:rFonts w:asciiTheme="minorEastAsia" w:eastAsiaTheme="minorEastAsia" w:hAnsiTheme="minorEastAsia" w:cstheme="minorEastAsia" w:hint="eastAsia"/>
          <w:b w:val="0"/>
          <w:bCs w:val="0"/>
        </w:rPr>
      </w:pPr>
      <w:bookmarkStart w:id="1" w:name="_Toc20580"/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一、语言目标</w:t>
      </w:r>
      <w:bookmarkEnd w:id="1"/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1.能够阅读浅显的文艺论文，把握文章中的核心概念，根据作者的定义和阐述理解概念的内涵和外延，同时能够理清相关概念之间的关系；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default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 xml:space="preserve">2.能够理解作者的观点，找出文中的中心论点和分论点，逐步建构文艺审美的知识构架； 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3.将文艺论文知识进行迁移运用，完成一篇500字的议论文。</w:t>
      </w:r>
    </w:p>
    <w:p>
      <w:pPr>
        <w:spacing w:line="360" w:lineRule="auto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jc w:val="left"/>
        <w:outlineLvl w:val="0"/>
        <w:rPr>
          <w:rFonts w:asciiTheme="minorEastAsia" w:eastAsiaTheme="minorEastAsia" w:hAnsiTheme="minorEastAsia" w:cstheme="minorEastAsia" w:hint="eastAsia"/>
          <w:b w:val="0"/>
          <w:bCs w:val="0"/>
        </w:rPr>
      </w:pPr>
      <w:bookmarkStart w:id="2" w:name="_Toc598"/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二、思维目标</w:t>
      </w:r>
      <w:bookmarkEnd w:id="2"/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1.能通过比较阅读，归纳、概括不同文艺论文的论述思路，总结和积累多种论述方法，并能完成文章构架的思维导图，提高逻辑思维能力；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2.能够通过拓展阅读，独立思考，提出问题，学会质疑，获得自己新的见解，提高批判性思维能力。</w:t>
      </w:r>
    </w:p>
    <w:p>
      <w:pPr>
        <w:spacing w:line="360" w:lineRule="auto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jc w:val="left"/>
        <w:outlineLvl w:val="0"/>
        <w:rPr>
          <w:rFonts w:asciiTheme="minorEastAsia" w:eastAsiaTheme="minorEastAsia" w:hAnsiTheme="minorEastAsia" w:cstheme="minorEastAsia" w:hint="eastAsia"/>
          <w:b w:val="0"/>
          <w:bCs w:val="0"/>
        </w:rPr>
      </w:pPr>
      <w:bookmarkStart w:id="3" w:name="_Toc1620"/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三、价值目标</w:t>
      </w:r>
      <w:bookmarkEnd w:id="3"/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1.通过阅读文艺论文，开拓审美和文化视野，领会文艺鉴赏的方法，并尝试迁移运用于自己的鉴赏实践中；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default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2.丰富精神世界，培养审美情趣和审美品位，获得审美享受，陶冶情操，发展探究精神。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  <w:sectPr>
          <w:headerReference w:type="default" r:id="rId13"/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fmt="decimal" w:start="4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jc w:val="left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jc w:val="center"/>
        <w:rPr>
          <w:rFonts w:asciiTheme="minorEastAsia" w:eastAsiaTheme="minorEastAsia" w:hAnsiTheme="minorEastAsia" w:cstheme="minorEastAsia" w:hint="eastAsia"/>
          <w:b/>
          <w:bCs/>
        </w:rPr>
      </w:pPr>
      <w:r>
        <w:rPr>
          <w:rFonts w:asciiTheme="minorEastAsia" w:eastAsiaTheme="minorEastAsia" w:hAnsiTheme="minorEastAsia" w:cstheme="minorEastAsia" w:hint="eastAsia"/>
          <w:b/>
          <w:bCs/>
          <w:lang w:val="en-US" w:eastAsia="zh-CN"/>
        </w:rPr>
        <w:t>教学实施</w:t>
      </w:r>
    </w:p>
    <w:p>
      <w:pPr>
        <w:spacing w:line="360" w:lineRule="auto"/>
        <w:jc w:val="both"/>
        <w:rPr>
          <w:rFonts w:asciiTheme="minorEastAsia" w:eastAsiaTheme="minorEastAsia" w:hAnsiTheme="minorEastAsia" w:cstheme="minorEastAsia" w:hint="default"/>
          <w:b/>
          <w:bCs/>
          <w:color w:val="FF0000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FF0000"/>
          <w:lang w:val="en-US" w:eastAsia="zh-CN"/>
        </w:rPr>
        <w:t>第一课段  思维导图理结构 对比探究构策略</w:t>
      </w:r>
    </w:p>
    <w:p>
      <w:pPr>
        <w:spacing w:line="360" w:lineRule="auto"/>
        <w:jc w:val="left"/>
        <w:outlineLvl w:val="0"/>
        <w:rPr>
          <w:rFonts w:asciiTheme="minorEastAsia" w:eastAsiaTheme="minorEastAsia" w:hAnsiTheme="minorEastAsia" w:cstheme="minorEastAsia" w:hint="eastAsia"/>
          <w:b w:val="0"/>
          <w:bCs w:val="0"/>
        </w:rPr>
      </w:pPr>
      <w:bookmarkStart w:id="4" w:name="_Toc13257"/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一、学习任务</w:t>
      </w:r>
      <w:bookmarkEnd w:id="4"/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default"/>
          <w:b w:val="0"/>
          <w:bCs w:val="0"/>
        </w:rPr>
      </w:pPr>
      <w:r>
        <w:rPr>
          <w:rFonts w:asciiTheme="minorEastAsia" w:eastAsiaTheme="minorEastAsia" w:hAnsiTheme="minorEastAsia" w:cstheme="minorEastAsia" w:hint="default"/>
          <w:b w:val="0"/>
          <w:bCs w:val="0"/>
          <w:lang w:val="en-US" w:eastAsia="zh-CN"/>
        </w:rPr>
        <w:t>1.精读《谈读书》《不求甚解》这两篇文章，能够</w:t>
      </w: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理清</w:t>
      </w:r>
      <w:r>
        <w:rPr>
          <w:rFonts w:asciiTheme="minorEastAsia" w:eastAsiaTheme="minorEastAsia" w:hAnsiTheme="minorEastAsia" w:cstheme="minorEastAsia" w:hint="default"/>
          <w:b w:val="0"/>
          <w:bCs w:val="0"/>
          <w:lang w:val="en-US" w:eastAsia="zh-CN"/>
        </w:rPr>
        <w:t>文章结构，</w:t>
      </w: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根据提示完成</w:t>
      </w:r>
      <w:r>
        <w:rPr>
          <w:rFonts w:asciiTheme="minorEastAsia" w:eastAsiaTheme="minorEastAsia" w:hAnsiTheme="minorEastAsia" w:cstheme="minorEastAsia" w:hint="default"/>
          <w:b w:val="0"/>
          <w:bCs w:val="0"/>
          <w:lang w:val="en-US" w:eastAsia="zh-CN"/>
        </w:rPr>
        <w:t>思维导图。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default"/>
          <w:b w:val="0"/>
          <w:bCs w:val="0"/>
          <w:highlight w:val="none"/>
        </w:rPr>
      </w:pPr>
      <w:r>
        <w:rPr>
          <w:rFonts w:asciiTheme="minorEastAsia" w:eastAsiaTheme="minorEastAsia" w:hAnsiTheme="minorEastAsia" w:cstheme="minorEastAsia" w:hint="default"/>
          <w:b w:val="0"/>
          <w:bCs w:val="0"/>
          <w:lang w:val="en-US" w:eastAsia="zh-CN"/>
        </w:rPr>
        <w:t>2.在绘制思维导图的基础上，能够明晰《谈读书》《不求甚解》在主题和论述方面的异同，补充完整</w:t>
      </w: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同步学习任务单；</w:t>
      </w:r>
      <w:r>
        <w:rPr>
          <w:rFonts w:asciiTheme="minorEastAsia" w:eastAsiaTheme="minorEastAsia" w:hAnsiTheme="minorEastAsia" w:cstheme="minorEastAsia" w:hint="default"/>
          <w:b w:val="0"/>
          <w:bCs w:val="0"/>
          <w:lang w:val="en-US" w:eastAsia="zh-CN"/>
        </w:rPr>
        <w:t>阅读拓展材料《读书就是要“过河拆桥”》，与《不求甚解》</w:t>
      </w:r>
      <w:r>
        <w:rPr>
          <w:rFonts w:asciiTheme="minorEastAsia" w:eastAsiaTheme="minorEastAsia" w:hAnsiTheme="minorEastAsia" w:cstheme="minorEastAsia" w:hint="default"/>
          <w:b w:val="0"/>
          <w:bCs w:val="0"/>
          <w:highlight w:val="none"/>
          <w:lang w:val="en-US" w:eastAsia="zh-CN"/>
        </w:rPr>
        <w:t>中的读书方法进行对比，并撰写300字以上的读书感悟。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  <w:highlight w:val="none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highlight w:val="none"/>
          <w:lang w:val="en-US" w:eastAsia="zh-CN"/>
        </w:rPr>
        <w:t>3.精读《山水画的意境》，能理清文章的论证思路，梳理总结作者的论述思路，完善思维导图学习单。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default"/>
          <w:b w:val="0"/>
          <w:bCs w:val="0"/>
          <w:highlight w:val="none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highlight w:val="none"/>
          <w:lang w:val="en-US" w:eastAsia="zh-CN"/>
        </w:rPr>
        <w:t>4.自读《无言之美》和《驱遣我们的想象》，尝试归纳总结文艺论文的一般阅读策略。</w:t>
      </w:r>
    </w:p>
    <w:p>
      <w:pPr>
        <w:spacing w:line="360" w:lineRule="auto"/>
        <w:jc w:val="left"/>
        <w:outlineLvl w:val="0"/>
        <w:rPr>
          <w:rFonts w:asciiTheme="minorEastAsia" w:eastAsiaTheme="minorEastAsia" w:hAnsiTheme="minorEastAsia" w:cstheme="minorEastAsia" w:hint="eastAsia"/>
          <w:b w:val="0"/>
          <w:bCs w:val="0"/>
          <w:highlight w:val="none"/>
        </w:rPr>
      </w:pPr>
      <w:bookmarkStart w:id="5" w:name="_Toc10823"/>
      <w:r>
        <w:rPr>
          <w:rFonts w:asciiTheme="minorEastAsia" w:eastAsiaTheme="minorEastAsia" w:hAnsiTheme="minorEastAsia" w:cstheme="minorEastAsia" w:hint="eastAsia"/>
          <w:b w:val="0"/>
          <w:bCs w:val="0"/>
          <w:highlight w:val="none"/>
          <w:lang w:val="en-US" w:eastAsia="zh-CN"/>
        </w:rPr>
        <w:t>二、课时安排</w:t>
      </w:r>
      <w:bookmarkEnd w:id="5"/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 w:val="0"/>
          <w:bCs w:val="0"/>
          <w:highlight w:val="none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highlight w:val="none"/>
          <w:lang w:val="en-US" w:eastAsia="zh-CN"/>
        </w:rPr>
        <w:t>3课时</w:t>
      </w:r>
    </w:p>
    <w:p>
      <w:pPr>
        <w:spacing w:line="360" w:lineRule="auto"/>
        <w:jc w:val="left"/>
        <w:outlineLvl w:val="0"/>
        <w:rPr>
          <w:rFonts w:asciiTheme="minorEastAsia" w:eastAsiaTheme="minorEastAsia" w:hAnsiTheme="minorEastAsia" w:cstheme="minorEastAsia" w:hint="eastAsia"/>
          <w:b w:val="0"/>
          <w:bCs w:val="0"/>
          <w:highlight w:val="none"/>
        </w:rPr>
      </w:pPr>
      <w:bookmarkStart w:id="6" w:name="_Toc2215"/>
      <w:r>
        <w:rPr>
          <w:rFonts w:asciiTheme="minorEastAsia" w:eastAsiaTheme="minorEastAsia" w:hAnsiTheme="minorEastAsia" w:cstheme="minorEastAsia" w:hint="eastAsia"/>
          <w:b w:val="0"/>
          <w:bCs w:val="0"/>
          <w:highlight w:val="none"/>
          <w:lang w:val="en-US" w:eastAsia="zh-CN"/>
        </w:rPr>
        <w:t>三、学习资源</w:t>
      </w:r>
      <w:bookmarkEnd w:id="6"/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default"/>
          <w:b w:val="0"/>
          <w:bCs w:val="0"/>
          <w:highlight w:val="none"/>
        </w:rPr>
      </w:pPr>
      <w:r>
        <w:rPr>
          <w:rFonts w:asciiTheme="minorEastAsia" w:eastAsiaTheme="minorEastAsia" w:hAnsiTheme="minorEastAsia" w:cstheme="minorEastAsia" w:hint="default"/>
          <w:b w:val="0"/>
          <w:bCs w:val="0"/>
          <w:highlight w:val="none"/>
          <w:lang w:val="en-US" w:eastAsia="zh-CN"/>
        </w:rPr>
        <w:t>核心资源：《谈读书》《不求甚解》</w:t>
      </w:r>
      <w:r>
        <w:rPr>
          <w:rFonts w:asciiTheme="minorEastAsia" w:eastAsiaTheme="minorEastAsia" w:hAnsiTheme="minorEastAsia" w:cstheme="minorEastAsia" w:hint="eastAsia"/>
          <w:b w:val="0"/>
          <w:bCs w:val="0"/>
          <w:highlight w:val="none"/>
          <w:lang w:val="en-US" w:eastAsia="zh-CN"/>
        </w:rPr>
        <w:t>《山水画的意境》《无言之美》《驱遣我们的想象》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default"/>
          <w:b w:val="0"/>
          <w:bCs w:val="0"/>
          <w:highlight w:val="none"/>
        </w:rPr>
      </w:pPr>
      <w:r>
        <w:rPr>
          <w:rFonts w:asciiTheme="minorEastAsia" w:eastAsiaTheme="minorEastAsia" w:hAnsiTheme="minorEastAsia" w:cstheme="minorEastAsia" w:hint="default"/>
          <w:b w:val="0"/>
          <w:bCs w:val="0"/>
          <w:highlight w:val="none"/>
          <w:lang w:val="en-US" w:eastAsia="zh-CN"/>
        </w:rPr>
        <w:t>推荐资源：《读书就是要“过河拆桥”》</w:t>
      </w:r>
    </w:p>
    <w:p>
      <w:pPr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default"/>
          <w:b w:val="0"/>
          <w:bCs w:val="0"/>
          <w:highlight w:val="none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highlight w:val="none"/>
          <w:lang w:val="en-US" w:eastAsia="zh-CN"/>
        </w:rPr>
        <w:t>补充资源：</w:t>
      </w:r>
      <w:r>
        <w:rPr>
          <w:rFonts w:asciiTheme="minorEastAsia" w:eastAsiaTheme="minorEastAsia" w:hAnsiTheme="minorEastAsia" w:cstheme="minorEastAsia" w:hint="default"/>
          <w:b w:val="0"/>
          <w:bCs w:val="0"/>
          <w:highlight w:val="none"/>
          <w:lang w:val="en-US" w:eastAsia="zh-CN"/>
        </w:rPr>
        <w:t>《谈读书》老舍、《谈读书》贾平凹、《朱光潜谈读书》朱光潜、《好读书不求甚解》王蒙；《简析中国艺术审美之意境美特征——中国画的意境美》杨韶辉、《论中国画的意境美》张江岳、《意境的审美特征》李子霏、《中国山水画的意境美浅析》严增镔、吕莎；《浅谈中国画的“留白”艺术》郝亦均、《浅析中国诗画中的“无言之美”》康健、《含蓄和无言之美——读朱光潜先生&lt;无言之美&gt;札记》毛微昭</w:t>
      </w:r>
      <w:r>
        <w:rPr>
          <w:rFonts w:asciiTheme="minorEastAsia" w:eastAsiaTheme="minorEastAsia" w:hAnsiTheme="minorEastAsia" w:cstheme="minorEastAsia" w:hint="eastAsia"/>
          <w:b w:val="0"/>
          <w:bCs w:val="0"/>
          <w:highlight w:val="none"/>
          <w:lang w:val="en-US" w:eastAsia="zh-CN"/>
        </w:rPr>
        <w:t>。</w:t>
      </w:r>
    </w:p>
    <w:p>
      <w:pPr>
        <w:spacing w:line="360" w:lineRule="auto"/>
        <w:jc w:val="left"/>
        <w:outlineLvl w:val="0"/>
        <w:rPr>
          <w:rFonts w:asciiTheme="minorEastAsia" w:eastAsiaTheme="minorEastAsia" w:hAnsiTheme="minorEastAsia" w:cstheme="minorEastAsia" w:hint="eastAsia"/>
          <w:b w:val="0"/>
          <w:bCs w:val="0"/>
        </w:rPr>
      </w:pPr>
      <w:bookmarkStart w:id="7" w:name="_Toc11436"/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四、教学实践</w:t>
      </w:r>
      <w:bookmarkEnd w:id="7"/>
    </w:p>
    <w:p>
      <w:pPr>
        <w:spacing w:line="360" w:lineRule="auto"/>
        <w:jc w:val="center"/>
        <w:rPr>
          <w:rFonts w:asciiTheme="minorEastAsia" w:eastAsiaTheme="minorEastAsia" w:hAnsiTheme="minorEastAsia" w:cstheme="minorEastAsia" w:hint="eastAsia"/>
          <w:b/>
          <w:bCs/>
        </w:rPr>
      </w:pPr>
      <w:r>
        <w:rPr>
          <w:rFonts w:asciiTheme="minorEastAsia" w:eastAsiaTheme="minorEastAsia" w:hAnsiTheme="minorEastAsia" w:cstheme="minorEastAsia" w:hint="eastAsia"/>
          <w:b/>
          <w:bCs/>
          <w:lang w:val="en-US" w:eastAsia="zh-CN"/>
        </w:rPr>
        <w:t>第一课时</w:t>
      </w:r>
    </w:p>
    <w:p>
      <w:pPr>
        <w:spacing w:line="360" w:lineRule="auto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（一）课时目标</w:t>
      </w: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（1）回忆议论文阅读策略，梳理议论文相关知识点。</w:t>
      </w: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default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（2）通读课文，读准字音，理解重点词语的意思，熟悉文章内容。</w:t>
      </w:r>
    </w:p>
    <w:p>
      <w:pPr>
        <w:spacing w:line="360" w:lineRule="auto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（二）课前准备</w:t>
      </w: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课时同步学习单、教用学用拓展资料</w:t>
      </w:r>
    </w:p>
    <w:p>
      <w:pPr>
        <w:spacing w:line="360" w:lineRule="auto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  <w:sectPr>
          <w:headerReference w:type="default" r:id="rId15"/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fmt="decimal" w:start="5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（三）新课导入</w:t>
      </w: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default"/>
          <w:b w:val="0"/>
          <w:bCs w:val="0"/>
          <w:highlight w:val="none"/>
        </w:rPr>
      </w:pPr>
      <w:r>
        <w:rPr>
          <w:rFonts w:asciiTheme="minorEastAsia" w:eastAsiaTheme="minorEastAsia" w:hAnsiTheme="minorEastAsia" w:cstheme="minorEastAsia" w:hint="default"/>
          <w:b w:val="0"/>
          <w:bCs w:val="0"/>
          <w:lang w:val="en-US" w:eastAsia="zh-CN"/>
        </w:rPr>
        <w:t>古语有云，“腹有诗书气自华”。千古以来读书总是一件美好的事，一本好书就是人生的一盏明灯。为了营造浓郁的读书氛围，打造书香校园，让读书成为一种习惯，学校倡议以班级为</w:t>
      </w:r>
      <w:r>
        <w:rPr>
          <w:rFonts w:asciiTheme="minorEastAsia" w:eastAsiaTheme="minorEastAsia" w:hAnsiTheme="minorEastAsia" w:cstheme="minorEastAsia" w:hint="default"/>
          <w:b w:val="0"/>
          <w:bCs w:val="0"/>
          <w:highlight w:val="none"/>
          <w:lang w:val="en-US" w:eastAsia="zh-CN"/>
        </w:rPr>
        <w:t>单位，每月开展一次读书沙龙活动</w:t>
      </w:r>
      <w:r>
        <w:rPr>
          <w:rFonts w:asciiTheme="minorEastAsia" w:eastAsiaTheme="minorEastAsia" w:hAnsiTheme="minorEastAsia" w:cstheme="minorEastAsia" w:hint="eastAsia"/>
          <w:b w:val="0"/>
          <w:bCs w:val="0"/>
          <w:highlight w:val="none"/>
          <w:lang w:val="en-US" w:eastAsia="zh-CN"/>
        </w:rPr>
        <w:t>。</w:t>
      </w:r>
      <w:r>
        <w:rPr>
          <w:rFonts w:asciiTheme="minorEastAsia" w:eastAsiaTheme="minorEastAsia" w:hAnsiTheme="minorEastAsia" w:cstheme="minorEastAsia" w:hint="default"/>
          <w:b w:val="0"/>
          <w:bCs w:val="0"/>
          <w:highlight w:val="none"/>
          <w:lang w:val="en-US" w:eastAsia="zh-CN"/>
        </w:rPr>
        <w:t>班</w:t>
      </w:r>
      <w:r>
        <w:rPr>
          <w:rFonts w:asciiTheme="minorEastAsia" w:eastAsiaTheme="minorEastAsia" w:hAnsiTheme="minorEastAsia" w:cstheme="minorEastAsia" w:hint="eastAsia"/>
          <w:b w:val="0"/>
          <w:bCs w:val="0"/>
          <w:highlight w:val="none"/>
          <w:lang w:val="en-US" w:eastAsia="zh-CN"/>
        </w:rPr>
        <w:t>级</w:t>
      </w:r>
      <w:r>
        <w:rPr>
          <w:rFonts w:asciiTheme="minorEastAsia" w:eastAsiaTheme="minorEastAsia" w:hAnsiTheme="minorEastAsia" w:cstheme="minorEastAsia" w:hint="default"/>
          <w:b w:val="0"/>
          <w:bCs w:val="0"/>
          <w:highlight w:val="none"/>
          <w:lang w:val="en-US" w:eastAsia="zh-CN"/>
        </w:rPr>
        <w:t>计划围绕九下语文第四单元开展“悦读越心动”读书沙龙活动，探求以“思辨之光”焕发“文艺之美”的方法，请同学们积极参与。</w:t>
      </w:r>
    </w:p>
    <w:p>
      <w:pPr>
        <w:spacing w:line="360" w:lineRule="auto"/>
        <w:jc w:val="both"/>
        <w:rPr>
          <w:rFonts w:asciiTheme="minorEastAsia" w:eastAsiaTheme="minorEastAsia" w:hAnsiTheme="minorEastAsia" w:cstheme="minorEastAsia" w:hint="eastAsia"/>
          <w:b w:val="0"/>
          <w:bCs w:val="0"/>
          <w:highlight w:val="none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highlight w:val="none"/>
          <w:lang w:val="en-US" w:eastAsia="zh-CN"/>
        </w:rPr>
        <w:t>（四）完成任务</w:t>
      </w: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（1）回忆我们前面的议论文学习，在已有框架上进行补充，完成议论文阅读方法思维导图学习单。</w:t>
      </w: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default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议论文阅读思维导图学习单</w:t>
      </w:r>
    </w:p>
    <w:p>
      <w:pPr>
        <w:spacing w:line="360" w:lineRule="auto"/>
        <w:jc w:val="both"/>
        <w:rPr>
          <w:rFonts w:asciiTheme="minorEastAsia" w:eastAsiaTheme="minorEastAsia" w:hAnsiTheme="minorEastAsia" w:cstheme="minorEastAsia" w:hint="default"/>
          <w:b w:val="0"/>
          <w:bCs w:val="0"/>
        </w:rPr>
      </w:pPr>
      <w:r>
        <w:rPr>
          <w:rFonts w:asciiTheme="minorEastAsia" w:eastAsiaTheme="minorEastAsia" w:hAnsiTheme="minorEastAsia" w:cstheme="minorEastAsia" w:hint="default"/>
          <w:b w:val="0"/>
          <w:bCs w:val="0"/>
          <w:lang w:val="en-US"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741680</wp:posOffset>
            </wp:positionH>
            <wp:positionV relativeFrom="paragraph">
              <wp:posOffset>3810</wp:posOffset>
            </wp:positionV>
            <wp:extent cx="3790950" cy="2884805"/>
            <wp:effectExtent l="0" t="0" r="0" b="10795"/>
            <wp:wrapNone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288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default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参考：</w:t>
      </w:r>
    </w:p>
    <w:p>
      <w:pPr>
        <w:spacing w:line="360" w:lineRule="auto"/>
        <w:jc w:val="both"/>
        <w:rPr>
          <w:rFonts w:asciiTheme="minorEastAsia" w:eastAsiaTheme="minorEastAsia" w:hAnsiTheme="minorEastAsia" w:cstheme="minorEastAsia" w:hint="default"/>
          <w:b w:val="0"/>
          <w:bCs w:val="0"/>
        </w:rPr>
      </w:pPr>
      <w:r>
        <w:rPr>
          <w:rFonts w:asciiTheme="minorEastAsia" w:eastAsiaTheme="minorEastAsia" w:hAnsiTheme="minorEastAsia" w:cstheme="minorEastAsia" w:hint="default"/>
          <w:b w:val="0"/>
          <w:bCs w:val="0"/>
          <w:lang w:val="en-US"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742315</wp:posOffset>
            </wp:positionH>
            <wp:positionV relativeFrom="paragraph">
              <wp:posOffset>53340</wp:posOffset>
            </wp:positionV>
            <wp:extent cx="3789680" cy="3086735"/>
            <wp:effectExtent l="0" t="0" r="1270" b="18415"/>
            <wp:wrapNone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89680" cy="308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</w:pP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 w:val="0"/>
        </w:rPr>
        <w:sectPr>
          <w:headerReference w:type="default" r:id="rId19"/>
          <w:footerReference w:type="default" r:id="rId20"/>
          <w:type w:val="nextPage"/>
          <w:pgSz w:w="11906" w:h="16838"/>
          <w:pgMar w:top="1440" w:right="1800" w:bottom="1440" w:left="1800" w:header="851" w:footer="992" w:gutter="0"/>
          <w:pgNumType w:fmt="decimal" w:start="6"/>
          <w:cols w:num="1" w:space="425"/>
          <w:titlePg w:val="0"/>
          <w:docGrid w:type="lines" w:linePitch="312" w:charSpace="0"/>
        </w:sectPr>
      </w:pPr>
    </w:p>
    <w:p>
      <w:pPr>
        <w:ind w:firstLine="420" w:firstLineChars="200"/>
        <w:rPr>
          <w:rFonts w:asciiTheme="minorEastAsia" w:eastAsiaTheme="minorEastAsia" w:hAnsiTheme="minorEastAsia" w:cstheme="minorEastAsia" w:hint="eastAsia"/>
          <w:b w:val="0"/>
          <w:bCs w:val="0"/>
          <w:highlight w:val="none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highlight w:val="none"/>
          <w:lang w:val="en-US" w:eastAsia="zh-CN"/>
        </w:rPr>
        <w:t>（2）通读五篇课文，读准字音，理解重点词语的意思。扫清阅读障碍，熟悉文章内容，完成课文阅读学习单。</w:t>
      </w: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default"/>
          <w:b w:val="0"/>
          <w:bCs w:val="0"/>
          <w:highlight w:val="none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highlight w:val="none"/>
          <w:lang w:val="en-US" w:eastAsia="zh-CN"/>
        </w:rPr>
        <w:t>课文初读记录学习单</w:t>
      </w:r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4"/>
        <w:gridCol w:w="4909"/>
        <w:gridCol w:w="160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  <w:lang w:val="en-US" w:eastAsia="zh-CN"/>
              </w:rPr>
              <w:t>课文</w:t>
            </w:r>
          </w:p>
        </w:tc>
        <w:tc>
          <w:tcPr>
            <w:tcW w:w="4909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  <w:lang w:val="en-US" w:eastAsia="zh-CN"/>
              </w:rPr>
              <w:t>需要完成的任务</w:t>
            </w:r>
          </w:p>
        </w:tc>
        <w:tc>
          <w:tcPr>
            <w:tcW w:w="1609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  <w:lang w:val="en-US" w:eastAsia="zh-CN"/>
              </w:rPr>
              <w:t>方法建议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  <w:lang w:val="en-US" w:eastAsia="zh-CN"/>
              </w:rPr>
              <w:t>《谈读书》</w:t>
            </w:r>
          </w:p>
        </w:tc>
        <w:tc>
          <w:tcPr>
            <w:tcW w:w="4909" w:type="dxa"/>
            <w:vMerge w:val="restart"/>
          </w:tcPr>
          <w:p>
            <w:pPr>
              <w:spacing w:line="360" w:lineRule="auto"/>
              <w:jc w:val="both"/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  <w:lang w:val="en-US" w:eastAsia="zh-CN"/>
              </w:rPr>
              <w:t>有疑惑的字词：</w:t>
            </w:r>
          </w:p>
          <w:p>
            <w:pPr>
              <w:spacing w:line="360" w:lineRule="auto"/>
              <w:jc w:val="both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  <w:lang w:val="en-US" w:eastAsia="zh-CN"/>
              </w:rPr>
              <w:t xml:space="preserve">____________________________________________         </w:t>
            </w:r>
          </w:p>
          <w:p>
            <w:pPr>
              <w:spacing w:line="360" w:lineRule="auto"/>
              <w:jc w:val="both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</w:p>
          <w:p>
            <w:pPr>
              <w:spacing w:line="360" w:lineRule="auto"/>
              <w:jc w:val="both"/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  <w:lang w:val="en-US" w:eastAsia="zh-CN"/>
              </w:rPr>
              <w:t>存在的问题：</w:t>
            </w:r>
          </w:p>
          <w:p>
            <w:pPr>
              <w:spacing w:line="360" w:lineRule="auto"/>
              <w:jc w:val="both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  <w:lang w:val="en-US" w:eastAsia="zh-CN"/>
              </w:rPr>
              <w:t>____________________________________________</w:t>
            </w:r>
          </w:p>
        </w:tc>
        <w:tc>
          <w:tcPr>
            <w:tcW w:w="160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  <w:lang w:val="en-US" w:eastAsia="zh-CN"/>
              </w:rPr>
              <w:t>通读全文，</w:t>
            </w:r>
          </w:p>
          <w:p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  <w:lang w:val="en-US" w:eastAsia="zh-CN"/>
              </w:rPr>
              <w:t>注意字音，</w:t>
            </w:r>
          </w:p>
          <w:p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  <w:lang w:val="en-US" w:eastAsia="zh-CN"/>
              </w:rPr>
              <w:t>记录重点。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  <w:lang w:val="en-US" w:eastAsia="zh-CN"/>
              </w:rPr>
              <w:t>《不求甚解》</w:t>
            </w:r>
          </w:p>
        </w:tc>
        <w:tc>
          <w:tcPr>
            <w:tcW w:w="4909" w:type="dxa"/>
            <w:vMerge/>
          </w:tcPr>
          <w:p>
            <w:pPr>
              <w:spacing w:line="360" w:lineRule="auto"/>
              <w:jc w:val="both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</w:p>
        </w:tc>
        <w:tc>
          <w:tcPr>
            <w:tcW w:w="1609" w:type="dxa"/>
            <w:vMerge/>
          </w:tcPr>
          <w:p>
            <w:pPr>
              <w:spacing w:line="360" w:lineRule="auto"/>
              <w:jc w:val="both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  <w:lang w:val="en-US" w:eastAsia="zh-CN"/>
              </w:rPr>
              <w:t>《山水画的意境》</w:t>
            </w:r>
          </w:p>
        </w:tc>
        <w:tc>
          <w:tcPr>
            <w:tcW w:w="4909" w:type="dxa"/>
            <w:vMerge/>
          </w:tcPr>
          <w:p>
            <w:pPr>
              <w:spacing w:line="360" w:lineRule="auto"/>
              <w:jc w:val="both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</w:p>
        </w:tc>
        <w:tc>
          <w:tcPr>
            <w:tcW w:w="1609" w:type="dxa"/>
            <w:vMerge/>
          </w:tcPr>
          <w:p>
            <w:pPr>
              <w:spacing w:line="360" w:lineRule="auto"/>
              <w:jc w:val="both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  <w:lang w:val="en-US" w:eastAsia="zh-CN"/>
              </w:rPr>
              <w:t>《无言之美》</w:t>
            </w:r>
          </w:p>
        </w:tc>
        <w:tc>
          <w:tcPr>
            <w:tcW w:w="4909" w:type="dxa"/>
            <w:vMerge/>
          </w:tcPr>
          <w:p>
            <w:pPr>
              <w:spacing w:line="360" w:lineRule="auto"/>
              <w:jc w:val="both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</w:p>
        </w:tc>
        <w:tc>
          <w:tcPr>
            <w:tcW w:w="1609" w:type="dxa"/>
            <w:vMerge/>
          </w:tcPr>
          <w:p>
            <w:pPr>
              <w:spacing w:line="360" w:lineRule="auto"/>
              <w:jc w:val="both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vertAlign w:val="baseline"/>
                <w:lang w:val="en-US" w:eastAsia="zh-CN"/>
              </w:rPr>
              <w:t>《驱遣我们的想象》</w:t>
            </w:r>
          </w:p>
        </w:tc>
        <w:tc>
          <w:tcPr>
            <w:tcW w:w="4909" w:type="dxa"/>
            <w:vMerge/>
          </w:tcPr>
          <w:p>
            <w:pPr>
              <w:spacing w:line="360" w:lineRule="auto"/>
              <w:jc w:val="both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</w:p>
        </w:tc>
        <w:tc>
          <w:tcPr>
            <w:tcW w:w="1609" w:type="dxa"/>
            <w:vMerge/>
          </w:tcPr>
          <w:p>
            <w:pPr>
              <w:spacing w:line="360" w:lineRule="auto"/>
              <w:jc w:val="both"/>
              <w:rPr>
                <w:rFonts w:asciiTheme="minorEastAsia" w:eastAsiaTheme="minorEastAsia" w:hAnsiTheme="minorEastAsia" w:cstheme="minorEastAsia" w:hint="default"/>
                <w:b w:val="0"/>
                <w:bCs w:val="0"/>
                <w:vertAlign w:val="baseline"/>
              </w:rPr>
            </w:pPr>
          </w:p>
        </w:tc>
      </w:tr>
    </w:tbl>
    <w:p>
      <w:pPr>
        <w:spacing w:line="360" w:lineRule="auto"/>
        <w:jc w:val="both"/>
        <w:rPr>
          <w:rFonts w:asciiTheme="minorEastAsia" w:eastAsiaTheme="minorEastAsia" w:hAnsiTheme="minorEastAsia" w:cstheme="minorEastAsia" w:hint="default"/>
          <w:b w:val="0"/>
          <w:bCs w:val="0"/>
        </w:rPr>
      </w:pPr>
      <w:r>
        <w:rPr>
          <w:rFonts w:asciiTheme="minorEastAsia" w:eastAsiaTheme="minorEastAsia" w:hAnsiTheme="minorEastAsia" w:cstheme="minorEastAsia" w:hint="default"/>
          <w:b w:val="0"/>
          <w:bCs w:val="0"/>
          <w:lang w:eastAsia="zh-CN"/>
        </w:rPr>
        <w:t>（五）课后任务</w:t>
      </w: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default"/>
          <w:b w:val="0"/>
          <w:bCs w:val="0"/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lang w:eastAsia="zh-CN"/>
        </w:rPr>
        <w:t>（</w:t>
      </w: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1</w:t>
      </w:r>
      <w:r>
        <w:rPr>
          <w:rFonts w:asciiTheme="minorEastAsia" w:eastAsiaTheme="minorEastAsia" w:hAnsiTheme="minorEastAsia" w:cstheme="minorEastAsia" w:hint="eastAsia"/>
          <w:b w:val="0"/>
          <w:bCs w:val="0"/>
          <w:lang w:eastAsia="zh-CN"/>
        </w:rPr>
        <w:t>）</w:t>
      </w: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了解作者相关信息与文章写作背景，以帮助我们更深入地学习文章。</w:t>
      </w: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default"/>
          <w:b w:val="0"/>
          <w:bCs w:val="0"/>
          <w:highlight w:val="none"/>
        </w:rPr>
        <w:sectPr>
          <w:headerReference w:type="default" r:id="rId21"/>
          <w:footerReference w:type="default" r:id="rId22"/>
          <w:type w:val="nextPage"/>
          <w:pgSz w:w="11906" w:h="16838"/>
          <w:pgMar w:top="1440" w:right="1800" w:bottom="1440" w:left="1800" w:header="851" w:footer="992" w:gutter="0"/>
          <w:pgNumType w:fmt="decimal" w:start="7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b w:val="0"/>
          <w:bCs w:val="0"/>
          <w:lang w:eastAsia="zh-CN"/>
        </w:rPr>
        <w:t>（</w:t>
      </w: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2</w:t>
      </w:r>
      <w:r>
        <w:rPr>
          <w:rFonts w:asciiTheme="minorEastAsia" w:eastAsiaTheme="minorEastAsia" w:hAnsiTheme="minorEastAsia" w:cstheme="minorEastAsia" w:hint="eastAsia"/>
          <w:b w:val="0"/>
          <w:bCs w:val="0"/>
          <w:lang w:eastAsia="zh-CN"/>
        </w:rPr>
        <w:t>）</w:t>
      </w:r>
      <w:r>
        <w:rPr>
          <w:rFonts w:asciiTheme="minorEastAsia" w:eastAsiaTheme="minorEastAsia" w:hAnsiTheme="minorEastAsia" w:cstheme="minorEastAsia" w:hint="default"/>
          <w:b w:val="0"/>
          <w:bCs w:val="0"/>
          <w:lang w:eastAsia="zh-CN"/>
        </w:rPr>
        <w:t>背诵《谈读书》全文，</w:t>
      </w: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可</w:t>
      </w:r>
      <w:r>
        <w:rPr>
          <w:rFonts w:asciiTheme="minorEastAsia" w:eastAsiaTheme="minorEastAsia" w:hAnsiTheme="minorEastAsia" w:cstheme="minorEastAsia" w:hint="eastAsia"/>
          <w:b w:val="0"/>
          <w:bCs w:val="0"/>
          <w:highlight w:val="none"/>
          <w:lang w:val="en-US" w:eastAsia="zh-CN"/>
        </w:rPr>
        <w:t>以</w:t>
      </w:r>
      <w:r>
        <w:rPr>
          <w:rFonts w:asciiTheme="minorEastAsia" w:eastAsiaTheme="minorEastAsia" w:hAnsiTheme="minorEastAsia" w:cstheme="minorEastAsia" w:hint="default"/>
          <w:b w:val="0"/>
          <w:bCs w:val="0"/>
          <w:highlight w:val="none"/>
          <w:lang w:eastAsia="zh-CN"/>
        </w:rPr>
        <w:t>选择</w:t>
      </w:r>
      <w:r>
        <w:rPr>
          <w:rFonts w:asciiTheme="minorEastAsia" w:eastAsiaTheme="minorEastAsia" w:hAnsiTheme="minorEastAsia" w:cstheme="minorEastAsia" w:hint="eastAsia"/>
          <w:b w:val="0"/>
          <w:bCs w:val="0"/>
          <w:highlight w:val="none"/>
          <w:lang w:val="en-US" w:eastAsia="zh-CN"/>
        </w:rPr>
        <w:t>本单元课文</w:t>
      </w:r>
      <w:r>
        <w:rPr>
          <w:rFonts w:asciiTheme="minorEastAsia" w:eastAsiaTheme="minorEastAsia" w:hAnsiTheme="minorEastAsia" w:cstheme="minorEastAsia" w:hint="default"/>
          <w:b w:val="0"/>
          <w:bCs w:val="0"/>
          <w:highlight w:val="none"/>
          <w:lang w:eastAsia="zh-CN"/>
        </w:rPr>
        <w:t>有意义的语句进行积累并背诵。</w:t>
      </w:r>
    </w:p>
    <w:p>
      <w:pPr>
        <w:spacing w:line="360" w:lineRule="auto"/>
        <w:jc w:val="center"/>
        <w:rPr>
          <w:rFonts w:ascii="宋体" w:eastAsia="宋体" w:hAnsi="宋体" w:cs="宋体" w:hint="default"/>
          <w:b/>
          <w:bCs/>
        </w:rPr>
      </w:pPr>
      <w:r>
        <w:rPr>
          <w:rFonts w:ascii="宋体" w:eastAsia="宋体" w:hAnsi="宋体" w:cs="宋体" w:hint="default"/>
          <w:b/>
          <w:bCs/>
          <w:lang w:eastAsia="zh-CN"/>
        </w:rPr>
        <w:t>第二课时</w:t>
      </w:r>
    </w:p>
    <w:p>
      <w:pPr>
        <w:spacing w:line="360" w:lineRule="auto"/>
        <w:jc w:val="both"/>
        <w:rPr>
          <w:rFonts w:ascii="宋体" w:eastAsia="宋体" w:hAnsi="宋体" w:cs="宋体" w:hint="default"/>
          <w:b w:val="0"/>
          <w:bCs w:val="0"/>
        </w:rPr>
      </w:pPr>
      <w:r>
        <w:rPr>
          <w:rFonts w:ascii="宋体" w:eastAsia="宋体" w:hAnsi="宋体" w:cs="宋体" w:hint="default"/>
          <w:b w:val="0"/>
          <w:bCs w:val="0"/>
          <w:lang w:eastAsia="zh-CN"/>
        </w:rPr>
        <w:t>（一）课时目标</w:t>
      </w:r>
    </w:p>
    <w:p>
      <w:pPr>
        <w:spacing w:line="360" w:lineRule="auto"/>
        <w:ind w:firstLine="420" w:firstLineChars="200"/>
        <w:jc w:val="both"/>
        <w:rPr>
          <w:rFonts w:ascii="宋体" w:eastAsia="宋体" w:hAnsi="宋体" w:cs="宋体" w:hint="default"/>
          <w:b w:val="0"/>
          <w:bCs w:val="0"/>
        </w:rPr>
      </w:pPr>
      <w:r>
        <w:rPr>
          <w:rFonts w:ascii="宋体" w:eastAsia="宋体" w:hAnsi="宋体" w:cs="宋体" w:hint="eastAsia"/>
          <w:b w:val="0"/>
          <w:bCs w:val="0"/>
          <w:lang w:val="en-US" w:eastAsia="zh-CN"/>
        </w:rPr>
        <w:t>（1）精读《谈读书》《不求甚解》两篇文章，梳理出文章结构，绘制思维导图。</w:t>
      </w:r>
    </w:p>
    <w:p>
      <w:pPr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default"/>
          <w:b w:val="0"/>
          <w:bCs w:val="0"/>
        </w:rPr>
      </w:pPr>
      <w:r>
        <w:rPr>
          <w:rFonts w:ascii="宋体" w:eastAsia="宋体" w:hAnsi="宋体" w:cs="宋体" w:hint="eastAsia"/>
          <w:b w:val="0"/>
          <w:bCs w:val="0"/>
          <w:lang w:val="en-US" w:eastAsia="zh-CN"/>
        </w:rPr>
        <w:t>（2）对比</w:t>
      </w:r>
      <w:r>
        <w:rPr>
          <w:rFonts w:asciiTheme="minorEastAsia" w:eastAsiaTheme="minorEastAsia" w:hAnsiTheme="minorEastAsia" w:cstheme="minorEastAsia" w:hint="default"/>
          <w:b w:val="0"/>
          <w:bCs w:val="0"/>
          <w:lang w:val="en-US" w:eastAsia="zh-CN"/>
        </w:rPr>
        <w:t>《谈读书》《不求甚解》在主题和论述方面的异同，</w:t>
      </w:r>
      <w:r>
        <w:rPr>
          <w:rFonts w:asciiTheme="minorEastAsia" w:eastAsiaTheme="minorEastAsia" w:hAnsiTheme="minorEastAsia" w:cstheme="minorEastAsia" w:hint="eastAsia"/>
          <w:b w:val="0"/>
          <w:bCs w:val="0"/>
          <w:lang w:val="en-US" w:eastAsia="zh-CN"/>
        </w:rPr>
        <w:t>巩固</w:t>
      </w:r>
      <w:r>
        <w:rPr>
          <w:rFonts w:asciiTheme="minorEastAsia" w:eastAsiaTheme="minorEastAsia" w:hAnsiTheme="minorEastAsia" w:cstheme="minorEastAsia" w:hint="eastAsia"/>
          <w:b w:val="0"/>
          <w:bCs w:val="0"/>
          <w:highlight w:val="none"/>
          <w:lang w:val="en-US" w:eastAsia="zh-CN"/>
        </w:rPr>
        <w:t>一般议论性文章的阅读策略。</w:t>
      </w:r>
    </w:p>
    <w:p>
      <w:pPr>
        <w:spacing w:line="360" w:lineRule="auto"/>
        <w:jc w:val="both"/>
        <w:rPr>
          <w:rFonts w:ascii="宋体" w:eastAsia="宋体" w:hAnsi="宋体" w:cs="宋体" w:hint="eastAsia"/>
          <w:b w:val="0"/>
          <w:bCs w:val="0"/>
        </w:rPr>
      </w:pPr>
      <w:r>
        <w:rPr>
          <w:rFonts w:ascii="宋体" w:eastAsia="宋体" w:hAnsi="宋体" w:cs="宋体" w:hint="eastAsia"/>
          <w:b w:val="0"/>
          <w:bCs w:val="0"/>
          <w:lang w:val="en-US" w:eastAsia="zh-CN"/>
        </w:rPr>
        <w:t>（二）课前准备</w:t>
      </w:r>
    </w:p>
    <w:p>
      <w:pPr>
        <w:spacing w:line="360" w:lineRule="auto"/>
        <w:ind w:firstLine="420" w:firstLineChars="200"/>
        <w:jc w:val="both"/>
        <w:rPr>
          <w:rFonts w:ascii="宋体" w:eastAsia="宋体" w:hAnsi="宋体" w:cs="宋体" w:hint="eastAsia"/>
          <w:b w:val="0"/>
          <w:bCs w:val="0"/>
        </w:rPr>
      </w:pPr>
      <w:r>
        <w:rPr>
          <w:rFonts w:ascii="宋体" w:eastAsia="宋体" w:hAnsi="宋体" w:cs="宋体" w:hint="eastAsia"/>
          <w:b w:val="0"/>
          <w:bCs w:val="0"/>
          <w:lang w:val="en-US" w:eastAsia="zh-CN"/>
        </w:rPr>
        <w:t>课时同步学习单、教用学用拓展资料</w:t>
      </w:r>
    </w:p>
    <w:p>
      <w:pPr>
        <w:spacing w:line="360" w:lineRule="auto"/>
        <w:jc w:val="both"/>
        <w:rPr>
          <w:rFonts w:ascii="宋体" w:eastAsia="宋体" w:hAnsi="宋体" w:cs="宋体" w:hint="eastAsia"/>
          <w:b w:val="0"/>
          <w:bCs w:val="0"/>
        </w:rPr>
      </w:pPr>
      <w:r>
        <w:rPr>
          <w:rFonts w:ascii="宋体" w:eastAsia="宋体" w:hAnsi="宋体" w:cs="宋体" w:hint="eastAsia"/>
          <w:b w:val="0"/>
          <w:bCs w:val="0"/>
          <w:lang w:val="en-US" w:eastAsia="zh-CN"/>
        </w:rPr>
        <w:t>（三）课堂导入</w:t>
      </w:r>
    </w:p>
    <w:p>
      <w:pPr>
        <w:spacing w:line="360" w:lineRule="auto"/>
        <w:ind w:firstLine="420" w:firstLineChars="200"/>
        <w:jc w:val="both"/>
        <w:rPr>
          <w:rFonts w:ascii="宋体" w:eastAsia="宋体" w:hAnsi="宋体" w:cs="宋体" w:hint="eastAsia"/>
          <w:b w:val="0"/>
          <w:bCs w:val="0"/>
        </w:rPr>
      </w:pPr>
      <w:r>
        <w:rPr>
          <w:rFonts w:ascii="宋体" w:eastAsia="宋体" w:hAnsi="宋体" w:cs="宋体" w:hint="eastAsia"/>
          <w:b w:val="0"/>
          <w:bCs w:val="0"/>
          <w:lang w:val="en-US" w:eastAsia="zh-CN"/>
        </w:rPr>
        <w:t>以“思辨之光”焕发“文艺之美”，是我们这一单元的学习主题，也是阅读沙龙活动的目标。它要求我们读完文章后，能了解到作者的观点，并明晰作者是如何进行论证的。我们弄清楚这些问题的过程，也是学会品鉴文艺作品的过程。智慧与挑战之旅，即刻启程。</w:t>
      </w:r>
    </w:p>
    <w:p>
      <w:pPr>
        <w:spacing w:line="360" w:lineRule="auto"/>
        <w:jc w:val="both"/>
        <w:rPr>
          <w:rFonts w:ascii="宋体" w:eastAsia="宋体" w:hAnsi="宋体" w:cs="宋体" w:hint="eastAsia"/>
          <w:b w:val="0"/>
          <w:bCs w:val="0"/>
        </w:rPr>
      </w:pPr>
      <w:r>
        <w:rPr>
          <w:rFonts w:ascii="宋体" w:eastAsia="宋体" w:hAnsi="宋体" w:cs="宋体" w:hint="eastAsia"/>
          <w:b w:val="0"/>
          <w:bCs w:val="0"/>
          <w:lang w:val="en-US" w:eastAsia="zh-CN"/>
        </w:rPr>
        <w:t>（四）完成任务</w:t>
      </w: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  <w:highlight w:val="none"/>
        </w:rPr>
      </w:pPr>
      <w:r>
        <w:rPr>
          <w:rFonts w:ascii="宋体" w:eastAsia="宋体" w:hAnsi="宋体" w:cs="宋体" w:hint="eastAsia"/>
          <w:b w:val="0"/>
          <w:bCs w:val="0"/>
          <w:kern w:val="2"/>
          <w:sz w:val="21"/>
          <w:szCs w:val="24"/>
          <w:highlight w:val="none"/>
          <w:lang w:val="en-US" w:eastAsia="zh-CN" w:bidi="ar-SA"/>
        </w:rPr>
        <w:t>（1）默读《谈读书》《不求甚解》，把握作者观点，圈点勾画文中表达观点的句子，划分层次，利用思维导图梳理文章思路，完成学习单。</w:t>
      </w: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  <w:r>
        <w:rPr>
          <w:rFonts w:ascii="宋体" w:eastAsia="宋体" w:hAnsi="宋体" w:cs="宋体" w:hint="eastAsia"/>
          <w:b w:val="0"/>
          <w:bCs w:val="0"/>
          <w:kern w:val="2"/>
          <w:sz w:val="21"/>
          <w:szCs w:val="24"/>
          <w:lang w:val="en-US" w:eastAsia="zh-CN" w:bidi="ar-SA"/>
        </w:rPr>
        <w:t>《谈读书》思路梳理学习单</w:t>
      </w: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88900</wp:posOffset>
                </wp:positionH>
                <wp:positionV relativeFrom="paragraph">
                  <wp:posOffset>46355</wp:posOffset>
                </wp:positionV>
                <wp:extent cx="5096510" cy="3191510"/>
                <wp:effectExtent l="6350" t="6350" r="21590" b="21590"/>
                <wp:wrapNone/>
                <wp:docPr id="35" name="组合 3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096510" cy="3191510"/>
                          <a:chOff x="2685" y="193160"/>
                          <a:chExt cx="8026" cy="5026"/>
                        </a:xfrm>
                      </wpg:grpSpPr>
                      <wps:wsp xmlns:wps="http://schemas.microsoft.com/office/word/2010/wordprocessingShape">
                        <wps:cNvPr id="14" name="圆角矩形 14"/>
                        <wps:cNvSpPr/>
                        <wps:spPr>
                          <a:xfrm>
                            <a:off x="2685" y="195500"/>
                            <a:ext cx="1650" cy="615"/>
                          </a:xfrm>
                          <a:prstGeom prst="roundRect">
                            <a:avLst/>
                          </a:prstGeom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谈读书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15" name="左大括号 15"/>
                        <wps:cNvSpPr/>
                        <wps:spPr>
                          <a:xfrm>
                            <a:off x="4455" y="193902"/>
                            <a:ext cx="405" cy="3810"/>
                          </a:xfrm>
                          <a:prstGeom prst="leftBrace">
                            <a:avLst>
                              <a:gd name="adj1" fmla="val 89876"/>
                              <a:gd name="adj2" fmla="val 50000"/>
                            </a:avLst>
                          </a:prstGeom>
                        </wps:spPr>
                        <wps:style>
                          <a:lnRef idx="2">
                            <a:prstClr val="black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17" name="圆角矩形 17"/>
                        <wps:cNvSpPr/>
                        <wps:spPr>
                          <a:xfrm>
                            <a:off x="4920" y="197383"/>
                            <a:ext cx="2011" cy="615"/>
                          </a:xfrm>
                          <a:prstGeom prst="round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读书的_________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18" name="圆角矩形 18"/>
                        <wps:cNvSpPr/>
                        <wps:spPr>
                          <a:xfrm>
                            <a:off x="4920" y="195500"/>
                            <a:ext cx="2011" cy="615"/>
                          </a:xfrm>
                          <a:prstGeom prst="round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读书的_________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19" name="圆角矩形 19"/>
                        <wps:cNvSpPr/>
                        <wps:spPr>
                          <a:xfrm>
                            <a:off x="4905" y="193557"/>
                            <a:ext cx="2011" cy="615"/>
                          </a:xfrm>
                          <a:prstGeom prst="round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读书的_________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20" name="左大括号 20"/>
                        <wps:cNvSpPr/>
                        <wps:spPr>
                          <a:xfrm>
                            <a:off x="7005" y="193160"/>
                            <a:ext cx="255" cy="1410"/>
                          </a:xfrm>
                          <a:prstGeom prst="leftBrace">
                            <a:avLst>
                              <a:gd name="adj1" fmla="val 38024"/>
                              <a:gd name="adj2" fmla="val 50000"/>
                            </a:avLst>
                          </a:prstGeom>
                        </wps:spPr>
                        <wps:style>
                          <a:lnRef idx="2">
                            <a:prstClr val="black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21" name="左大括号 21"/>
                        <wps:cNvSpPr/>
                        <wps:spPr>
                          <a:xfrm>
                            <a:off x="7005" y="194735"/>
                            <a:ext cx="210" cy="2145"/>
                          </a:xfrm>
                          <a:prstGeom prst="leftBrace">
                            <a:avLst>
                              <a:gd name="adj1" fmla="val 56543"/>
                              <a:gd name="adj2" fmla="val 50000"/>
                            </a:avLst>
                          </a:prstGeom>
                        </wps:spPr>
                        <wps:style>
                          <a:lnRef idx="2">
                            <a:prstClr val="black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22" name="左大括号 22"/>
                        <wps:cNvSpPr/>
                        <wps:spPr>
                          <a:xfrm>
                            <a:off x="7005" y="197196"/>
                            <a:ext cx="270" cy="990"/>
                          </a:xfrm>
                          <a:prstGeom prst="leftBrace">
                            <a:avLst>
                              <a:gd name="adj1" fmla="val 30617"/>
                              <a:gd name="adj2" fmla="val 50000"/>
                            </a:avLst>
                          </a:prstGeom>
                        </wps:spPr>
                        <wps:style>
                          <a:lnRef idx="2">
                            <a:prstClr val="black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23" name="矩形 23"/>
                        <wps:cNvSpPr/>
                        <wps:spPr>
                          <a:xfrm>
                            <a:off x="7290" y="193160"/>
                            <a:ext cx="975" cy="42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①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24" name="矩形 24"/>
                        <wps:cNvSpPr/>
                        <wps:spPr>
                          <a:xfrm>
                            <a:off x="7290" y="193655"/>
                            <a:ext cx="975" cy="42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highlight w:val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highlight w:val="none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傅彩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25" name="矩形 25"/>
                        <wps:cNvSpPr/>
                        <wps:spPr>
                          <a:xfrm>
                            <a:off x="7290" y="194150"/>
                            <a:ext cx="975" cy="42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26" name="矩形 26"/>
                        <wps:cNvSpPr/>
                        <wps:spPr>
                          <a:xfrm>
                            <a:off x="7290" y="194735"/>
                            <a:ext cx="975" cy="42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选读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27" name="矩形 27"/>
                        <wps:cNvSpPr/>
                        <wps:spPr>
                          <a:xfrm>
                            <a:off x="7290" y="195310"/>
                            <a:ext cx="975" cy="42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③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28" name="矩形 28"/>
                        <wps:cNvSpPr/>
                        <wps:spPr>
                          <a:xfrm>
                            <a:off x="7290" y="195885"/>
                            <a:ext cx="975" cy="42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29" name="矩形 29"/>
                        <wps:cNvSpPr/>
                        <wps:spPr>
                          <a:xfrm>
                            <a:off x="7290" y="196460"/>
                            <a:ext cx="975" cy="42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摘要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30" name="矩形 30"/>
                        <wps:cNvSpPr/>
                        <wps:spPr>
                          <a:xfrm>
                            <a:off x="7290" y="197196"/>
                            <a:ext cx="1154" cy="45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塑造性格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31" name="矩形 31"/>
                        <wps:cNvSpPr/>
                        <wps:spPr>
                          <a:xfrm>
                            <a:off x="7290" y="197736"/>
                            <a:ext cx="1154" cy="45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⑤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32" name="矩形 32"/>
                        <wps:cNvSpPr/>
                        <wps:spPr>
                          <a:xfrm>
                            <a:off x="8505" y="193618"/>
                            <a:ext cx="2206" cy="494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default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论证方法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u w:val="single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33" name="矩形 33"/>
                        <wps:cNvSpPr/>
                        <wps:spPr>
                          <a:xfrm>
                            <a:off x="8505" y="195561"/>
                            <a:ext cx="2206" cy="494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论证方法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u w:val="single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34" name="矩形 34"/>
                        <wps:cNvSpPr/>
                        <wps:spPr>
                          <a:xfrm>
                            <a:off x="8505" y="197444"/>
                            <a:ext cx="2206" cy="494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论证方法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u w:val="single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5" o:spid="_x0000_s1028" style="width:403.5pt;height:253.5pt;margin-top:3.65pt;margin-left:7pt;mso-wrap-distance-bottom:0;mso-wrap-distance-left:9pt;mso-wrap-distance-right:9pt;mso-wrap-distance-top:0;position:absolute;z-index:251668480" coordorigin="7226,830134" coordsize="21600,21600">
                <v:roundrect id="_x0000_s1029" style="width:4441;height:2643;left:7226;position:absolute;top:840191;v-text-anchor:middle" arcsize="10923f" fillcolor="#fdd860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谈读书</w:t>
                        </w:r>
                      </w:p>
                    </w:txbxContent>
                  </v:textbox>
                </v:roundrect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_x0000_s1030" type="#_x0000_t87" style="width:1090;height:16374;left:11990;position:absolute;top:833323;v-text-anchor:top" filled="t" fillcolor="this" stroked="t" strokecolor="black" strokeweight="1pt"/>
                <v:roundrect id="_x0000_s1031" style="width:5412;height:2643;left:13241;position:absolute;top:848283;v-text-anchor:middle" arcsize="10923f" fillcolor="#fee693" stroked="t" strokecolor="black" strokeweight="1pt">
                  <v:textbox>
                    <w:txbxContent>
                      <w:p>
                        <w:pPr>
                          <w:jc w:val="left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读书的_________</w:t>
                        </w:r>
                      </w:p>
                    </w:txbxContent>
                  </v:textbox>
                </v:roundrect>
                <v:roundrect id="_x0000_s1032" style="width:5412;height:2643;left:13241;position:absolute;top:840191;v-text-anchor:middle" arcsize="10923f" fillcolor="#fee693" stroked="t" strokecolor="black" strokeweight="1pt">
                  <v:textbox>
                    <w:txbxContent>
                      <w:p>
                        <w:pPr>
                          <w:jc w:val="left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读书的_________</w:t>
                        </w:r>
                      </w:p>
                    </w:txbxContent>
                  </v:textbox>
                </v:roundrect>
                <v:roundrect id="_x0000_s1033" style="width:5412;height:2643;left:13201;position:absolute;top:831841;v-text-anchor:middle" arcsize="10923f" fillcolor="#fee693" stroked="t" strokecolor="black" strokeweight="1pt">
                  <v:textbox>
                    <w:txbxContent>
                      <w:p>
                        <w:pPr>
                          <w:jc w:val="left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读书的_________</w:t>
                        </w:r>
                      </w:p>
                    </w:txbxContent>
                  </v:textbox>
                </v:roundrect>
                <v:shape id="_x0000_s1034" type="#_x0000_t87" style="width:686;height:6060;left:18852;position:absolute;top:830135;v-text-anchor:top" filled="t" fillcolor="this" stroked="t" strokecolor="black" strokeweight="1pt"/>
                <v:shape id="_x0000_s1035" type="#_x0000_t87" style="width:565;height:9218;left:18852;position:absolute;top:836903;v-text-anchor:top" filled="t" fillcolor="this" stroked="t" strokecolor="black" strokeweight="1pt"/>
                <v:shape id="_x0000_s1036" type="#_x0000_t87" style="width:727;height:4255;left:18852;position:absolute;top:847480;v-text-anchor:top" filled="t" fillcolor="this" stroked="t" strokecolor="black" strokeweight="1pt"/>
                <v:shape id="_x0000_s1037" type="#_x0000_t202" style="width:2624;height:1805;left:19619;position:absolute;top:830135;v-text-anchor:middle" fillcolor="#fef2c9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①</w:t>
                        </w:r>
                      </w:p>
                    </w:txbxContent>
                  </v:textbox>
                </v:shape>
                <v:shape id="_x0000_s1038" type="#_x0000_t202" style="width:2624;height:1805;left:19619;position:absolute;top:832262;v-text-anchor:middle" fillcolor="#fef2c9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  <w:highlight w:val="none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highlight w:val="none"/>
                            <w:lang w:val="en-US" w:eastAsia="zh-CN"/>
                          </w:rPr>
                          <w:t>傅彩</w:t>
                        </w:r>
                      </w:p>
                    </w:txbxContent>
                  </v:textbox>
                </v:shape>
                <v:shape id="_x0000_s1039" type="#_x0000_t202" style="width:2624;height:1805;left:19619;position:absolute;top:834389;v-text-anchor:middle" fillcolor="#fef2c9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②</w:t>
                        </w:r>
                      </w:p>
                    </w:txbxContent>
                  </v:textbox>
                </v:shape>
                <v:shape id="_x0000_s1040" type="#_x0000_t202" style="width:2624;height:1805;left:19619;position:absolute;top:836903;v-text-anchor:middle" fillcolor="#fef2c9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选读</w:t>
                        </w:r>
                      </w:p>
                    </w:txbxContent>
                  </v:textbox>
                </v:shape>
                <v:shape id="_x0000_s1041" type="#_x0000_t202" style="width:2624;height:1805;left:19619;position:absolute;top:839374;v-text-anchor:middle" fillcolor="#fef2c9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③</w:t>
                        </w:r>
                      </w:p>
                    </w:txbxContent>
                  </v:textbox>
                </v:shape>
                <v:shape id="_x0000_s1042" type="#_x0000_t202" style="width:2624;height:1805;left:19619;position:absolute;top:841846;v-text-anchor:middle" fillcolor="#fef2c9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④</w:t>
                        </w:r>
                      </w:p>
                    </w:txbxContent>
                  </v:textbox>
                </v:shape>
                <v:shape id="_x0000_s1043" type="#_x0000_t202" style="width:2624;height:1805;left:19619;position:absolute;top:844317;v-text-anchor:middle" fillcolor="#fef2c9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摘要</w:t>
                        </w:r>
                      </w:p>
                    </w:txbxContent>
                  </v:textbox>
                </v:shape>
                <v:shape id="_x0000_s1044" type="#_x0000_t202" style="width:3106;height:1934;left:19619;position:absolute;top:847480;v-text-anchor:middle" fillcolor="#fef2c9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塑造性格</w:t>
                        </w:r>
                      </w:p>
                    </w:txbxContent>
                  </v:textbox>
                </v:shape>
                <v:shape id="_x0000_s1045" type="#_x0000_t202" style="width:3106;height:1934;left:19619;position:absolute;top:849801;v-text-anchor:middle" fillcolor="#fef2c9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⑤</w:t>
                        </w:r>
                      </w:p>
                    </w:txbxContent>
                  </v:textbox>
                </v:shape>
                <v:shape id="_x0000_s1046" type="#_x0000_t202" style="width:5937;height:2123;left:22889;position:absolute;top:832103;v-text-anchor:middle" fillcolor="#abd78c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default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论证方法</w:t>
                        </w: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u w:val="single"/>
                            <w:lang w:val="en-US" w:eastAsia="zh-CN"/>
                          </w:rPr>
                          <w:t>⑥</w:t>
                        </w:r>
                      </w:p>
                    </w:txbxContent>
                  </v:textbox>
                </v:shape>
                <v:shape id="_x0000_s1047" type="#_x0000_t202" style="width:5937;height:2123;left:22889;position:absolute;top:840453;v-text-anchor:middle" fillcolor="#abd78c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hint="default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论证方法</w:t>
                        </w: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u w:val="single"/>
                            <w:lang w:val="en-US" w:eastAsia="zh-CN"/>
                          </w:rPr>
                          <w:t>⑦</w:t>
                        </w:r>
                      </w:p>
                    </w:txbxContent>
                  </v:textbox>
                </v:shape>
                <v:shape id="_x0000_s1048" type="#_x0000_t202" style="width:5937;height:2123;left:22889;position:absolute;top:848546;v-text-anchor:middle" fillcolor="#abd78c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论证方法</w:t>
                        </w: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u w:val="single"/>
                            <w:lang w:val="en-US" w:eastAsia="zh-CN"/>
                          </w:rPr>
                          <w:t>⑧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  <w:r>
        <w:rPr>
          <w:rFonts w:ascii="宋体" w:eastAsia="宋体" w:hAnsi="宋体" w:cs="宋体" w:hint="eastAsia"/>
          <w:b w:val="0"/>
          <w:bCs w:val="0"/>
          <w:kern w:val="2"/>
          <w:sz w:val="21"/>
          <w:szCs w:val="24"/>
          <w:lang w:val="en-US" w:eastAsia="zh-CN" w:bidi="ar-SA"/>
        </w:rPr>
        <w:t>参考：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  <w:highlight w:val="none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highlight w:val="none"/>
          <w:lang w:val="en-US" w:eastAsia="zh-CN" w:bidi="ar-SA"/>
        </w:rPr>
        <w:t>①怡情  ②长才  ③浏览  ④精读  ⑤弥补缺陷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  <w:highlight w:val="none"/>
        </w:rPr>
        <w:sectPr>
          <w:headerReference w:type="default" r:id="rId23"/>
          <w:footerReference w:type="default" r:id="rId24"/>
          <w:type w:val="nextPage"/>
          <w:pgSz w:w="11906" w:h="16838"/>
          <w:pgMar w:top="1440" w:right="1800" w:bottom="1440" w:left="1800" w:header="851" w:footer="992" w:gutter="0"/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highlight w:val="none"/>
          <w:lang w:val="en-US" w:eastAsia="zh-CN" w:bidi="ar-SA"/>
        </w:rPr>
        <w:t>⑥比喻论证和对比论证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——“读书补天然之不足，经验又补读书之不足，盖天生才干犹如自然花草，读书然后知如何修剪移接。”用“自然花草”比喻人天生的才干，“修剪移接”比喻读书学习，形象地论证了读书和经验的作用及其相互关系，通俗易懂。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——“狡黠者鄙读书，无知者羡读书，唯明智之士用读书。”中，用“鄙”“羡”“用”三个字，极为准确而又深刻地分析了不同人对读书的不同态度，通过对比突出了正确的读书目的——用书，增强了文章的说服力。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⑦比喻论证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——“否则书经提炼犹如水经蒸馏，味同嚼蜡矣。”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  <w:highlight w:val="none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⑧比喻论证和举</w:t>
      </w: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highlight w:val="none"/>
          <w:lang w:val="en-US" w:eastAsia="zh-CN" w:bidi="ar-SA"/>
        </w:rPr>
        <w:t>例论证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——论证读书可以弥补精神上的缺陷，就像运动袪除身体百病一样；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——列举了各门学科知识的作用，最后作结：“如此头脑中凡有缺陷，皆有特药可医。”</w:t>
      </w: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  <w:r>
        <w:rPr>
          <w:rFonts w:ascii="宋体" w:eastAsia="宋体" w:hAnsi="宋体" w:cs="宋体" w:hint="eastAsia"/>
          <w:b w:val="0"/>
          <w:bCs w:val="0"/>
          <w:kern w:val="2"/>
          <w:sz w:val="21"/>
          <w:szCs w:val="24"/>
          <w:lang w:val="en-US" w:eastAsia="zh-CN" w:bidi="ar-SA"/>
        </w:rPr>
        <w:t>《不求甚解》思路梳理学习单</w:t>
      </w: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-367665</wp:posOffset>
                </wp:positionH>
                <wp:positionV relativeFrom="paragraph">
                  <wp:posOffset>82550</wp:posOffset>
                </wp:positionV>
                <wp:extent cx="6009640" cy="3086100"/>
                <wp:effectExtent l="6350" t="6350" r="22860" b="12700"/>
                <wp:wrapNone/>
                <wp:docPr id="54" name="组合 5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009640" cy="3086100"/>
                          <a:chOff x="2881" y="209009"/>
                          <a:chExt cx="9464" cy="4860"/>
                        </a:xfrm>
                      </wpg:grpSpPr>
                      <wps:wsp xmlns:wps="http://schemas.microsoft.com/office/word/2010/wordprocessingShape">
                        <wps:cNvPr id="36" name="圆角矩形 36"/>
                        <wps:cNvSpPr/>
                        <wps:spPr>
                          <a:xfrm>
                            <a:off x="2881" y="211101"/>
                            <a:ext cx="1531" cy="675"/>
                          </a:xfrm>
                          <a:prstGeom prst="roundRect">
                            <a:avLst/>
                          </a:prstGeom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不求甚解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37" name="左大括号 37"/>
                        <wps:cNvSpPr/>
                        <wps:spPr>
                          <a:xfrm>
                            <a:off x="4576" y="209009"/>
                            <a:ext cx="224" cy="4860"/>
                          </a:xfrm>
                          <a:prstGeom prst="leftBrace">
                            <a:avLst>
                              <a:gd name="adj1" fmla="val 136607"/>
                              <a:gd name="adj2" fmla="val 50000"/>
                            </a:avLst>
                          </a:prstGeom>
                        </wps:spPr>
                        <wps:style>
                          <a:lnRef idx="2">
                            <a:prstClr val="black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38" name="圆角矩形 38"/>
                        <wps:cNvSpPr/>
                        <wps:spPr>
                          <a:xfrm>
                            <a:off x="4846" y="209009"/>
                            <a:ext cx="1051" cy="570"/>
                          </a:xfrm>
                          <a:prstGeom prst="round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树靶子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39" name="圆角矩形 39"/>
                        <wps:cNvSpPr/>
                        <wps:spPr>
                          <a:xfrm>
                            <a:off x="4846" y="211154"/>
                            <a:ext cx="1051" cy="570"/>
                          </a:xfrm>
                          <a:prstGeom prst="round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打靶子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40" name="圆角矩形 40"/>
                        <wps:cNvSpPr/>
                        <wps:spPr>
                          <a:xfrm>
                            <a:off x="4846" y="213299"/>
                            <a:ext cx="1051" cy="570"/>
                          </a:xfrm>
                          <a:prstGeom prst="round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立观点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42" name="右箭头 42"/>
                        <wps:cNvSpPr/>
                        <wps:spPr>
                          <a:xfrm>
                            <a:off x="6046" y="209159"/>
                            <a:ext cx="285" cy="270"/>
                          </a:xfrm>
                          <a:prstGeom prst="rightArrow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43" name="右箭头 43"/>
                        <wps:cNvSpPr/>
                        <wps:spPr>
                          <a:xfrm>
                            <a:off x="6046" y="213449"/>
                            <a:ext cx="285" cy="270"/>
                          </a:xfrm>
                          <a:prstGeom prst="rightArrow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44" name="矩形 44"/>
                        <wps:cNvSpPr/>
                        <wps:spPr>
                          <a:xfrm>
                            <a:off x="6481" y="209039"/>
                            <a:ext cx="3660" cy="51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①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45" name="矩形 45"/>
                        <wps:cNvSpPr/>
                        <wps:spPr>
                          <a:xfrm>
                            <a:off x="6481" y="213329"/>
                            <a:ext cx="3660" cy="51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46" name="左大括号 46"/>
                        <wps:cNvSpPr/>
                        <wps:spPr>
                          <a:xfrm>
                            <a:off x="6166" y="209721"/>
                            <a:ext cx="165" cy="3451"/>
                          </a:xfrm>
                          <a:prstGeom prst="leftBrace">
                            <a:avLst>
                              <a:gd name="adj1" fmla="val 153939"/>
                              <a:gd name="adj2" fmla="val 50000"/>
                            </a:avLst>
                          </a:prstGeom>
                        </wps:spPr>
                        <wps:style>
                          <a:lnRef idx="2">
                            <a:prstClr val="black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47" name="矩形 47"/>
                        <wps:cNvSpPr/>
                        <wps:spPr>
                          <a:xfrm>
                            <a:off x="6481" y="210310"/>
                            <a:ext cx="3660" cy="51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48" name="矩形 48"/>
                        <wps:cNvSpPr/>
                        <wps:spPr>
                          <a:xfrm>
                            <a:off x="6481" y="209721"/>
                            <a:ext cx="3660" cy="51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highlight w:val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highlight w:val="none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摆出曲解“不求甚解”的读书态度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49" name="矩形 49"/>
                        <wps:cNvSpPr/>
                        <wps:spPr>
                          <a:xfrm>
                            <a:off x="6481" y="210899"/>
                            <a:ext cx="3660" cy="51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指出“不求甚解”的含义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50" name="矩形 50"/>
                        <wps:cNvSpPr/>
                        <wps:spPr>
                          <a:xfrm>
                            <a:off x="6481" y="211488"/>
                            <a:ext cx="3660" cy="51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③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51" name="矩形 51"/>
                        <wps:cNvSpPr/>
                        <wps:spPr>
                          <a:xfrm>
                            <a:off x="6481" y="212077"/>
                            <a:ext cx="3660" cy="51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用（④）来阐述“不求甚解”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52" name="矩形 52"/>
                        <wps:cNvSpPr/>
                        <wps:spPr>
                          <a:xfrm>
                            <a:off x="6481" y="212666"/>
                            <a:ext cx="3660" cy="51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引用（⑤）的话，论证（⑥）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53" name="矩形 53"/>
                        <wps:cNvSpPr/>
                        <wps:spPr>
                          <a:xfrm>
                            <a:off x="10231" y="211131"/>
                            <a:ext cx="2115" cy="61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论证方法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color w:val="000000" w:themeColor="text1"/>
                                  <w:u w:val="single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4" o:spid="_x0000_s1049" style="width:475.5pt;height:244.5pt;margin-top:6.5pt;margin-left:-28.95pt;mso-wrap-distance-bottom:0;mso-wrap-distance-left:9pt;mso-wrap-distance-right:9pt;mso-wrap-distance-top:0;position:absolute;z-index:251670528" coordorigin="6575,928928" coordsize="21600,21600">
                <v:roundrect id="_x0000_s1050" style="width:3494;height:3000;left:6575;position:absolute;top:938227;v-text-anchor:middle" arcsize="10923f" fillcolor="#fdd860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不求甚解</w:t>
                        </w:r>
                      </w:p>
                    </w:txbxContent>
                  </v:textbox>
                </v:roundrect>
                <v:shape id="_x0000_s1051" type="#_x0000_t87" style="width:511;height:21600;left:10444;position:absolute;top:928929;v-text-anchor:top" filled="t" fillcolor="this" stroked="t" strokecolor="black" strokeweight="1pt"/>
                <v:roundrect id="_x0000_s1052" style="width:2399;height:2533;left:11060;position:absolute;top:928929;v-text-anchor:middle" arcsize="10923f" fillcolor="#fee693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树靶子</w:t>
                        </w:r>
                      </w:p>
                    </w:txbxContent>
                  </v:textbox>
                </v:roundrect>
                <v:roundrect id="_x0000_s1053" style="width:2399;height:2533;left:11060;position:absolute;top:938462;v-text-anchor:middle" arcsize="10923f" fillcolor="#fee693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打靶子</w:t>
                        </w:r>
                      </w:p>
                    </w:txbxContent>
                  </v:textbox>
                </v:roundrect>
                <v:roundrect id="_x0000_s1054" style="width:2399;height:2533;left:11060;position:absolute;top:947996;v-text-anchor:middle" arcsize="10923f" fillcolor="#fee693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立观点</w:t>
                        </w:r>
                      </w:p>
                    </w:txbxContent>
                  </v:textbox>
                </v:roundre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0000_s1055" type="#_x0000_t13" style="width:650;height:1200;left:13799;position:absolute;top:929596;v-text-anchor:middle" adj="11368" fillcolor="black" stroked="t" strokecolor="black" strokeweight="1pt"/>
                <v:shape id="_x0000_s1056" type="#_x0000_t13" style="width:650;height:1200;left:13799;position:absolute;top:948662;v-text-anchor:middle" adj="11368" fillcolor="black" stroked="t" strokecolor="black" strokeweight="1pt"/>
                <v:shape id="_x0000_s1057" type="#_x0000_t202" style="width:8353;height:2267;left:14792;position:absolute;top:929062;v-text-anchor:middle" fillcolor="#fef2c9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color w:val="000000" w:themeColor="text1"/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lang w:val="en-US" w:eastAsia="zh-CN"/>
                          </w:rPr>
                          <w:t>①</w:t>
                        </w:r>
                      </w:p>
                    </w:txbxContent>
                  </v:textbox>
                </v:shape>
                <v:shape id="_x0000_s1058" type="#_x0000_t202" style="width:8353;height:2267;left:14792;position:absolute;top:948129;v-text-anchor:middle" fillcolor="#fef2c9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hint="default"/>
                            <w:color w:val="000000" w:themeColor="text1"/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lang w:val="en-US" w:eastAsia="zh-CN"/>
                          </w:rPr>
                          <w:t>⑦</w:t>
                        </w:r>
                      </w:p>
                    </w:txbxContent>
                  </v:textbox>
                </v:shape>
                <v:shape id="_x0000_s1059" type="#_x0000_t87" style="width:377;height:15338;left:14073;position:absolute;top:932093;v-text-anchor:top" filled="t" fillcolor="this" stroked="t" strokecolor="black" strokeweight="1pt"/>
                <v:shape id="_x0000_s1060" type="#_x0000_t202" style="width:8353;height:2267;left:14792;position:absolute;top:934711;v-text-anchor:middle" fillcolor="#fef2c9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hint="default"/>
                            <w:color w:val="000000" w:themeColor="text1"/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lang w:val="en-US" w:eastAsia="zh-CN"/>
                          </w:rPr>
                          <w:t>②</w:t>
                        </w:r>
                      </w:p>
                    </w:txbxContent>
                  </v:textbox>
                </v:shape>
                <v:shape id="_x0000_s1061" type="#_x0000_t202" style="width:8353;height:2267;left:14792;position:absolute;top:932093;v-text-anchor:middle" fillcolor="#fef2c9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  <w:highlight w:val="none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highlight w:val="none"/>
                            <w:lang w:val="en-US" w:eastAsia="zh-CN"/>
                          </w:rPr>
                          <w:t>摆出曲解“不求甚解”的读书态度</w:t>
                        </w:r>
                      </w:p>
                    </w:txbxContent>
                  </v:textbox>
                </v:shape>
                <v:shape id="_x0000_s1062" type="#_x0000_t202" style="width:8353;height:2267;left:14792;position:absolute;top:937329;v-text-anchor:middle" fillcolor="#fef2c9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指出“不求甚解”的含义</w:t>
                        </w:r>
                      </w:p>
                    </w:txbxContent>
                  </v:textbox>
                </v:shape>
                <v:shape id="_x0000_s1063" type="#_x0000_t202" style="width:8353;height:2267;left:14792;position:absolute;top:939947;v-text-anchor:middle" fillcolor="#fef2c9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hint="default"/>
                            <w:color w:val="000000" w:themeColor="text1"/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lang w:val="en-US" w:eastAsia="zh-CN"/>
                          </w:rPr>
                          <w:t>③</w:t>
                        </w:r>
                      </w:p>
                    </w:txbxContent>
                  </v:textbox>
                </v:shape>
                <v:shape id="_x0000_s1064" type="#_x0000_t202" style="width:8353;height:2267;left:14792;position:absolute;top:942564;v-text-anchor:middle" fillcolor="#fef2c9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用（④）来阐述“不求甚解”</w:t>
                        </w:r>
                      </w:p>
                    </w:txbxContent>
                  </v:textbox>
                </v:shape>
                <v:shape id="_x0000_s1065" type="#_x0000_t202" style="width:8353;height:2267;left:14792;position:absolute;top:945182;v-text-anchor:middle" fillcolor="#fef2c9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引用（⑤）的话，论证（⑥）</w:t>
                        </w:r>
                      </w:p>
                    </w:txbxContent>
                  </v:textbox>
                </v:shape>
                <v:shape id="_x0000_s1066" type="#_x0000_t202" style="width:4827;height:2733;left:23351;position:absolute;top:938360;v-text-anchor:middle" fillcolor="#abd78c" stroked="t" strokecolor="black" strokeweight="1pt">
                  <v:textbox>
                    <w:txbxContent>
                      <w:p>
                        <w:pPr>
                          <w:jc w:val="center"/>
                          <w:rPr>
                            <w:rFonts w:ascii="宋体" w:eastAsia="宋体" w:hAnsi="宋体" w:cs="宋体" w:hint="eastAsia"/>
                            <w:color w:val="000000" w:themeColor="text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lang w:val="en-US" w:eastAsia="zh-CN"/>
                          </w:rPr>
                          <w:t>论证方法</w:t>
                        </w: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u w:val="single"/>
                            <w:lang w:val="en-US" w:eastAsia="zh-CN"/>
                          </w:rPr>
                          <w:t>⑧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  <w:r>
        <w:rPr>
          <w:rFonts w:ascii="宋体" w:eastAsia="宋体" w:hAnsi="宋体" w:cs="宋体" w:hint="eastAsia"/>
          <w:b w:val="0"/>
          <w:bCs w:val="0"/>
          <w:kern w:val="2"/>
          <w:sz w:val="21"/>
          <w:szCs w:val="24"/>
          <w:lang w:val="en-US" w:eastAsia="zh-CN" w:bidi="ar-SA"/>
        </w:rPr>
        <w:t>参考：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①</w:t>
      </w: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highlight w:val="none"/>
          <w:lang w:val="en-US" w:eastAsia="zh-CN" w:bidi="ar-SA"/>
        </w:rPr>
        <w:t>对任何问题不求甚解都是不好的  ②</w:t>
      </w: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全面分析陶渊明的读书态度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③提倡虚心的“不求甚解”读书态度  ④诸葛亮  ⑤陆象山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⑥对“不求甚解”解释的正确性  ⑦重要的书要反复读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  <w:highlight w:val="none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⑧引</w:t>
      </w: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highlight w:val="none"/>
          <w:lang w:val="en-US" w:eastAsia="zh-CN" w:bidi="ar-SA"/>
        </w:rPr>
        <w:t>用论证（或道理论证）</w:t>
      </w: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、举例论证、</w:t>
      </w: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highlight w:val="none"/>
          <w:lang w:val="en-US" w:eastAsia="zh-CN" w:bidi="ar-SA"/>
        </w:rPr>
        <w:t>对比论证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  <w:sectPr>
          <w:headerReference w:type="default" r:id="rId25"/>
          <w:footerReference w:type="default" r:id="rId26"/>
          <w:type w:val="nextPage"/>
          <w:pgSz w:w="11906" w:h="16838"/>
          <w:pgMar w:top="1440" w:right="1800" w:bottom="1440" w:left="1800" w:header="851" w:footer="992" w:gutter="0"/>
          <w:pgNumType w:fmt="decimal" w:start="9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——引用陶渊明“好读书，不求甚解；每有会意，便欣然忘食”引出论题，并加以分析，提出自己的观点。引用陆象山的语录强调不因小失大，再次论证“不求甚解”。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——举普列汉诺夫的例子，从反面证明读书一定要虚心，不要死抠字句，而要理解精神实质。举诸葛亮读书“观其大略”的例子，正面证明“不求甚解”比“务于精熟”高明，知识面更广，了解问题更全面。</w:t>
      </w:r>
    </w:p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  <w:r>
        <w:rPr>
          <w:rFonts w:ascii="宋体" w:eastAsia="宋体" w:hAnsi="宋体" w:cs="宋体" w:hint="eastAsia"/>
          <w:b w:val="0"/>
          <w:bCs w:val="0"/>
          <w:kern w:val="2"/>
          <w:sz w:val="21"/>
          <w:szCs w:val="24"/>
          <w:lang w:val="en-US" w:eastAsia="zh-CN" w:bidi="ar-SA"/>
        </w:rPr>
        <w:t>（2）阅读比较《谈读书》《不求甚解》，谈谈它们在论述角度、写作方法、论证方法上的异同，完成学习单。</w:t>
      </w:r>
    </w:p>
    <w:p>
      <w:pPr>
        <w:spacing w:line="360" w:lineRule="auto"/>
        <w:ind w:firstLine="420" w:firstLineChars="200"/>
        <w:rPr>
          <w:rFonts w:ascii="宋体" w:eastAsia="宋体" w:hAnsi="宋体" w:cs="宋体" w:hint="default"/>
          <w:b w:val="0"/>
          <w:bCs w:val="0"/>
        </w:rPr>
      </w:pPr>
      <w:r>
        <w:rPr>
          <w:rFonts w:ascii="宋体" w:eastAsia="宋体" w:hAnsi="宋体" w:cs="宋体" w:hint="eastAsia"/>
          <w:b w:val="0"/>
          <w:bCs w:val="0"/>
          <w:kern w:val="2"/>
          <w:sz w:val="21"/>
          <w:szCs w:val="24"/>
          <w:lang w:val="en-US" w:eastAsia="zh-CN" w:bidi="ar-SA"/>
        </w:rPr>
        <w:t>短文两篇比较阅读学习单</w:t>
      </w:r>
    </w:p>
    <w:tbl>
      <w:tblPr>
        <w:tblStyle w:val="TableGrid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245"/>
        <w:gridCol w:w="3004"/>
        <w:gridCol w:w="300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/>
        </w:trPr>
        <w:tc>
          <w:tcPr>
            <w:tcW w:w="2514" w:type="dxa"/>
            <w:gridSpan w:val="2"/>
          </w:tcPr>
          <w:p>
            <w:pPr>
              <w:spacing w:line="360" w:lineRule="auto"/>
              <w:rPr>
                <w:rFonts w:ascii="宋体" w:eastAsia="宋体" w:hAnsi="宋体" w:cs="宋体" w:hint="eastAsia"/>
                <w:b w:val="0"/>
                <w:bCs w:val="0"/>
                <w:vertAlign w:val="baseline"/>
              </w:rPr>
            </w:pPr>
            <w:r>
              <w:rPr>
                <w:sz w:val="21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-2540</wp:posOffset>
                      </wp:positionV>
                      <wp:extent cx="1590040" cy="455930"/>
                      <wp:effectExtent l="1905" t="0" r="8255" b="1270"/>
                      <wp:wrapNone/>
                      <wp:docPr id="55" name="组合 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1590040" cy="455930"/>
                                <a:chOff x="9585" y="219349"/>
                                <a:chExt cx="2504" cy="718"/>
                              </a:xfrm>
                            </wpg:grpSpPr>
                            <wps:wsp xmlns:wps="http://schemas.microsoft.com/office/word/2010/wordprocessingShape">
                              <wps:cNvPr id="5" name="直接连接符 5"/>
                              <wps:cNvCnPr/>
                              <wps:spPr>
                                <a:xfrm>
                                  <a:off x="9585" y="219379"/>
                                  <a:ext cx="2505" cy="6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3">
                                  <a:prstClr val="black"/>
                                </a:lnRef>
                                <a:fillRef idx="0">
                                  <a:srgbClr val="FFFFFF"/>
                                </a:fillRef>
                                <a:effectRef idx="0">
                                  <a:srgbClr val="FFFFFF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" name="文本框 16"/>
                              <wps:cNvSpPr txBox="1"/>
                              <wps:spPr>
                                <a:xfrm>
                                  <a:off x="10995" y="219349"/>
                                  <a:ext cx="1080" cy="4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eastAsia="宋体" w:hAnsi="宋体" w:cs="宋体" w:hint="eastAsia"/>
                                      </w:rPr>
                                    </w:pPr>
                                    <w:r>
                                      <w:rPr>
                                        <w:rFonts w:ascii="宋体" w:eastAsia="宋体" w:hAnsi="宋体" w:cs="宋体" w:hint="eastAsia"/>
                                        <w:lang w:val="en-US" w:eastAsia="zh-CN"/>
                                      </w:rPr>
                                      <w:t>课文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numCol="1" spcCol="0" rtlCol="0" fromWordArt="0" anchor="t" anchorCtr="0" forceAA="0" compatLnSpc="1"/>
                            </wps:wsp>
                            <wps:wsp xmlns:wps="http://schemas.microsoft.com/office/word/2010/wordprocessingShape">
                              <wps:cNvPr id="41" name="文本框 41"/>
                              <wps:cNvSpPr txBox="1"/>
                              <wps:spPr>
                                <a:xfrm>
                                  <a:off x="9600" y="219649"/>
                                  <a:ext cx="1080" cy="4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eastAsia="宋体" w:hAnsi="宋体" w:cs="宋体" w:hint="default"/>
                                      </w:rPr>
                                    </w:pPr>
                                    <w:r>
                                      <w:rPr>
                                        <w:rFonts w:ascii="宋体" w:eastAsia="宋体" w:hAnsi="宋体" w:cs="宋体" w:hint="eastAsia"/>
                                        <w:lang w:val="en-US" w:eastAsia="zh-CN"/>
                                      </w:rPr>
                                      <w:t>要点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numCol="1" spcCol="0" rtlCol="0" fromWordArt="0" anchor="t" anchorCtr="0" forceAA="0" compatLnSpc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55" o:spid="_x0000_s1067" style="width:126pt;height:36pt;margin-top:-0.2pt;margin-left:-5.7pt;mso-wrap-distance-bottom:0;mso-wrap-distance-left:9pt;mso-wrap-distance-right:9pt;mso-wrap-distance-top:0;position:absolute;z-index:251672576" coordorigin="82682,6598800" coordsize="21600,21600">
                      <v:line id="_x0000_s1068" style="position:absolute;v-text-anchor:top" from="82682,6599703" to="104291,6620009" fillcolor="this" stroked="t" strokeweight="1pt"/>
                      <v:shape id="_x0000_s1069" type="#_x0000_t202" style="width:9316;height:12605;left:94845;position:absolute;top:6598800;v-text-anchor:top" filled="f" fillcolor="this" stroked="f" strokeweight="0.5pt"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lang w:val="en-US" w:eastAsia="zh-CN"/>
                                </w:rPr>
                                <w:t>课文</w:t>
                              </w:r>
                            </w:p>
                          </w:txbxContent>
                        </v:textbox>
                      </v:shape>
                      <v:shape id="_x0000_s1070" type="#_x0000_t202" style="width:9316;height:12605;left:82812;position:absolute;top:6607825;v-text-anchor:top" filled="f" fillcolor="this" stroked="f" strokeweight="0.5pt"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eastAsia="宋体" w:hAnsi="宋体" w:cs="宋体" w:hint="default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lang w:val="en-US" w:eastAsia="zh-CN"/>
                                </w:rPr>
                                <w:t>要点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3004" w:type="dxa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 w:val="0"/>
                <w:bCs w:val="0"/>
                <w:vertAlign w:val="baseline"/>
              </w:rPr>
            </w:pPr>
            <w:r>
              <w:rPr>
                <w:rFonts w:ascii="宋体" w:eastAsia="宋体" w:hAnsi="宋体" w:cs="宋体" w:hint="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《谈读书》</w:t>
            </w:r>
          </w:p>
        </w:tc>
        <w:tc>
          <w:tcPr>
            <w:tcW w:w="3004" w:type="dxa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 w:val="0"/>
                <w:bCs w:val="0"/>
                <w:vertAlign w:val="baseline"/>
              </w:rPr>
            </w:pPr>
            <w:r>
              <w:rPr>
                <w:rFonts w:ascii="宋体" w:eastAsia="宋体" w:hAnsi="宋体" w:cs="宋体" w:hint="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《不求甚解》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/>
        </w:trPr>
        <w:tc>
          <w:tcPr>
            <w:tcW w:w="1269" w:type="dxa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 w:val="0"/>
                <w:bCs w:val="0"/>
                <w:vertAlign w:val="baseline"/>
              </w:rPr>
            </w:pPr>
            <w:r>
              <w:rPr>
                <w:rFonts w:ascii="宋体" w:eastAsia="宋体" w:hAnsi="宋体" w:cs="宋体" w:hint="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相同点</w:t>
            </w:r>
          </w:p>
        </w:tc>
        <w:tc>
          <w:tcPr>
            <w:tcW w:w="7253" w:type="dxa"/>
            <w:gridSpan w:val="3"/>
          </w:tcPr>
          <w:p>
            <w:pPr>
              <w:spacing w:line="360" w:lineRule="auto"/>
              <w:rPr>
                <w:rFonts w:ascii="宋体" w:eastAsia="宋体" w:hAnsi="宋体" w:cs="宋体" w:hint="eastAsia"/>
                <w:b w:val="0"/>
                <w:bCs w:val="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/>
        </w:trPr>
        <w:tc>
          <w:tcPr>
            <w:tcW w:w="126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 w:val="0"/>
                <w:bCs w:val="0"/>
                <w:vertAlign w:val="baseline"/>
              </w:rPr>
            </w:pPr>
            <w:r>
              <w:rPr>
                <w:rFonts w:ascii="宋体" w:eastAsia="宋体" w:hAnsi="宋体" w:cs="宋体" w:hint="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不同点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 w:val="0"/>
                <w:bCs w:val="0"/>
                <w:vertAlign w:val="baseline"/>
              </w:rPr>
            </w:pPr>
            <w:r>
              <w:rPr>
                <w:rFonts w:ascii="宋体" w:eastAsia="宋体" w:hAnsi="宋体" w:cs="宋体" w:hint="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论述角度</w:t>
            </w:r>
          </w:p>
        </w:tc>
        <w:tc>
          <w:tcPr>
            <w:tcW w:w="6008" w:type="dxa"/>
            <w:gridSpan w:val="2"/>
          </w:tcPr>
          <w:p>
            <w:pPr>
              <w:spacing w:line="360" w:lineRule="auto"/>
              <w:rPr>
                <w:rFonts w:ascii="宋体" w:eastAsia="宋体" w:hAnsi="宋体" w:cs="宋体" w:hint="eastAsia"/>
                <w:b w:val="0"/>
                <w:bCs w:val="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/>
        </w:trPr>
        <w:tc>
          <w:tcPr>
            <w:tcW w:w="1269" w:type="dxa"/>
            <w:vMerge/>
          </w:tcPr>
          <w:p>
            <w:pPr>
              <w:spacing w:line="360" w:lineRule="auto"/>
              <w:rPr>
                <w:rFonts w:ascii="宋体" w:eastAsia="宋体" w:hAnsi="宋体" w:cs="宋体" w:hint="eastAsia"/>
                <w:b w:val="0"/>
                <w:bCs w:val="0"/>
                <w:vertAlign w:val="baseline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 w:val="0"/>
                <w:bCs w:val="0"/>
                <w:vertAlign w:val="baseline"/>
              </w:rPr>
            </w:pPr>
            <w:r>
              <w:rPr>
                <w:rFonts w:ascii="宋体" w:eastAsia="宋体" w:hAnsi="宋体" w:cs="宋体" w:hint="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写作方法</w:t>
            </w:r>
          </w:p>
        </w:tc>
        <w:tc>
          <w:tcPr>
            <w:tcW w:w="6008" w:type="dxa"/>
            <w:gridSpan w:val="2"/>
          </w:tcPr>
          <w:p>
            <w:pPr>
              <w:spacing w:line="360" w:lineRule="auto"/>
              <w:rPr>
                <w:rFonts w:ascii="宋体" w:eastAsia="宋体" w:hAnsi="宋体" w:cs="宋体" w:hint="eastAsia"/>
                <w:b w:val="0"/>
                <w:bCs w:val="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/>
        </w:trPr>
        <w:tc>
          <w:tcPr>
            <w:tcW w:w="1269" w:type="dxa"/>
            <w:vMerge/>
          </w:tcPr>
          <w:p>
            <w:pPr>
              <w:spacing w:line="360" w:lineRule="auto"/>
              <w:rPr>
                <w:rFonts w:ascii="宋体" w:eastAsia="宋体" w:hAnsi="宋体" w:cs="宋体" w:hint="eastAsia"/>
                <w:b w:val="0"/>
                <w:bCs w:val="0"/>
                <w:vertAlign w:val="baseline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 w:val="0"/>
                <w:bCs w:val="0"/>
                <w:vertAlign w:val="baseline"/>
              </w:rPr>
            </w:pPr>
            <w:r>
              <w:rPr>
                <w:rFonts w:ascii="宋体" w:eastAsia="宋体" w:hAnsi="宋体" w:cs="宋体" w:hint="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论证方法</w:t>
            </w:r>
          </w:p>
        </w:tc>
        <w:tc>
          <w:tcPr>
            <w:tcW w:w="6008" w:type="dxa"/>
            <w:gridSpan w:val="2"/>
          </w:tcPr>
          <w:p>
            <w:pPr>
              <w:spacing w:line="360" w:lineRule="auto"/>
              <w:rPr>
                <w:rFonts w:ascii="宋体" w:eastAsia="宋体" w:hAnsi="宋体" w:cs="宋体" w:hint="eastAsia"/>
                <w:b w:val="0"/>
                <w:bCs w:val="0"/>
                <w:vertAlign w:val="baseline"/>
              </w:rPr>
            </w:pPr>
          </w:p>
        </w:tc>
      </w:tr>
    </w:tbl>
    <w:p>
      <w:pPr>
        <w:spacing w:line="360" w:lineRule="auto"/>
        <w:ind w:firstLine="420" w:firstLineChars="200"/>
        <w:rPr>
          <w:rFonts w:ascii="宋体" w:eastAsia="宋体" w:hAnsi="宋体" w:cs="宋体" w:hint="eastAsia"/>
          <w:b w:val="0"/>
          <w:bCs w:val="0"/>
        </w:rPr>
      </w:pPr>
      <w:r>
        <w:rPr>
          <w:rFonts w:ascii="宋体" w:eastAsia="宋体" w:hAnsi="宋体" w:cs="宋体" w:hint="eastAsia"/>
          <w:b w:val="0"/>
          <w:bCs w:val="0"/>
          <w:kern w:val="2"/>
          <w:sz w:val="21"/>
          <w:szCs w:val="24"/>
          <w:lang w:val="en-US" w:eastAsia="zh-CN" w:bidi="ar-SA"/>
        </w:rPr>
        <w:t>参考：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相同点：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都是谈及读书的方法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不同点：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一、论述角度方面：《谈读书》较为全面，侧重对读书方方面面问题的探讨；《不求甚解》则选取一个角度，侧重对具体读书方法的探讨。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二、在写作方法方面：《谈读书》往往先提出观点，再做阐释说明；《不求甚解》则顺着思考的路径，一步步提出观点，做出解释，最后得出结论。</w:t>
      </w:r>
    </w:p>
    <w:p>
      <w:pPr>
        <w:spacing w:line="360" w:lineRule="auto"/>
        <w:ind w:firstLine="420" w:firstLineChars="200"/>
        <w:rPr>
          <w:rFonts w:ascii="宋体" w:eastAsia="宋体" w:hAnsi="宋体" w:cs="宋体" w:hint="default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三、在论证方法上，《谈读书》运用了举例论证、比喻论证和对比论证，而《不求甚解》除了比喻和对比论证外，还使用了引用论证。</w:t>
      </w:r>
    </w:p>
    <w:p>
      <w:pPr>
        <w:spacing w:line="360" w:lineRule="auto"/>
        <w:rPr>
          <w:rFonts w:ascii="宋体" w:eastAsia="宋体" w:hAnsi="宋体" w:cs="宋体" w:hint="eastAsia"/>
          <w:b w:val="0"/>
          <w:bCs w:val="0"/>
        </w:rPr>
      </w:pPr>
      <w:r>
        <w:rPr>
          <w:rFonts w:ascii="宋体" w:eastAsia="宋体" w:hAnsi="宋体" w:cs="宋体" w:hint="eastAsia"/>
          <w:b w:val="0"/>
          <w:bCs w:val="0"/>
          <w:kern w:val="2"/>
          <w:sz w:val="21"/>
          <w:szCs w:val="24"/>
          <w:lang w:val="en-US" w:eastAsia="zh-CN" w:bidi="ar-SA"/>
        </w:rPr>
        <w:t>（五）课后任务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eastAsia="宋体" w:hAnsi="宋体" w:cs="宋体" w:hint="default"/>
          <w:b w:val="0"/>
          <w:bCs w:val="0"/>
        </w:rPr>
        <w:sectPr>
          <w:headerReference w:type="default" r:id="rId27"/>
          <w:footerReference w:type="default" r:id="rId28"/>
          <w:type w:val="nextPage"/>
          <w:pgSz w:w="11906" w:h="16838"/>
          <w:pgMar w:top="1440" w:right="1800" w:bottom="1440" w:left="1800" w:header="851" w:footer="992" w:gutter="0"/>
          <w:pgNumType w:fmt="decimal" w:start="1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default"/>
          <w:b w:val="0"/>
          <w:bCs w:val="0"/>
          <w:kern w:val="2"/>
          <w:sz w:val="21"/>
          <w:szCs w:val="24"/>
          <w:lang w:val="en-US" w:eastAsia="zh-CN" w:bidi="ar-SA"/>
        </w:rPr>
        <w:t>在《读书就是要“过河拆桥”》一文中，作者也提出了一些读书方法。请结合自己的阅读体验，对比《不求甚解》中谈到的读书方法，撰写一篇300字以上的读书感悟。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ascii="楷体" w:eastAsia="楷体" w:hAnsi="楷体" w:cs="楷体" w:hint="eastAsia"/>
          <w:b/>
          <w:bCs/>
        </w:rPr>
      </w:pPr>
      <w:r>
        <w:rPr>
          <w:rFonts w:ascii="楷体" w:eastAsia="楷体" w:hAnsi="楷体" w:cs="楷体" w:hint="eastAsia"/>
          <w:b/>
          <w:bCs/>
          <w:kern w:val="2"/>
          <w:sz w:val="21"/>
          <w:szCs w:val="24"/>
          <w:lang w:val="en-US" w:eastAsia="zh-CN" w:bidi="ar-SA"/>
        </w:rPr>
        <w:t>读书就是要“过河拆桥”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ascii="楷体" w:eastAsia="楷体" w:hAnsi="楷体" w:cs="楷体" w:hint="default"/>
          <w:b/>
          <w:bCs/>
        </w:rPr>
      </w:pPr>
      <w:r>
        <w:rPr>
          <w:rFonts w:ascii="楷体" w:eastAsia="楷体" w:hAnsi="楷体" w:cs="楷体" w:hint="eastAsia"/>
          <w:b/>
          <w:bCs/>
          <w:kern w:val="2"/>
          <w:sz w:val="21"/>
          <w:szCs w:val="24"/>
          <w:lang w:val="en-US" w:eastAsia="zh-CN" w:bidi="ar-SA"/>
        </w:rPr>
        <w:t>冯友兰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①我的读书经验总结起来有四点：精其选，解其言，知其意，明其理。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②先说第一点，古今中外，积累起来的书真是浩如烟海，书虽多，有价值的还是少数。可以把书分为三类，第一类是要精读的，第二类是可以泛读的，第三类是仅供翻阅的。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③哪些书是值得精读的呢？自古以来，已经有一位最公正的评选家，有许多推荐者向它推荐好书。这个评选家就是时间，这些推荐者就是群众。历来的群众，把他们认为有价值的书推荐给时间，时间照着他们的推荐，把那些没有永久价值的书都刷下去了，让那些有永久价值的书流传下来，现在我们所读的古典著作都是经过时间考验的，这一类的书都是应该精读的。当然随着时间的推移和历史的发展，这些书之中有些还要被刷下去，不过直到现在为止，它们都是榜上有名的。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④在读书的时候，先要解其言，就是要攻破语言文字关。攻这道关的时候，要先做许多准备，用许多工具，如字典和词典等工具书之类。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⑤有句老话“言不尽意”，意思是说，他所说的话总比他的意思少，因为语言总离不了概念，概念对于具体事物来说，总不会完全合适，不过是一个大概轮廓而已，有些意是语言文字所不能完全表达出来的。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⑥所以在读书的时候，即使书中的字都认得，话全懂了，还未必能知道作者的意思。从前有人说，读书要注意字里行间，又说读诗要得其“弦外音、味外味”，这都是说要在文字以外体会它的精神实质。这就是知其意。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⑦意，是离不开语言文字的，语言文字是帮助了解书的意思的拐棍。既然知道了那个意思，最好扔了拐棍。这就是古人所说的“得意忘言”，在人与人的关系中，过河拆桥是不道德的事。但是，在读书中，就是要过河拆桥。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⑧知其意之后，还要明其理，理是客观的道理；意是作者主观的认识和判断，也就是客观的道理在他主观上的反映。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⑨理和意既然有主观客观之分，意和理就不能完全相合。人总是人，做不到全知全能。他主观上的反映、体会和判断，和客观的道理总要有一定的差距，所以读书仅至知其意还不行，还要明其理，才不至于为前人所得的意所误。如果明其理，就有自己的意。我的意当然也是主观的，也不完全合乎客观的理，但我还可以把我的意和前人的意互相比较，互相补充，互相纠正，得出的意就可能比较正确，这个意是我的，我就可以用它处理事务，解决问题。</w:t>
      </w:r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  <w:r>
        <w:rPr>
          <w:rFonts w:ascii="楷体" w:eastAsia="楷体" w:hAnsi="楷体" w:cs="楷体" w:hint="eastAsia"/>
          <w:b w:val="0"/>
          <w:bCs w:val="0"/>
          <w:kern w:val="2"/>
          <w:sz w:val="21"/>
          <w:szCs w:val="24"/>
          <w:lang w:val="en-US" w:eastAsia="zh-CN" w:bidi="ar-SA"/>
        </w:rPr>
        <w:t>⑩读书到这个程度就算是把书读活了，就是书为我所用、读书就算读到家了。</w:t>
      </w:r>
      <w:r>
        <w:rPr>
          <w:rFonts w:ascii="楷体" w:eastAsia="楷体" w:hAnsi="楷体" w:cs="楷体" w:hint="eastAsia"/>
          <w:b w:val="0"/>
          <w:bCs w:val="0"/>
        </w:rPr>
        <w:br/>
      </w:r>
      <w:r>
        <w:rPr>
          <w:rFonts w:ascii="楷体" w:eastAsia="楷体" w:hAnsi="楷体" w:cs="楷体" w:hint="eastAsia"/>
          <w:b w:val="0"/>
          <w:bCs w:val="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https://d.book118.com/676020111000010103</w:t>
        </w:r>
      </w:hyperlink>
    </w:p>
    <w:p>
      <w:pPr>
        <w:spacing w:line="360" w:lineRule="auto"/>
        <w:ind w:firstLine="420" w:firstLineChars="200"/>
        <w:rPr>
          <w:rFonts w:ascii="楷体" w:eastAsia="楷体" w:hAnsi="楷体" w:cs="楷体" w:hint="eastAsia"/>
          <w:b w:val="0"/>
          <w:bCs w:val="0"/>
        </w:rPr>
      </w:pPr>
    </w:p>
    <w:sectPr>
      <w:headerReference w:type="default" r:id="rId30"/>
      <w:footerReference w:type="default" r:id="rId31"/>
      <w:type w:val="nextPage"/>
      <w:pgSz w:w="11906" w:h="16838"/>
      <w:pgMar w:top="1440" w:right="1800" w:bottom="1440" w:left="1800" w:header="851" w:footer="992" w:gutter="0"/>
      <w:pgNumType w:fmt="decimal"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汉仪粗黑简">
    <w:altName w:val="黑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字魂270号-龙门手书">
    <w:altName w:val="宋体"/>
    <w:panose1 w:val="00000500000000000000"/>
    <w:charset w:val="86"/>
    <w:family w:val="auto"/>
    <w:pitch w:val="default"/>
    <w:sig w:usb0="00000000" w:usb1="00000000" w:usb2="00000012" w:usb3="00000000" w:csb0="00040001" w:csb1="00000000"/>
  </w:font>
  <w:font w:name="李旭科书法">
    <w:altName w:val="宋体"/>
    <w:panose1 w:val="02000603000000000000"/>
    <w:charset w:val="86"/>
    <w:family w:val="auto"/>
    <w:pitch w:val="default"/>
    <w:sig w:usb0="00000000" w:usb1="00000000" w:usb2="00000012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position-horizontal-relative:margin;mso-position-vertical-relative:margin;position:absolute;rotation:315;z-index:-2516459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position-horizontal-relative:margin;mso-position-vertical-relative:margin;position:absolute;rotation:315;z-index:-2516439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position-horizontal-relative:margin;mso-position-vertical-relative:margin;position:absolute;rotation:315;z-index:-2516418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position-horizontal-relative:margin;mso-position-vertical-relative:margin;position:absolute;rotation:315;z-index:-2516398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position:absolute;z-index:25167769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position-horizontal-relative:margin;mso-position-vertical-relative:margin;position:absolute;rotation:315;z-index:-25163776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2" type="#_x0000_t75" alt="学科网 zxxk.com" style="width:0.05pt;height:0.05pt;margin-top:-20.75pt;margin-left:64.05pt;position:absolute;z-index:25167974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position:absolute;z-index:25166028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position:absolute;z-index:25166233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position:absolute;z-index:25166438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position:absolute;z-index:25166643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position:absolute;z-index:25166848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4151FC"/>
    <w:rsid w:val="007E18FF"/>
    <w:rsid w:val="00C02FC6"/>
    <w:rsid w:val="0AC57529"/>
    <w:rsid w:val="0B7F3FC7"/>
    <w:rsid w:val="0CEB7F2B"/>
    <w:rsid w:val="11901FFF"/>
    <w:rsid w:val="134F0723"/>
    <w:rsid w:val="14F66DB9"/>
    <w:rsid w:val="15257380"/>
    <w:rsid w:val="1CC74D46"/>
    <w:rsid w:val="1D175EFB"/>
    <w:rsid w:val="1E6425AB"/>
    <w:rsid w:val="1F7A6B27"/>
    <w:rsid w:val="213276BA"/>
    <w:rsid w:val="214B077B"/>
    <w:rsid w:val="2338797B"/>
    <w:rsid w:val="247516D2"/>
    <w:rsid w:val="24C745BD"/>
    <w:rsid w:val="25CE197B"/>
    <w:rsid w:val="297B5976"/>
    <w:rsid w:val="2DE24215"/>
    <w:rsid w:val="2EBE07DF"/>
    <w:rsid w:val="318B5429"/>
    <w:rsid w:val="345C7E2F"/>
    <w:rsid w:val="35721F2E"/>
    <w:rsid w:val="36DA20CA"/>
    <w:rsid w:val="430B22C8"/>
    <w:rsid w:val="44862AA8"/>
    <w:rsid w:val="48D569F9"/>
    <w:rsid w:val="4DAE5A6A"/>
    <w:rsid w:val="4F073684"/>
    <w:rsid w:val="521E31BF"/>
    <w:rsid w:val="537F7382"/>
    <w:rsid w:val="53EB6CFC"/>
    <w:rsid w:val="56776314"/>
    <w:rsid w:val="5C0655F4"/>
    <w:rsid w:val="5F87708F"/>
    <w:rsid w:val="627B1F67"/>
    <w:rsid w:val="62E81F47"/>
    <w:rsid w:val="63770981"/>
    <w:rsid w:val="65812883"/>
    <w:rsid w:val="6E5024FA"/>
    <w:rsid w:val="6EBE3A07"/>
    <w:rsid w:val="70323E5F"/>
    <w:rsid w:val="73A94AB9"/>
    <w:rsid w:val="746E00C3"/>
    <w:rsid w:val="75406E67"/>
    <w:rsid w:val="76544B51"/>
    <w:rsid w:val="7C214D93"/>
    <w:rsid w:val="7DD36745"/>
    <w:rsid w:val="7DF600FC"/>
    <w:rsid w:val="7F0049DC"/>
    <w:rsid w:val="7FCE7723"/>
  </w:rsids>
  <w:docVars>
    <w:docVar w:name="commondata" w:val="eyJoZGlkIjoiMzkyMmExYzMyNGI2NDZkYjhmY2JmMGNiY2ZkOWFhOW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eastAsia="汉仪粗黑简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NormalWeb">
    <w:name w:val="Normal (Web)"/>
    <w:basedOn w:val="Normal"/>
    <w:autoRedefine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TableGrid">
    <w:name w:val="Table Grid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autoRedefine/>
    <w:qFormat/>
    <w:rPr>
      <w:b/>
    </w:rPr>
  </w:style>
  <w:style w:type="paragraph" w:customStyle="1" w:styleId="WPSOffice1">
    <w:name w:val="WPSOffice手动目录 1"/>
    <w:autoRedefine/>
    <w:qFormat/>
    <w:pPr>
      <w:ind w:leftChars="0"/>
    </w:pPr>
    <w:rPr>
      <w:rFonts w:ascii="Times New Roman" w:eastAsia="宋体" w:hAnsi="Times New Roman" w:cs="Times New Roman"/>
      <w:sz w:val="20"/>
      <w:szCs w:val="20"/>
      <w:lang w:val="en-US" w:eastAsia="en-US" w:bidi="ar-SA"/>
    </w:rPr>
  </w:style>
  <w:style w:type="table" w:customStyle="1" w:styleId="TableGrid0">
    <w:name w:val="Table Grid_0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image" Target="media/image4.png" /><Relationship Id="rId18" Type="http://schemas.openxmlformats.org/officeDocument/2006/relationships/image" Target="media/image5.png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header" Target="header10.xml" /><Relationship Id="rId28" Type="http://schemas.openxmlformats.org/officeDocument/2006/relationships/footer" Target="footer10.xml" /><Relationship Id="rId29" Type="http://schemas.openxmlformats.org/officeDocument/2006/relationships/hyperlink" Target="https://d.book118.com/676020111000010103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1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jpe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2024-03-18T06:12:09Z</dcterms:created>
  <dcterms:modified xsi:type="dcterms:W3CDTF">2024-03-18T06:12:17Z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