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BA9">
      <w:pPr>
        <w:pStyle w:val="BodyText"/>
        <w:spacing w:before="177" w:line="221" w:lineRule="auto"/>
        <w:ind w:left="17"/>
        <w:outlineLvl w:val="0"/>
      </w:pPr>
      <w:r>
        <w:rPr>
          <w:b/>
          <w:bCs/>
          <w:spacing w:val="-8"/>
        </w:rPr>
        <w:t>1</w:t>
      </w:r>
      <w:r>
        <w:rPr>
          <w:b/>
          <w:bCs/>
          <w:spacing w:val="-8"/>
        </w:rPr>
        <w:t>、施工准备</w:t>
      </w:r>
    </w:p>
    <w:p w:rsidR="00FC0BA9">
      <w:pPr>
        <w:pStyle w:val="BodyText"/>
        <w:spacing w:before="173" w:line="377" w:lineRule="auto"/>
        <w:ind w:left="13" w:right="74" w:firstLine="650"/>
        <w:jc w:val="both"/>
      </w:pPr>
      <w:r>
        <w:rPr>
          <w:spacing w:val="1"/>
        </w:rPr>
        <w:t>①</w:t>
      </w:r>
      <w:r>
        <w:rPr>
          <w:spacing w:val="1"/>
        </w:rPr>
        <w:t>开工前先安排测量放样，若现场存在需改移的设施，项目部</w:t>
      </w:r>
      <w:r>
        <w:rPr>
          <w:spacing w:val="-4"/>
        </w:rPr>
        <w:t>将负责配合业主与有关基建设施管理部门协调，按业主要求</w:t>
      </w:r>
      <w:r>
        <w:rPr>
          <w:spacing w:val="-5"/>
        </w:rPr>
        <w:t>安排有关</w:t>
      </w:r>
    </w:p>
    <w:p w:rsidR="00FC0BA9">
      <w:pPr>
        <w:pStyle w:val="BodyText"/>
        <w:spacing w:line="219" w:lineRule="auto"/>
        <w:ind w:left="13"/>
      </w:pPr>
      <w:r>
        <w:rPr>
          <w:spacing w:val="-3"/>
        </w:rPr>
        <w:t>承建改移工程的专业要求实施改移工程。</w:t>
      </w:r>
    </w:p>
    <w:p w:rsidR="00FC0BA9">
      <w:pPr>
        <w:pStyle w:val="BodyText"/>
        <w:spacing w:before="264" w:line="573" w:lineRule="exact"/>
        <w:ind w:left="433"/>
      </w:pPr>
      <w:r>
        <w:rPr>
          <w:spacing w:val="-1"/>
          <w:position w:val="22"/>
        </w:rPr>
        <w:t>②</w:t>
      </w:r>
      <w:r>
        <w:rPr>
          <w:spacing w:val="-1"/>
          <w:position w:val="22"/>
        </w:rPr>
        <w:t>根据进场时的现场情况，清除现场的任何垃圾，并按照业主有</w:t>
      </w:r>
    </w:p>
    <w:p w:rsidR="00FC0BA9">
      <w:pPr>
        <w:pStyle w:val="BodyText"/>
        <w:spacing w:line="219" w:lineRule="auto"/>
        <w:jc w:val="right"/>
      </w:pPr>
      <w:r>
        <w:rPr>
          <w:spacing w:val="-10"/>
        </w:rPr>
        <w:t>关要求及工程实际情况，进行场地平整等工作，为正式施工创造条件。</w:t>
      </w:r>
    </w:p>
    <w:p w:rsidR="00FC0BA9">
      <w:pPr>
        <w:pStyle w:val="BodyText"/>
        <w:spacing w:before="204" w:line="544" w:lineRule="exact"/>
        <w:ind w:left="373"/>
      </w:pPr>
      <w:r>
        <w:rPr>
          <w:spacing w:val="2"/>
          <w:position w:val="20"/>
        </w:rPr>
        <w:t>③</w:t>
      </w:r>
      <w:r>
        <w:rPr>
          <w:spacing w:val="2"/>
          <w:position w:val="20"/>
        </w:rPr>
        <w:t>根据临时用水、临时用电施工方案，完成临时水、电管网的布</w:t>
      </w:r>
    </w:p>
    <w:p w:rsidR="00FC0BA9">
      <w:pPr>
        <w:pStyle w:val="BodyText"/>
        <w:spacing w:line="220" w:lineRule="auto"/>
        <w:ind w:left="13"/>
      </w:pPr>
      <w:r>
        <w:rPr>
          <w:spacing w:val="-6"/>
        </w:rPr>
        <w:t>设工作。</w:t>
      </w:r>
    </w:p>
    <w:p w:rsidR="00FC0BA9">
      <w:pPr>
        <w:pStyle w:val="BodyText"/>
        <w:spacing w:before="232" w:line="354" w:lineRule="auto"/>
        <w:ind w:left="13" w:firstLine="290"/>
      </w:pPr>
      <w:r>
        <w:rPr>
          <w:spacing w:val="-2"/>
        </w:rPr>
        <w:t>④</w:t>
      </w:r>
      <w:r>
        <w:rPr>
          <w:spacing w:val="-2"/>
        </w:rPr>
        <w:t>建立现场测量控制网：根据勘测单位给定的坐标和高程控制点，</w:t>
      </w:r>
      <w:r>
        <w:rPr>
          <w:spacing w:val="-4"/>
        </w:rPr>
        <w:t>进行施工场地闭合导线和水准线路控制网的布设，设置工程施工的临</w:t>
      </w:r>
    </w:p>
    <w:p w:rsidR="00FC0BA9">
      <w:pPr>
        <w:pStyle w:val="BodyText"/>
        <w:spacing w:line="219" w:lineRule="auto"/>
        <w:ind w:left="13"/>
      </w:pPr>
      <w:r>
        <w:rPr>
          <w:spacing w:val="9"/>
        </w:rPr>
        <w:t>时控制测量标桩</w:t>
      </w:r>
      <w:r>
        <w:rPr>
          <w:spacing w:val="9"/>
        </w:rPr>
        <w:t>(</w:t>
      </w:r>
      <w:r>
        <w:rPr>
          <w:spacing w:val="9"/>
        </w:rPr>
        <w:t>网</w:t>
      </w:r>
      <w:r>
        <w:rPr>
          <w:spacing w:val="9"/>
        </w:rPr>
        <w:t>)</w:t>
      </w:r>
      <w:r>
        <w:rPr>
          <w:spacing w:val="9"/>
        </w:rPr>
        <w:t>。</w:t>
      </w:r>
    </w:p>
    <w:p w:rsidR="00FC0BA9">
      <w:pPr>
        <w:pStyle w:val="BodyText"/>
        <w:spacing w:before="216" w:line="360" w:lineRule="auto"/>
        <w:ind w:left="13" w:right="110" w:firstLine="280"/>
      </w:pPr>
      <w:r>
        <w:rPr>
          <w:spacing w:val="-5"/>
        </w:rPr>
        <w:t>⑤</w:t>
      </w:r>
      <w:r>
        <w:rPr>
          <w:spacing w:val="-5"/>
        </w:rPr>
        <w:t>、组织施工机具进场：根据需用量计划，按施工平面图要求，组织施工机械、设备和工具进场，按规定地点和方式存放，并应进行相</w:t>
      </w:r>
    </w:p>
    <w:p w:rsidR="00FC0BA9">
      <w:pPr>
        <w:pStyle w:val="BodyText"/>
        <w:spacing w:line="219" w:lineRule="auto"/>
        <w:ind w:left="13"/>
      </w:pPr>
      <w:r>
        <w:rPr>
          <w:spacing w:val="-4"/>
        </w:rPr>
        <w:t>应的保养和试运转等项工作。</w:t>
      </w:r>
    </w:p>
    <w:p w:rsidR="00FC0BA9">
      <w:pPr>
        <w:spacing w:line="263" w:lineRule="auto"/>
      </w:pPr>
    </w:p>
    <w:p w:rsidR="00FC0BA9">
      <w:pPr>
        <w:pStyle w:val="BodyText"/>
        <w:spacing w:before="91" w:line="219" w:lineRule="auto"/>
        <w:ind w:left="13"/>
      </w:pPr>
      <w:r>
        <w:rPr>
          <w:spacing w:val="6"/>
        </w:rPr>
        <w:t>1.2</w:t>
      </w:r>
      <w:r>
        <w:rPr>
          <w:spacing w:val="6"/>
        </w:rPr>
        <w:t>设计依据</w:t>
      </w:r>
    </w:p>
    <w:p w:rsidR="00FC0BA9">
      <w:pPr>
        <w:pStyle w:val="BodyText"/>
        <w:spacing w:before="278" w:line="409" w:lineRule="auto"/>
        <w:ind w:left="13" w:right="89" w:firstLine="570"/>
        <w:jc w:val="both"/>
      </w:pPr>
      <w:r>
        <w:rPr>
          <w:spacing w:val="-1"/>
        </w:rPr>
        <w:t>《泉州市城市总体规划》</w:t>
      </w:r>
      <w:r>
        <w:rPr>
          <w:spacing w:val="-1"/>
        </w:rPr>
        <w:t>(2008~2030);&lt;</w:t>
      </w:r>
      <w:r>
        <w:rPr>
          <w:spacing w:val="-1"/>
        </w:rPr>
        <w:t>泉州市综合交通规划修</w:t>
      </w:r>
      <w:r>
        <w:t>编》</w:t>
      </w:r>
      <w:r>
        <w:t>(2014-2030);</w:t>
      </w:r>
      <w:r>
        <w:t>洛江片区单元控制性详细规划》</w:t>
      </w:r>
      <w:r>
        <w:t>;</w:t>
      </w:r>
      <w:r>
        <w:t>《泉州市城东一</w:t>
      </w:r>
      <w:r>
        <w:rPr>
          <w:spacing w:val="16"/>
        </w:rPr>
        <w:t>双阳组团洛江新城市政工程规划》《泉州市</w:t>
      </w:r>
      <w:r>
        <w:rPr>
          <w:spacing w:val="15"/>
        </w:rPr>
        <w:t>河市镇镇区总体规划</w:t>
      </w:r>
      <w:r>
        <w:rPr>
          <w:spacing w:val="4"/>
        </w:rPr>
        <w:t>(2010~2030))</w:t>
      </w:r>
      <w:r>
        <w:rPr>
          <w:spacing w:val="4"/>
        </w:rPr>
        <w:t>《河市镇中片区控制性详细规划》调查、收集的相关</w:t>
      </w:r>
      <w:r>
        <w:rPr>
          <w:spacing w:val="-5"/>
        </w:rPr>
        <w:t>社会经济、交通运输及自然条件等资料。《市政公用工程设计文件编</w:t>
      </w:r>
    </w:p>
    <w:p w:rsidR="00FC0BA9">
      <w:pPr>
        <w:pStyle w:val="BodyText"/>
        <w:spacing w:before="1" w:line="219" w:lineRule="auto"/>
        <w:ind w:left="13"/>
      </w:pPr>
      <w:r>
        <w:rPr>
          <w:spacing w:val="10"/>
        </w:rPr>
        <w:t>制深度规定</w:t>
      </w:r>
      <w:r>
        <w:rPr>
          <w:spacing w:val="10"/>
        </w:rPr>
        <w:t>2013</w:t>
      </w:r>
      <w:r>
        <w:rPr>
          <w:spacing w:val="10"/>
        </w:rPr>
        <w:t>年</w:t>
      </w:r>
      <w:r>
        <w:rPr>
          <w:spacing w:val="10"/>
        </w:rPr>
        <w:t>)</w:t>
      </w:r>
      <w:r>
        <w:rPr>
          <w:spacing w:val="10"/>
        </w:rPr>
        <w:t>》</w:t>
      </w:r>
      <w:r>
        <w:rPr>
          <w:spacing w:val="10"/>
        </w:rPr>
        <w:t>;</w:t>
      </w:r>
    </w:p>
    <w:p w:rsidR="00FC0BA9">
      <w:pPr>
        <w:pStyle w:val="BodyText"/>
        <w:spacing w:before="326" w:line="219" w:lineRule="auto"/>
        <w:ind w:left="613"/>
      </w:pPr>
      <w:r>
        <w:rPr>
          <w:spacing w:val="1"/>
        </w:rPr>
        <w:t>1.3</w:t>
      </w:r>
      <w:r>
        <w:rPr>
          <w:spacing w:val="1"/>
        </w:rPr>
        <w:t>采用的主要技术规范和标准</w:t>
      </w:r>
    </w:p>
    <w:p w:rsidR="00FC0BA9">
      <w:pPr>
        <w:pStyle w:val="BodyText"/>
        <w:spacing w:before="279" w:line="219" w:lineRule="auto"/>
        <w:ind w:left="583"/>
      </w:pPr>
      <w:r>
        <w:rPr>
          <w:spacing w:val="-2"/>
        </w:rPr>
        <w:t>《城市工程管线综合规划规范</w:t>
      </w:r>
      <w:r>
        <w:rPr>
          <w:spacing w:val="-2"/>
        </w:rPr>
        <w:t>(GB50289-2016)</w:t>
      </w:r>
      <w:r>
        <w:rPr>
          <w:spacing w:val="-2"/>
        </w:rPr>
        <w:t>》</w:t>
      </w:r>
      <w:r>
        <w:rPr>
          <w:spacing w:val="-2"/>
        </w:rPr>
        <w:t>;</w:t>
      </w:r>
    </w:p>
    <w:p w:rsidR="00FC0BA9">
      <w:pPr>
        <w:spacing w:line="219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431" w:right="1739" w:bottom="0" w:left="1786" w:header="0" w:footer="0" w:gutter="0"/>
          <w:cols w:space="720"/>
        </w:sectPr>
      </w:pPr>
    </w:p>
    <w:p w:rsidR="00FC0BA9">
      <w:pPr>
        <w:pStyle w:val="BodyText"/>
        <w:spacing w:before="170" w:line="219" w:lineRule="auto"/>
        <w:ind w:left="583"/>
      </w:pPr>
      <w:r>
        <w:rPr>
          <w:spacing w:val="-5"/>
        </w:rPr>
        <w:t>《室外给水设计规范</w:t>
      </w:r>
      <w:r>
        <w:rPr>
          <w:spacing w:val="-5"/>
        </w:rPr>
        <w:t>(GB50013-20</w:t>
      </w:r>
      <w:r>
        <w:rPr>
          <w:spacing w:val="-6"/>
        </w:rPr>
        <w:t>18)</w:t>
      </w:r>
      <w:r>
        <w:rPr>
          <w:spacing w:val="-6"/>
        </w:rPr>
        <w:t>》</w:t>
      </w:r>
      <w:r>
        <w:rPr>
          <w:spacing w:val="-6"/>
        </w:rPr>
        <w:t xml:space="preserve">  ;</w:t>
      </w:r>
    </w:p>
    <w:p w:rsidR="00FC0BA9">
      <w:pPr>
        <w:pStyle w:val="BodyText"/>
        <w:spacing w:before="287" w:line="412" w:lineRule="auto"/>
        <w:ind w:left="583" w:right="1550"/>
      </w:pPr>
      <w:r>
        <w:rPr>
          <w:spacing w:val="-1"/>
        </w:rPr>
        <w:t>《室外排水设计规范</w:t>
      </w:r>
      <w:r>
        <w:rPr>
          <w:spacing w:val="-1"/>
        </w:rPr>
        <w:t>(GB50014-2006)</w:t>
      </w:r>
      <w:r>
        <w:rPr>
          <w:spacing w:val="-1"/>
        </w:rPr>
        <w:t>》</w:t>
      </w:r>
      <w:r>
        <w:rPr>
          <w:spacing w:val="-1"/>
        </w:rPr>
        <w:t>(2016</w:t>
      </w:r>
      <w:r>
        <w:rPr>
          <w:spacing w:val="-1"/>
        </w:rPr>
        <w:t>年版</w:t>
      </w:r>
      <w:r>
        <w:rPr>
          <w:spacing w:val="-1"/>
        </w:rPr>
        <w:t>);</w:t>
      </w:r>
      <w:r>
        <w:rPr>
          <w:spacing w:val="-2"/>
        </w:rPr>
        <w:t>《理地塑料排水管道工程技术规范</w:t>
      </w:r>
      <w:r>
        <w:rPr>
          <w:spacing w:val="-2"/>
        </w:rPr>
        <w:t>(CJJ143-2010)</w:t>
      </w:r>
      <w:r>
        <w:rPr>
          <w:spacing w:val="-2"/>
        </w:rPr>
        <w:t>》</w:t>
      </w:r>
      <w:r>
        <w:rPr>
          <w:spacing w:val="-2"/>
        </w:rPr>
        <w:t>;</w:t>
      </w:r>
    </w:p>
    <w:p w:rsidR="00FC0BA9">
      <w:pPr>
        <w:pStyle w:val="BodyText"/>
        <w:spacing w:line="219" w:lineRule="auto"/>
        <w:ind w:left="583"/>
      </w:pPr>
      <w:r>
        <w:rPr>
          <w:spacing w:val="-2"/>
        </w:rPr>
        <w:t>《混凝土和铜筋混凝土排水管》</w:t>
      </w:r>
      <w:r>
        <w:rPr>
          <w:spacing w:val="-2"/>
        </w:rPr>
        <w:t>GB/T11836-2009;</w:t>
      </w:r>
    </w:p>
    <w:p w:rsidR="00FC0BA9">
      <w:pPr>
        <w:pStyle w:val="BodyText"/>
        <w:spacing w:before="297" w:line="219" w:lineRule="auto"/>
        <w:ind w:left="583"/>
      </w:pPr>
      <w:r>
        <w:rPr>
          <w:spacing w:val="-3"/>
        </w:rPr>
        <w:t>《检查井盖</w:t>
      </w:r>
      <w:r>
        <w:rPr>
          <w:spacing w:val="-3"/>
        </w:rPr>
        <w:t>(GB/T23858-2009)</w:t>
      </w:r>
      <w:r>
        <w:rPr>
          <w:spacing w:val="-3"/>
        </w:rPr>
        <w:t>》</w:t>
      </w:r>
      <w:r>
        <w:rPr>
          <w:spacing w:val="-3"/>
        </w:rPr>
        <w:t>;</w:t>
      </w:r>
    </w:p>
    <w:p w:rsidR="00FC0BA9">
      <w:pPr>
        <w:pStyle w:val="BodyText"/>
        <w:spacing w:before="305" w:line="218" w:lineRule="auto"/>
        <w:ind w:left="583"/>
      </w:pPr>
      <w:r>
        <w:rPr>
          <w:spacing w:val="-6"/>
        </w:rPr>
        <w:t>《福建省城市道路雨水排水设计标准》</w:t>
      </w:r>
      <w:r>
        <w:rPr>
          <w:spacing w:val="-6"/>
        </w:rPr>
        <w:t>(DBJ/T13-1</w:t>
      </w:r>
      <w:r>
        <w:rPr>
          <w:spacing w:val="-7"/>
        </w:rPr>
        <w:t>67-20</w:t>
      </w:r>
      <w:r>
        <w:rPr>
          <w:spacing w:val="-7"/>
        </w:rPr>
        <w:t>13);</w:t>
      </w:r>
    </w:p>
    <w:p w:rsidR="00FC0BA9">
      <w:pPr>
        <w:pStyle w:val="BodyText"/>
        <w:spacing w:before="281" w:line="638" w:lineRule="exact"/>
        <w:ind w:left="583"/>
      </w:pPr>
      <w:r>
        <w:rPr>
          <w:spacing w:val="62"/>
          <w:position w:val="27"/>
        </w:rPr>
        <w:t>《福建省城镇排水管道检查井防坠落安全网标准》</w:t>
      </w:r>
    </w:p>
    <w:p w:rsidR="00FC0BA9">
      <w:pPr>
        <w:pStyle w:val="BodyText"/>
        <w:spacing w:before="2" w:line="217" w:lineRule="auto"/>
        <w:ind w:left="23"/>
      </w:pPr>
      <w:r>
        <w:rPr>
          <w:spacing w:val="-4"/>
        </w:rPr>
        <w:t>(DBJ/T13-184-2014);</w:t>
      </w:r>
    </w:p>
    <w:p w:rsidR="00FC0BA9">
      <w:pPr>
        <w:pStyle w:val="BodyText"/>
        <w:spacing w:before="279" w:line="622" w:lineRule="exact"/>
        <w:ind w:left="583"/>
      </w:pPr>
      <w:r>
        <w:rPr>
          <w:spacing w:val="-6"/>
          <w:position w:val="26"/>
        </w:rPr>
        <w:t>《福建省城镇道路检查井技术规范》</w:t>
      </w:r>
      <w:r>
        <w:rPr>
          <w:spacing w:val="-6"/>
          <w:position w:val="26"/>
        </w:rPr>
        <w:t>(DBJ</w:t>
      </w:r>
      <w:r>
        <w:rPr>
          <w:spacing w:val="-7"/>
          <w:position w:val="26"/>
        </w:rPr>
        <w:t>/T13-217-2015);</w:t>
      </w:r>
    </w:p>
    <w:p w:rsidR="00FC0BA9">
      <w:pPr>
        <w:pStyle w:val="BodyText"/>
        <w:spacing w:before="1" w:line="219" w:lineRule="auto"/>
        <w:ind w:left="583"/>
      </w:pPr>
      <w:r>
        <w:rPr>
          <w:spacing w:val="-1"/>
        </w:rPr>
        <w:t>《城市防洪工程设计规范《</w:t>
      </w:r>
      <w:r>
        <w:rPr>
          <w:spacing w:val="-1"/>
        </w:rPr>
        <w:t>GB/T50805-2012)</w:t>
      </w:r>
      <w:r>
        <w:rPr>
          <w:spacing w:val="-1"/>
        </w:rPr>
        <w:t>》</w:t>
      </w:r>
      <w:r>
        <w:rPr>
          <w:spacing w:val="-1"/>
        </w:rPr>
        <w:t>;</w:t>
      </w:r>
    </w:p>
    <w:p w:rsidR="00FC0BA9">
      <w:pPr>
        <w:pStyle w:val="BodyText"/>
        <w:spacing w:before="297" w:line="620" w:lineRule="exact"/>
        <w:ind w:left="583"/>
      </w:pPr>
      <w:r>
        <w:rPr>
          <w:spacing w:val="-6"/>
          <w:position w:val="25"/>
        </w:rPr>
        <w:t>《给水排水管道工程施工及验收规范》</w:t>
      </w:r>
      <w:r>
        <w:rPr>
          <w:spacing w:val="-6"/>
          <w:position w:val="25"/>
        </w:rPr>
        <w:t>(GB  50268-</w:t>
      </w:r>
      <w:r>
        <w:rPr>
          <w:spacing w:val="-7"/>
          <w:position w:val="25"/>
        </w:rPr>
        <w:t>2008)</w:t>
      </w:r>
    </w:p>
    <w:p w:rsidR="00FC0BA9">
      <w:pPr>
        <w:pStyle w:val="BodyText"/>
        <w:spacing w:before="1" w:line="219" w:lineRule="auto"/>
        <w:ind w:left="593"/>
      </w:pPr>
      <w:r>
        <w:rPr>
          <w:spacing w:val="-4"/>
        </w:rPr>
        <w:t>各专业有关国家、行业地方技术规程、规范等。</w:t>
      </w:r>
    </w:p>
    <w:p w:rsidR="00FC0BA9">
      <w:pPr>
        <w:pStyle w:val="BodyText"/>
        <w:spacing w:before="306" w:line="219" w:lineRule="auto"/>
        <w:ind w:left="23"/>
      </w:pPr>
      <w:r>
        <w:rPr>
          <w:spacing w:val="2"/>
        </w:rPr>
        <w:t>1.5</w:t>
      </w:r>
      <w:r>
        <w:rPr>
          <w:spacing w:val="2"/>
        </w:rPr>
        <w:t>本工程采用的坐标系和高程系</w:t>
      </w:r>
    </w:p>
    <w:p w:rsidR="00FC0BA9">
      <w:pPr>
        <w:pStyle w:val="BodyText"/>
        <w:spacing w:before="278" w:line="622" w:lineRule="exact"/>
        <w:ind w:left="593"/>
      </w:pPr>
      <w:r>
        <w:rPr>
          <w:spacing w:val="1"/>
          <w:position w:val="26"/>
        </w:rPr>
        <w:t>本工程采用</w:t>
      </w:r>
      <w:r>
        <w:rPr>
          <w:spacing w:val="1"/>
          <w:position w:val="26"/>
        </w:rPr>
        <w:t>2000</w:t>
      </w:r>
      <w:r>
        <w:rPr>
          <w:spacing w:val="1"/>
          <w:position w:val="26"/>
        </w:rPr>
        <w:t>国家大地坐标系，</w:t>
      </w:r>
      <w:r>
        <w:rPr>
          <w:spacing w:val="1"/>
          <w:position w:val="26"/>
        </w:rPr>
        <w:t>1985</w:t>
      </w:r>
      <w:r>
        <w:rPr>
          <w:spacing w:val="1"/>
          <w:position w:val="26"/>
        </w:rPr>
        <w:t>年国</w:t>
      </w:r>
      <w:r>
        <w:rPr>
          <w:position w:val="26"/>
        </w:rPr>
        <w:t>家高程基准。</w:t>
      </w:r>
    </w:p>
    <w:p w:rsidR="00FC0BA9">
      <w:pPr>
        <w:pStyle w:val="BodyText"/>
        <w:spacing w:line="220" w:lineRule="auto"/>
        <w:ind w:left="593"/>
      </w:pPr>
      <w:r>
        <w:rPr>
          <w:spacing w:val="3"/>
        </w:rPr>
        <w:t>1.6</w:t>
      </w:r>
      <w:r>
        <w:rPr>
          <w:spacing w:val="3"/>
        </w:rPr>
        <w:t>其他一般规定</w:t>
      </w:r>
    </w:p>
    <w:p w:rsidR="00FC0BA9">
      <w:pPr>
        <w:pStyle w:val="BodyText"/>
        <w:spacing w:before="294" w:line="409" w:lineRule="auto"/>
        <w:ind w:left="23" w:right="224" w:firstLine="570"/>
        <w:jc w:val="both"/>
      </w:pPr>
      <w:r>
        <w:rPr>
          <w:spacing w:val="-5"/>
        </w:rPr>
        <w:t>设计圈中尺寸，除已注明者外，管径、井径以毫</w:t>
      </w:r>
      <w:r>
        <w:rPr>
          <w:spacing w:val="-6"/>
        </w:rPr>
        <w:t>米计，其余均以</w:t>
      </w:r>
      <w:r>
        <w:rPr>
          <w:spacing w:val="-4"/>
        </w:rPr>
        <w:t>米计。设计圈中雨水管渠、污水管所注标高为管麋内底</w:t>
      </w:r>
      <w:r>
        <w:rPr>
          <w:spacing w:val="-5"/>
        </w:rPr>
        <w:t>标高，给水管</w:t>
      </w:r>
      <w:r>
        <w:rPr>
          <w:spacing w:val="-4"/>
        </w:rPr>
        <w:t>所注标高为管中心标高。管道定位：除有定位坐标</w:t>
      </w:r>
      <w:r>
        <w:rPr>
          <w:spacing w:val="-5"/>
        </w:rPr>
        <w:t>者外，应根据管道中心线与道路中心线距高，并与道路中心线平行确定；检查井应根据</w:t>
      </w:r>
    </w:p>
    <w:p w:rsidR="00FC0BA9">
      <w:pPr>
        <w:pStyle w:val="BodyText"/>
        <w:spacing w:before="1" w:line="219" w:lineRule="auto"/>
        <w:ind w:left="23"/>
      </w:pPr>
      <w:r>
        <w:rPr>
          <w:spacing w:val="-5"/>
        </w:rPr>
        <w:t>道路里程桩号确定。</w:t>
      </w:r>
    </w:p>
    <w:p w:rsidR="00FC0BA9">
      <w:pPr>
        <w:pStyle w:val="BodyText"/>
        <w:spacing w:before="306" w:line="641" w:lineRule="exact"/>
        <w:ind w:left="593"/>
      </w:pPr>
      <w:r>
        <w:rPr>
          <w:spacing w:val="-5"/>
          <w:position w:val="27"/>
        </w:rPr>
        <w:t>本工程施工开挖前应首先对地下管线进行复测，并在确定设计管</w:t>
      </w:r>
    </w:p>
    <w:p w:rsidR="00FC0BA9">
      <w:pPr>
        <w:pStyle w:val="BodyText"/>
        <w:spacing w:line="219" w:lineRule="auto"/>
        <w:jc w:val="right"/>
      </w:pPr>
      <w:r>
        <w:rPr>
          <w:spacing w:val="-6"/>
        </w:rPr>
        <w:t>线能顺利接入现状管线或现状管线能顺利接入设计管线后，方可施工，</w:t>
      </w:r>
    </w:p>
    <w:p w:rsidR="00FC0BA9">
      <w:pPr>
        <w:spacing w:line="219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31" w:right="1600" w:bottom="0" w:left="1786" w:header="0" w:footer="0" w:gutter="0"/>
          <w:pgNumType w:start="2"/>
          <w:cols w:space="720"/>
        </w:sectPr>
      </w:pPr>
    </w:p>
    <w:p w:rsidR="00FC0BA9">
      <w:pPr>
        <w:pStyle w:val="BodyText"/>
        <w:spacing w:before="169" w:line="409" w:lineRule="auto"/>
        <w:ind w:left="23"/>
        <w:jc w:val="both"/>
      </w:pPr>
      <w:r>
        <w:rPr>
          <w:spacing w:val="-1"/>
        </w:rPr>
        <w:t>并把发现的现状管线及时接入相应的系统，使整个系统能正常运行。</w:t>
      </w:r>
      <w:r>
        <w:rPr>
          <w:spacing w:val="-5"/>
        </w:rPr>
        <w:t>设计管线与现状管线交叉时注意现状管线的保护，如遇特殊情况，应</w:t>
      </w:r>
    </w:p>
    <w:p w:rsidR="00FC0BA9">
      <w:pPr>
        <w:pStyle w:val="BodyText"/>
        <w:spacing w:line="219" w:lineRule="auto"/>
        <w:ind w:left="23"/>
      </w:pPr>
      <w:r>
        <w:rPr>
          <w:spacing w:val="-5"/>
        </w:rPr>
        <w:t>及时与监理公司，合理妥善解决。</w:t>
      </w:r>
    </w:p>
    <w:p w:rsidR="00FC0BA9">
      <w:pPr>
        <w:pStyle w:val="BodyText"/>
        <w:spacing w:before="297" w:line="413" w:lineRule="auto"/>
        <w:ind w:left="23" w:right="82" w:firstLine="570"/>
      </w:pPr>
      <w:r>
        <w:rPr>
          <w:spacing w:val="-5"/>
        </w:rPr>
        <w:t>所有阀门井及检查井均按有地下水施工。米用砖砌并时，并璧内</w:t>
      </w:r>
      <w:r>
        <w:rPr>
          <w:spacing w:val="2"/>
        </w:rPr>
        <w:t>外用</w:t>
      </w:r>
      <w:r>
        <w:rPr>
          <w:spacing w:val="2"/>
        </w:rPr>
        <w:t>20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2"/>
        </w:rPr>
        <w:t>厚</w:t>
      </w:r>
      <w:r>
        <w:rPr>
          <w:spacing w:val="2"/>
        </w:rPr>
        <w:t>1.2</w:t>
      </w:r>
      <w:r>
        <w:rPr>
          <w:spacing w:val="2"/>
        </w:rPr>
        <w:t>防水水泥砂浆抹面到井顶。根据福</w:t>
      </w:r>
      <w:r>
        <w:rPr>
          <w:spacing w:val="1"/>
        </w:rPr>
        <w:t>建省住建厅闽建</w:t>
      </w:r>
      <w:r>
        <w:rPr>
          <w:spacing w:val="-3"/>
        </w:rPr>
        <w:t>拭</w:t>
      </w:r>
      <w:r>
        <w:rPr>
          <w:spacing w:val="-3"/>
        </w:rPr>
        <w:t>~139</w:t>
      </w:r>
      <w:r>
        <w:rPr>
          <w:spacing w:val="-3"/>
        </w:rPr>
        <w:t>号文的相关规定，检查井井框、井座下部间隙大于</w:t>
      </w:r>
      <w:r>
        <w:rPr>
          <w:spacing w:val="-3"/>
        </w:rPr>
        <w:t>30</w:t>
      </w:r>
      <w:r>
        <w:rPr>
          <w:rFonts w:ascii="Times New Roman" w:eastAsia="Times New Roman" w:hAnsi="Times New Roman" w:cs="Times New Roman"/>
          <w:spacing w:val="-3"/>
        </w:rPr>
        <w:t xml:space="preserve">mm </w:t>
      </w:r>
      <w:r>
        <w:rPr>
          <w:spacing w:val="-3"/>
        </w:rPr>
        <w:t>的应</w:t>
      </w:r>
      <w:r>
        <w:rPr>
          <w:spacing w:val="2"/>
        </w:rPr>
        <w:t>采用</w:t>
      </w:r>
      <w:r>
        <w:rPr>
          <w:spacing w:val="2"/>
        </w:rPr>
        <w:t>C30</w:t>
      </w:r>
      <w:r>
        <w:rPr>
          <w:spacing w:val="2"/>
        </w:rPr>
        <w:t>细石混凝土填充密实，井室周围</w:t>
      </w:r>
      <w:r>
        <w:rPr>
          <w:spacing w:val="2"/>
        </w:rPr>
        <w:t>0.5</w:t>
      </w:r>
      <w:r>
        <w:rPr>
          <w:spacing w:val="2"/>
        </w:rPr>
        <w:t>米范</w:t>
      </w:r>
      <w:r>
        <w:rPr>
          <w:spacing w:val="1"/>
        </w:rPr>
        <w:t>围内采用砂回填充</w:t>
      </w:r>
      <w:r>
        <w:t>实，密实度要求同道路路基密实度并不得低于</w:t>
      </w:r>
      <w:r>
        <w:t>95%</w:t>
      </w:r>
      <w:r>
        <w:t>。检查井在路面或</w:t>
      </w:r>
      <w:r>
        <w:rPr>
          <w:spacing w:val="-5"/>
        </w:rPr>
        <w:t>人行道上井顶标高以实际路面为准，并做到与路面平接；在绿化带上</w:t>
      </w:r>
      <w:r>
        <w:rPr>
          <w:spacing w:val="9"/>
        </w:rPr>
        <w:t>其井顶标高应高出地面</w:t>
      </w:r>
      <w:r>
        <w:rPr>
          <w:spacing w:val="9"/>
        </w:rPr>
        <w:t xml:space="preserve">0.05 </w:t>
      </w:r>
      <w:r>
        <w:rPr>
          <w:spacing w:val="9"/>
        </w:rPr>
        <w:t>米。爬梯采用</w:t>
      </w:r>
      <w:r>
        <w:rPr>
          <w:spacing w:val="9"/>
        </w:rPr>
        <w:t xml:space="preserve">2.9 </w:t>
      </w:r>
      <w:r>
        <w:rPr>
          <w:spacing w:val="9"/>
        </w:rPr>
        <w:t>公斤</w:t>
      </w:r>
      <w:r>
        <w:rPr>
          <w:spacing w:val="8"/>
        </w:rPr>
        <w:t>球墨铸铁踏步</w:t>
      </w:r>
    </w:p>
    <w:p w:rsidR="00FC0BA9">
      <w:pPr>
        <w:pStyle w:val="BodyText"/>
        <w:spacing w:line="222" w:lineRule="auto"/>
        <w:ind w:left="23"/>
      </w:pPr>
      <w:r>
        <w:rPr>
          <w:spacing w:val="-8"/>
        </w:rPr>
        <w:t>(14S501-1)</w:t>
      </w:r>
      <w:r>
        <w:rPr>
          <w:spacing w:val="-8"/>
        </w:rPr>
        <w:t>。</w:t>
      </w:r>
    </w:p>
    <w:p w:rsidR="00FC0BA9">
      <w:pPr>
        <w:pStyle w:val="BodyText"/>
        <w:spacing w:before="274" w:line="412" w:lineRule="auto"/>
        <w:ind w:left="23" w:firstLine="570"/>
      </w:pPr>
      <w:r>
        <w:rPr>
          <w:spacing w:val="-6"/>
        </w:rPr>
        <w:t>雨、污水井盖统一采用重型可调式球墨铸铁井盖，</w:t>
      </w:r>
      <w:r>
        <w:rPr>
          <w:spacing w:val="-6"/>
        </w:rPr>
        <w:t>所有井盖内安</w:t>
      </w:r>
      <w:r>
        <w:rPr>
          <w:spacing w:val="-6"/>
        </w:rPr>
        <w:t xml:space="preserve"> </w:t>
      </w:r>
      <w:r>
        <w:rPr>
          <w:spacing w:val="-4"/>
        </w:rPr>
        <w:t>装有防坠安全网。井盖安装做法详见标准图集</w:t>
      </w:r>
      <w:r>
        <w:rPr>
          <w:spacing w:val="-4"/>
        </w:rPr>
        <w:t xml:space="preserve"> S501-1~2</w:t>
      </w:r>
      <w:r>
        <w:rPr>
          <w:spacing w:val="-4"/>
        </w:rPr>
        <w:t>。井盖、井</w:t>
      </w:r>
      <w:r>
        <w:rPr>
          <w:spacing w:val="-2"/>
        </w:rPr>
        <w:t>座必须满足</w:t>
      </w:r>
      <w:r>
        <w:rPr>
          <w:spacing w:val="-2"/>
        </w:rPr>
        <w:t>GB/T23858-2009</w:t>
      </w:r>
      <w:r>
        <w:rPr>
          <w:spacing w:val="-2"/>
        </w:rPr>
        <w:t>要求，机动车道下井盖满足</w:t>
      </w:r>
      <w:r>
        <w:rPr>
          <w:spacing w:val="-2"/>
        </w:rPr>
        <w:t>D400</w:t>
      </w:r>
      <w:r>
        <w:rPr>
          <w:spacing w:val="-2"/>
        </w:rPr>
        <w:t>承载能</w:t>
      </w:r>
      <w:r>
        <w:rPr>
          <w:spacing w:val="-2"/>
        </w:rPr>
        <w:t xml:space="preserve"> </w:t>
      </w:r>
      <w:r>
        <w:rPr>
          <w:spacing w:val="-2"/>
        </w:rPr>
        <w:t>力要求，人行道下满足</w:t>
      </w:r>
      <w:r>
        <w:rPr>
          <w:spacing w:val="-2"/>
        </w:rPr>
        <w:t>B125</w:t>
      </w:r>
      <w:r>
        <w:rPr>
          <w:spacing w:val="-2"/>
        </w:rPr>
        <w:t>承载能力要求，产品需符合质量检验标</w:t>
      </w:r>
      <w:r>
        <w:rPr>
          <w:spacing w:val="-1"/>
        </w:rPr>
        <w:t>准规定，为国家批准生产的品牌产品，且井盖必须为防盗、防跳动、</w:t>
      </w:r>
      <w:r>
        <w:rPr>
          <w:spacing w:val="-5"/>
        </w:rPr>
        <w:t>防噪音的产品。并需在井盖厂家指导下完成。在车行道内的检查井需</w:t>
      </w:r>
      <w:r>
        <w:rPr>
          <w:spacing w:val="-5"/>
        </w:rPr>
        <w:t xml:space="preserve"> </w:t>
      </w:r>
      <w:r>
        <w:rPr>
          <w:spacing w:val="-8"/>
        </w:rPr>
        <w:t>进行加固处理，检查井井圈加固具体做法详见</w:t>
      </w:r>
      <w:r>
        <w:rPr>
          <w:spacing w:val="-8"/>
        </w:rPr>
        <w:t xml:space="preserve"> S501-1~2</w:t>
      </w:r>
      <w:r>
        <w:rPr>
          <w:spacing w:val="-8"/>
        </w:rPr>
        <w:t>。</w:t>
      </w:r>
      <w:r>
        <w:rPr>
          <w:spacing w:val="-8"/>
        </w:rPr>
        <w:t>”</w:t>
      </w:r>
      <w:r>
        <w:rPr>
          <w:spacing w:val="-8"/>
        </w:rPr>
        <w:t>检查</w:t>
      </w:r>
      <w:r>
        <w:rPr>
          <w:spacing w:val="-9"/>
        </w:rPr>
        <w:t>井按</w:t>
      </w:r>
      <w:r>
        <w:rPr>
          <w:spacing w:val="-9"/>
        </w:rPr>
        <w:t xml:space="preserve"> </w:t>
      </w:r>
      <w:r>
        <w:rPr>
          <w:spacing w:val="-2"/>
        </w:rPr>
        <w:t>管道回填示意图进行开挖回填，且车行道下单边糟底宽不小于</w:t>
      </w:r>
      <w:r>
        <w:rPr>
          <w:spacing w:val="-2"/>
        </w:rPr>
        <w:t>40</w:t>
      </w:r>
      <w:r>
        <w:rPr>
          <w:rFonts w:ascii="Times New Roman" w:eastAsia="Times New Roman" w:hAnsi="Times New Roman" w:cs="Times New Roman"/>
          <w:spacing w:val="-2"/>
        </w:rPr>
        <w:t xml:space="preserve">cn,    </w:t>
      </w:r>
      <w:r>
        <w:t>井室周</w:t>
      </w:r>
      <w:r>
        <w:t>0.5</w:t>
      </w:r>
      <w:r>
        <w:t>米范围内采用</w:t>
      </w:r>
      <w:r>
        <w:t>砂回填充实，密</w:t>
      </w:r>
      <w:r>
        <w:rPr>
          <w:spacing w:val="-1"/>
        </w:rPr>
        <w:t>实度要求同道路路基密实度</w:t>
      </w:r>
    </w:p>
    <w:p w:rsidR="00FC0BA9">
      <w:pPr>
        <w:pStyle w:val="BodyText"/>
        <w:spacing w:line="219" w:lineRule="auto"/>
        <w:ind w:left="23"/>
      </w:pPr>
      <w:r>
        <w:rPr>
          <w:spacing w:val="1"/>
        </w:rPr>
        <w:t>并不得低于</w:t>
      </w:r>
      <w:r>
        <w:rPr>
          <w:spacing w:val="1"/>
        </w:rPr>
        <w:t>95%</w:t>
      </w:r>
      <w:r>
        <w:rPr>
          <w:spacing w:val="1"/>
        </w:rPr>
        <w:t>。</w:t>
      </w:r>
    </w:p>
    <w:p w:rsidR="00FC0BA9">
      <w:pPr>
        <w:pStyle w:val="BodyText"/>
        <w:spacing w:before="308" w:line="219" w:lineRule="auto"/>
        <w:ind w:left="593"/>
      </w:pPr>
      <w:r>
        <w:rPr>
          <w:spacing w:val="5"/>
        </w:rPr>
        <w:t>管道应敷设在承载力达到管道基础支撑强度要求的原</w:t>
      </w:r>
      <w:r>
        <w:rPr>
          <w:spacing w:val="4"/>
        </w:rPr>
        <w:t>状土地基</w:t>
      </w:r>
    </w:p>
    <w:p w:rsidR="00FC0BA9">
      <w:pPr>
        <w:spacing w:line="219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431" w:right="1729" w:bottom="0" w:left="1786" w:header="0" w:footer="0" w:gutter="0"/>
          <w:pgNumType w:start="3"/>
          <w:cols w:space="720"/>
        </w:sectPr>
      </w:pPr>
    </w:p>
    <w:p w:rsidR="00FC0BA9">
      <w:pPr>
        <w:pStyle w:val="BodyText"/>
        <w:spacing w:before="136" w:line="411" w:lineRule="auto"/>
        <w:ind w:left="13"/>
        <w:jc w:val="both"/>
      </w:pPr>
      <w:r>
        <w:rPr>
          <w:spacing w:val="8"/>
        </w:rPr>
        <w:t>或经处理后回填密实的地基</w:t>
      </w:r>
      <w:r>
        <w:rPr>
          <w:spacing w:val="8"/>
        </w:rPr>
        <w:t>(</w:t>
      </w:r>
      <w:r>
        <w:rPr>
          <w:spacing w:val="8"/>
        </w:rPr>
        <w:t>地基承载力特征值不小</w:t>
      </w:r>
      <w:r>
        <w:rPr>
          <w:spacing w:val="7"/>
        </w:rPr>
        <w:t>于</w:t>
      </w:r>
      <w:r>
        <w:rPr>
          <w:spacing w:val="7"/>
        </w:rPr>
        <w:t>100</w:t>
      </w:r>
      <w:r>
        <w:rPr>
          <w:rFonts w:ascii="Times New Roman" w:eastAsia="Times New Roman" w:hAnsi="Times New Roman" w:cs="Times New Roman"/>
        </w:rPr>
        <w:t>KPa</w:t>
      </w:r>
      <w:r>
        <w:rPr>
          <w:rFonts w:ascii="Times New Roman" w:eastAsia="Times New Roman" w:hAnsi="Times New Roman" w:cs="Times New Roman"/>
          <w:spacing w:val="7"/>
        </w:rPr>
        <w:t>)</w:t>
      </w:r>
      <w:r>
        <w:rPr>
          <w:spacing w:val="7"/>
        </w:rPr>
        <w:t>上，</w:t>
      </w:r>
      <w:r>
        <w:rPr>
          <w:spacing w:val="-5"/>
        </w:rPr>
        <w:t>对基底不满足设计要求的地段应进行处理，地基处理同时需与道路路</w:t>
      </w:r>
      <w:r>
        <w:rPr>
          <w:spacing w:val="-5"/>
        </w:rPr>
        <w:t xml:space="preserve"> </w:t>
      </w:r>
      <w:r>
        <w:rPr>
          <w:spacing w:val="-5"/>
        </w:rPr>
        <w:t>基处理相结合，并满足道路路基要求。开槽时应根据实际情况采取降</w:t>
      </w:r>
      <w:r>
        <w:rPr>
          <w:spacing w:val="-5"/>
        </w:rPr>
        <w:t xml:space="preserve"> </w:t>
      </w:r>
      <w:r>
        <w:rPr>
          <w:spacing w:val="-4"/>
        </w:rPr>
        <w:t>水措施，保证干槽施工；管道安装后应防止出现浮管现象；当使用机</w:t>
      </w:r>
      <w:r>
        <w:t>械开挖土方时，保留</w:t>
      </w:r>
      <w:r>
        <w:t>20</w:t>
      </w:r>
      <w:r>
        <w:rPr>
          <w:rFonts w:ascii="Times New Roman" w:eastAsia="Times New Roman" w:hAnsi="Times New Roman" w:cs="Times New Roman"/>
        </w:rPr>
        <w:t xml:space="preserve">cm </w:t>
      </w:r>
      <w:r>
        <w:t>土用人工清槽，不得超挖，开槽达</w:t>
      </w:r>
      <w:r>
        <w:rPr>
          <w:spacing w:val="-1"/>
        </w:rPr>
        <w:t>到设计</w:t>
      </w:r>
      <w:r>
        <w:rPr>
          <w:spacing w:val="-1"/>
        </w:rPr>
        <w:t xml:space="preserve"> </w:t>
      </w:r>
      <w:r>
        <w:t>高程后按规定验槽。管沟回填从管道基础部位，</w:t>
      </w:r>
      <w:r>
        <w:rPr>
          <w:spacing w:val="-1"/>
        </w:rPr>
        <w:t>开始到管顶以上</w:t>
      </w:r>
      <w:r>
        <w:rPr>
          <w:spacing w:val="-1"/>
        </w:rPr>
        <w:t xml:space="preserve">0.5 </w:t>
      </w:r>
      <w:r>
        <w:rPr>
          <w:spacing w:val="-5"/>
        </w:rPr>
        <w:t>米范围内，必须用人工回填、夯实，严禁使用机械土液压回填；管道</w:t>
      </w:r>
      <w:r>
        <w:rPr>
          <w:spacing w:val="-5"/>
        </w:rPr>
        <w:t xml:space="preserve"> </w:t>
      </w:r>
      <w:r>
        <w:rPr>
          <w:spacing w:val="1"/>
        </w:rPr>
        <w:t>两侧填土应同时进行，两侧高差不得超过</w:t>
      </w:r>
      <w:r>
        <w:rPr>
          <w:spacing w:val="1"/>
        </w:rPr>
        <w:t>0.3</w:t>
      </w:r>
      <w:r>
        <w:rPr>
          <w:spacing w:val="1"/>
        </w:rPr>
        <w:t>米，并</w:t>
      </w:r>
      <w:r>
        <w:t>要注意管道腋角</w:t>
      </w:r>
      <w:r>
        <w:t xml:space="preserve"> </w:t>
      </w:r>
      <w:r>
        <w:rPr>
          <w:spacing w:val="-5"/>
        </w:rPr>
        <w:t>部位的夯实质量，管道在运输，安装、回填灯过程中，必须注意保护</w:t>
      </w:r>
      <w:r>
        <w:rPr>
          <w:spacing w:val="-5"/>
        </w:rPr>
        <w:t xml:space="preserve"> </w:t>
      </w:r>
      <w:r>
        <w:rPr>
          <w:spacing w:val="5"/>
        </w:rPr>
        <w:t>管材</w:t>
      </w:r>
      <w:r>
        <w:rPr>
          <w:spacing w:val="5"/>
        </w:rPr>
        <w:t>(</w:t>
      </w:r>
      <w:r>
        <w:rPr>
          <w:spacing w:val="5"/>
        </w:rPr>
        <w:t>防腐层</w:t>
      </w:r>
      <w:r>
        <w:rPr>
          <w:spacing w:val="5"/>
        </w:rPr>
        <w:t>)</w:t>
      </w:r>
      <w:r>
        <w:rPr>
          <w:spacing w:val="5"/>
        </w:rPr>
        <w:t>不被破坏，管道搬运、吊装时采用软</w:t>
      </w:r>
      <w:r>
        <w:rPr>
          <w:spacing w:val="4"/>
        </w:rPr>
        <w:t>带吊装，吊装带</w:t>
      </w:r>
    </w:p>
    <w:p w:rsidR="00FC0BA9">
      <w:pPr>
        <w:pStyle w:val="BodyText"/>
        <w:spacing w:line="219" w:lineRule="auto"/>
        <w:ind w:left="13"/>
      </w:pPr>
      <w:r>
        <w:rPr>
          <w:spacing w:val="-7"/>
        </w:rPr>
        <w:t>绳不得直接接触防腐层。</w:t>
      </w:r>
    </w:p>
    <w:p w:rsidR="00FC0BA9">
      <w:pPr>
        <w:spacing w:line="243" w:lineRule="auto"/>
      </w:pPr>
    </w:p>
    <w:p w:rsidR="00FC0BA9">
      <w:pPr>
        <w:pStyle w:val="BodyText"/>
        <w:spacing w:before="91" w:line="621" w:lineRule="exact"/>
        <w:ind w:right="84"/>
        <w:jc w:val="right"/>
      </w:pPr>
      <w:r>
        <w:rPr>
          <w:spacing w:val="-5"/>
          <w:position w:val="26"/>
        </w:rPr>
        <w:t>本工程管道施工除部分指定较深管道需先埋，其余管道均在道路</w:t>
      </w:r>
    </w:p>
    <w:p w:rsidR="00FC0BA9">
      <w:pPr>
        <w:pStyle w:val="BodyText"/>
        <w:spacing w:line="219" w:lineRule="auto"/>
        <w:ind w:left="13"/>
      </w:pPr>
      <w:r>
        <w:rPr>
          <w:spacing w:val="-4"/>
        </w:rPr>
        <w:t>基础处理完后反开挖施工。</w:t>
      </w:r>
    </w:p>
    <w:p w:rsidR="00FC0BA9">
      <w:pPr>
        <w:pStyle w:val="BodyText"/>
        <w:spacing w:before="291" w:line="410" w:lineRule="auto"/>
        <w:ind w:left="13" w:right="98" w:firstLine="580"/>
      </w:pPr>
      <w:r>
        <w:rPr>
          <w:spacing w:val="-3"/>
        </w:rPr>
        <w:t>由于市场销售的商品混凝土最低标号为</w:t>
      </w:r>
      <w:r>
        <w:rPr>
          <w:spacing w:val="-3"/>
        </w:rPr>
        <w:t>C15,</w:t>
      </w:r>
      <w:r>
        <w:rPr>
          <w:spacing w:val="-3"/>
        </w:rPr>
        <w:t>因此本工程中所套</w:t>
      </w:r>
      <w:r>
        <w:rPr>
          <w:spacing w:val="-1"/>
        </w:rPr>
        <w:t>用的国标图中采用</w:t>
      </w:r>
      <w:r>
        <w:rPr>
          <w:spacing w:val="-1"/>
        </w:rPr>
        <w:t>C10</w:t>
      </w:r>
      <w:r>
        <w:rPr>
          <w:spacing w:val="-1"/>
        </w:rPr>
        <w:t>混凝土的地方一律改用</w:t>
      </w:r>
      <w:r>
        <w:rPr>
          <w:spacing w:val="-1"/>
        </w:rPr>
        <w:t>C15</w:t>
      </w:r>
      <w:r>
        <w:rPr>
          <w:spacing w:val="-1"/>
        </w:rPr>
        <w:t>混凝土。由于粘土</w:t>
      </w:r>
      <w:r>
        <w:rPr>
          <w:spacing w:val="5"/>
        </w:rPr>
        <w:t>砖烧制过程污染环境，因此本工程设计圈中及所套用的国标图中的</w:t>
      </w:r>
    </w:p>
    <w:p w:rsidR="00FC0BA9">
      <w:pPr>
        <w:pStyle w:val="BodyText"/>
        <w:spacing w:before="1" w:line="218" w:lineRule="auto"/>
        <w:ind w:left="13"/>
      </w:pPr>
      <w:r>
        <w:rPr>
          <w:rFonts w:ascii="Times New Roman" w:eastAsia="Times New Roman" w:hAnsi="Times New Roman" w:cs="Times New Roman"/>
          <w:spacing w:val="-13"/>
        </w:rPr>
        <w:t>MU10</w:t>
      </w:r>
      <w:r>
        <w:rPr>
          <w:spacing w:val="-13"/>
        </w:rPr>
        <w:t>砖必须采用</w:t>
      </w:r>
      <w:r>
        <w:rPr>
          <w:rFonts w:ascii="Times New Roman" w:eastAsia="Times New Roman" w:hAnsi="Times New Roman" w:cs="Times New Roman"/>
          <w:spacing w:val="-13"/>
        </w:rPr>
        <w:t>MU10</w:t>
      </w:r>
      <w:r>
        <w:rPr>
          <w:spacing w:val="-13"/>
        </w:rPr>
        <w:t>普通砼砌块</w:t>
      </w:r>
      <w:r>
        <w:rPr>
          <w:spacing w:val="-13"/>
        </w:rPr>
        <w:t>(</w:t>
      </w:r>
      <w:r>
        <w:rPr>
          <w:spacing w:val="-14"/>
        </w:rPr>
        <w:t>实心</w:t>
      </w:r>
      <w:r>
        <w:rPr>
          <w:spacing w:val="-14"/>
        </w:rPr>
        <w:t>)</w:t>
      </w:r>
      <w:r>
        <w:rPr>
          <w:spacing w:val="-14"/>
        </w:rPr>
        <w:t>。</w:t>
      </w:r>
    </w:p>
    <w:p w:rsidR="00FC0BA9">
      <w:pPr>
        <w:pStyle w:val="BodyText"/>
        <w:spacing w:before="283" w:line="418" w:lineRule="auto"/>
        <w:ind w:left="13" w:right="3" w:firstLine="580"/>
      </w:pPr>
      <w:r>
        <w:rPr>
          <w:spacing w:val="-6"/>
        </w:rPr>
        <w:t>标准图集</w:t>
      </w:r>
      <w:r>
        <w:rPr>
          <w:spacing w:val="-6"/>
        </w:rPr>
        <w:t xml:space="preserve">07MS101-2,06MS201-3 </w:t>
      </w:r>
      <w:r>
        <w:rPr>
          <w:spacing w:val="-6"/>
        </w:rPr>
        <w:t>中的</w:t>
      </w:r>
      <w:r>
        <w:rPr>
          <w:spacing w:val="-6"/>
        </w:rPr>
        <w:t>|</w:t>
      </w:r>
      <w:r>
        <w:rPr>
          <w:spacing w:val="-6"/>
        </w:rPr>
        <w:t>级钢筋</w:t>
      </w:r>
      <w:r>
        <w:rPr>
          <w:rFonts w:ascii="Times New Roman" w:eastAsia="Times New Roman" w:hAnsi="Times New Roman" w:cs="Times New Roman"/>
          <w:spacing w:val="-6"/>
        </w:rPr>
        <w:t>HPB235</w:t>
      </w:r>
      <w:r>
        <w:rPr>
          <w:spacing w:val="-6"/>
        </w:rPr>
        <w:t>已不采用，</w:t>
      </w:r>
      <w:r>
        <w:rPr>
          <w:spacing w:val="-3"/>
        </w:rPr>
        <w:t>改为</w:t>
      </w:r>
      <w:r>
        <w:rPr>
          <w:rFonts w:ascii="Times New Roman" w:eastAsia="Times New Roman" w:hAnsi="Times New Roman" w:cs="Times New Roman"/>
          <w:spacing w:val="-3"/>
        </w:rPr>
        <w:t>HPB300</w:t>
      </w:r>
      <w:r>
        <w:rPr>
          <w:spacing w:val="-3"/>
        </w:rPr>
        <w:t>(</w:t>
      </w:r>
      <w:r>
        <w:rPr>
          <w:spacing w:val="-3"/>
        </w:rPr>
        <w:t>参见</w:t>
      </w:r>
      <w:r>
        <w:rPr>
          <w:spacing w:val="-3"/>
        </w:rPr>
        <w:t>GB50010-2010)</w:t>
      </w:r>
      <w:r>
        <w:rPr>
          <w:spacing w:val="-3"/>
        </w:rPr>
        <w:t>、</w:t>
      </w:r>
      <w:r>
        <w:rPr>
          <w:spacing w:val="-4"/>
        </w:rPr>
        <w:t>标准图中采用的</w:t>
      </w:r>
      <w:r>
        <w:rPr>
          <w:spacing w:val="-4"/>
        </w:rPr>
        <w:t>M7.5</w:t>
      </w:r>
      <w:r>
        <w:rPr>
          <w:spacing w:val="-4"/>
        </w:rPr>
        <w:t>水泥沙浆改</w:t>
      </w:r>
      <w:r>
        <w:rPr>
          <w:spacing w:val="-4"/>
        </w:rPr>
        <w:t xml:space="preserve"> </w:t>
      </w:r>
      <w:r>
        <w:rPr>
          <w:spacing w:val="-9"/>
        </w:rPr>
        <w:t>为</w:t>
      </w:r>
      <w:r>
        <w:rPr>
          <w:spacing w:val="-9"/>
        </w:rPr>
        <w:t>M10</w:t>
      </w:r>
      <w:r>
        <w:rPr>
          <w:spacing w:val="-9"/>
        </w:rPr>
        <w:t>水泥砂，</w:t>
      </w:r>
      <w:r>
        <w:rPr>
          <w:rFonts w:ascii="Times New Roman" w:eastAsia="Times New Roman" w:hAnsi="Times New Roman" w:cs="Times New Roman"/>
          <w:spacing w:val="-9"/>
        </w:rPr>
        <w:t>HPB235</w:t>
      </w:r>
      <w:r>
        <w:rPr>
          <w:spacing w:val="-9"/>
        </w:rPr>
        <w:t>钢筋改为</w:t>
      </w:r>
      <w:r>
        <w:rPr>
          <w:rFonts w:ascii="Times New Roman" w:eastAsia="Times New Roman" w:hAnsi="Times New Roman" w:cs="Times New Roman"/>
          <w:spacing w:val="-9"/>
        </w:rPr>
        <w:t xml:space="preserve">HPB300,Ⅱ </w:t>
      </w:r>
      <w:r>
        <w:rPr>
          <w:spacing w:val="-9"/>
        </w:rPr>
        <w:t>级钢筋</w:t>
      </w:r>
      <w:r>
        <w:rPr>
          <w:rFonts w:ascii="Times New Roman" w:eastAsia="Times New Roman" w:hAnsi="Times New Roman" w:cs="Times New Roman"/>
          <w:spacing w:val="-9"/>
        </w:rPr>
        <w:t>HRB335</w:t>
      </w:r>
      <w:r>
        <w:rPr>
          <w:spacing w:val="-9"/>
        </w:rPr>
        <w:t>改为</w:t>
      </w:r>
      <w:r>
        <w:rPr>
          <w:rFonts w:ascii="Times New Roman" w:eastAsia="Times New Roman" w:hAnsi="Times New Roman" w:cs="Times New Roman"/>
          <w:spacing w:val="-9"/>
        </w:rPr>
        <w:t xml:space="preserve">HRB400  </w:t>
      </w:r>
      <w:r>
        <w:rPr>
          <w:spacing w:val="-2"/>
        </w:rPr>
        <w:t>Ⅲ</w:t>
      </w:r>
      <w:r>
        <w:rPr>
          <w:spacing w:val="-2"/>
        </w:rPr>
        <w:t>级钢筋；检查井、排出口中的墙身用水泥砂浆由</w:t>
      </w:r>
      <w:r>
        <w:rPr>
          <w:spacing w:val="-2"/>
        </w:rPr>
        <w:t xml:space="preserve">M7.5 </w:t>
      </w:r>
      <w:r>
        <w:rPr>
          <w:spacing w:val="-2"/>
        </w:rPr>
        <w:t>改为</w:t>
      </w:r>
      <w:r>
        <w:rPr>
          <w:spacing w:val="-2"/>
        </w:rPr>
        <w:t>M10(</w:t>
      </w:r>
      <w:r>
        <w:rPr>
          <w:spacing w:val="-2"/>
        </w:rPr>
        <w:t>参</w:t>
      </w:r>
    </w:p>
    <w:p w:rsidR="00FC0BA9">
      <w:pPr>
        <w:pStyle w:val="BodyText"/>
        <w:spacing w:before="1" w:line="219" w:lineRule="auto"/>
        <w:ind w:left="13"/>
      </w:pPr>
      <w:r>
        <w:rPr>
          <w:spacing w:val="7"/>
        </w:rPr>
        <w:t>考</w:t>
      </w:r>
      <w:r>
        <w:t>CB</w:t>
      </w:r>
      <w:r>
        <w:rPr>
          <w:spacing w:val="7"/>
        </w:rPr>
        <w:t>50069-2002</w:t>
      </w:r>
      <w:r>
        <w:rPr>
          <w:spacing w:val="7"/>
        </w:rPr>
        <w:t>第</w:t>
      </w:r>
      <w:r>
        <w:rPr>
          <w:spacing w:val="7"/>
        </w:rPr>
        <w:t>3.0.11.3</w:t>
      </w:r>
      <w:r>
        <w:rPr>
          <w:spacing w:val="7"/>
        </w:rPr>
        <w:t>条</w:t>
      </w:r>
      <w:r>
        <w:rPr>
          <w:spacing w:val="7"/>
        </w:rPr>
        <w:t>)</w:t>
      </w:r>
      <w:r>
        <w:rPr>
          <w:spacing w:val="7"/>
        </w:rPr>
        <w:t>。</w:t>
      </w:r>
    </w:p>
    <w:p w:rsidR="00FC0BA9">
      <w:pPr>
        <w:spacing w:line="219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431" w:right="1739" w:bottom="0" w:left="1786" w:header="0" w:footer="0" w:gutter="0"/>
          <w:pgNumType w:start="4"/>
          <w:cols w:space="720"/>
        </w:sectPr>
      </w:pPr>
    </w:p>
    <w:p w:rsidR="00FC0BA9">
      <w:pPr>
        <w:pStyle w:val="BodyText"/>
        <w:spacing w:before="168" w:line="409" w:lineRule="auto"/>
        <w:ind w:left="3" w:right="50" w:firstLine="580"/>
        <w:jc w:val="both"/>
      </w:pPr>
      <w:r>
        <w:rPr>
          <w:spacing w:val="-5"/>
        </w:rPr>
        <w:t>所有管材、管件及其它材料，均应符合现行国家及相关行业标准要求，并且有出厂合格证。检查井井周回填要求详见《给水排水管道</w:t>
      </w:r>
      <w:r>
        <w:t>工程施工及验收规范》第</w:t>
      </w:r>
      <w:r>
        <w:t>4.5</w:t>
      </w:r>
      <w:r>
        <w:t>沟槽回填章节。市政消火栓应有明星的</w:t>
      </w:r>
    </w:p>
    <w:p w:rsidR="00FC0BA9">
      <w:pPr>
        <w:pStyle w:val="BodyText"/>
        <w:spacing w:line="218" w:lineRule="auto"/>
        <w:ind w:left="3"/>
      </w:pPr>
      <w:r>
        <w:rPr>
          <w:spacing w:val="-4"/>
        </w:rPr>
        <w:t>永久性标志，设于机械易撞击的地点应有防撞措施。</w:t>
      </w:r>
    </w:p>
    <w:p w:rsidR="00FC0BA9">
      <w:pPr>
        <w:spacing w:line="243" w:lineRule="auto"/>
      </w:pPr>
    </w:p>
    <w:p w:rsidR="00FC0BA9">
      <w:pPr>
        <w:pStyle w:val="BodyText"/>
        <w:spacing w:before="91" w:line="220" w:lineRule="auto"/>
        <w:ind w:left="7"/>
        <w:outlineLvl w:val="0"/>
      </w:pPr>
      <w:r>
        <w:rPr>
          <w:b/>
          <w:bCs/>
          <w:spacing w:val="-2"/>
          <w:u w:val="single"/>
        </w:rPr>
        <w:t>2</w:t>
      </w:r>
      <w:r>
        <w:rPr>
          <w:b/>
          <w:bCs/>
          <w:spacing w:val="-2"/>
          <w:u w:val="single"/>
        </w:rPr>
        <w:t>、施工方案</w:t>
      </w:r>
    </w:p>
    <w:p w:rsidR="00FC0BA9">
      <w:pPr>
        <w:pStyle w:val="BodyText"/>
        <w:spacing w:before="259" w:line="415" w:lineRule="auto"/>
        <w:ind w:left="3" w:right="45" w:firstLine="580"/>
      </w:pPr>
      <w:r>
        <w:rPr>
          <w:spacing w:val="-4"/>
        </w:rPr>
        <w:t>2.1.1.</w:t>
      </w:r>
      <w:r>
        <w:rPr>
          <w:spacing w:val="-4"/>
        </w:rPr>
        <w:t>本工程给水管设计结合总规来布置。</w:t>
      </w:r>
      <w:r>
        <w:rPr>
          <w:spacing w:val="-5"/>
        </w:rPr>
        <w:t>设计范围内给水管均为新建，给水管道主要布置在遭路两侧的人行道下，并与相交路现状</w:t>
      </w:r>
    </w:p>
    <w:p w:rsidR="00FC0BA9">
      <w:pPr>
        <w:pStyle w:val="BodyText"/>
        <w:spacing w:before="1" w:line="218" w:lineRule="auto"/>
        <w:ind w:left="3"/>
      </w:pPr>
      <w:r>
        <w:rPr>
          <w:spacing w:val="-1"/>
        </w:rPr>
        <w:t>或已设计给水管进行对接，本工程给水管管径为</w:t>
      </w:r>
      <w:r>
        <w:rPr>
          <w:spacing w:val="-1"/>
        </w:rPr>
        <w:t>DN200~DN500</w:t>
      </w:r>
      <w:r>
        <w:rPr>
          <w:spacing w:val="-1"/>
        </w:rPr>
        <w:t>。</w:t>
      </w:r>
    </w:p>
    <w:p w:rsidR="00FC0BA9">
      <w:pPr>
        <w:pStyle w:val="BodyText"/>
        <w:spacing w:before="296" w:line="412" w:lineRule="auto"/>
        <w:ind w:left="3" w:right="65" w:firstLine="580"/>
      </w:pPr>
      <w:r>
        <w:t>2.1.2.</w:t>
      </w:r>
      <w:r>
        <w:t>给水管道采用开挖理设，管道基础为</w:t>
      </w:r>
      <w:r>
        <w:t>0.2</w:t>
      </w:r>
      <w:r>
        <w:rPr>
          <w:rFonts w:ascii="Times New Roman" w:eastAsia="Times New Roman" w:hAnsi="Times New Roman" w:cs="Times New Roman"/>
        </w:rPr>
        <w:t>m</w:t>
      </w:r>
      <w:r>
        <w:t>中粗砂垫层，</w:t>
      </w:r>
      <w:r>
        <w:rPr>
          <w:spacing w:val="-5"/>
        </w:rPr>
        <w:t>如遇软土地基需另作处理。如已扰动，则分层夯实，夯实密实度要求</w:t>
      </w:r>
      <w:r>
        <w:rPr>
          <w:spacing w:val="-4"/>
        </w:rPr>
        <w:t>参见《给水排水管道工程施工及验收规范》</w:t>
      </w:r>
      <w:r>
        <w:rPr>
          <w:spacing w:val="-4"/>
        </w:rPr>
        <w:t>(GB50268-2008</w:t>
      </w:r>
      <w:r>
        <w:rPr>
          <w:spacing w:val="-5"/>
        </w:rPr>
        <w:t>)</w:t>
      </w:r>
      <w:r>
        <w:rPr>
          <w:spacing w:val="-5"/>
        </w:rPr>
        <w:t>有关条文规定并应满足道路路基相关要求；给水管道在人行道、非机动车道下</w:t>
      </w:r>
      <w:r>
        <w:rPr>
          <w:spacing w:val="-1"/>
        </w:rPr>
        <w:t>时，管沟沟槽底至管顶</w:t>
      </w:r>
      <w:r>
        <w:rPr>
          <w:spacing w:val="-1"/>
        </w:rPr>
        <w:t>0.5</w:t>
      </w:r>
      <w:r>
        <w:rPr>
          <w:spacing w:val="-1"/>
        </w:rPr>
        <w:t>米范围内用中粗砂回填，待管道水压实验合格后，管顶</w:t>
      </w:r>
      <w:r>
        <w:rPr>
          <w:spacing w:val="-1"/>
        </w:rPr>
        <w:t>0.5</w:t>
      </w:r>
      <w:r>
        <w:rPr>
          <w:spacing w:val="-1"/>
        </w:rPr>
        <w:t>米以上再采用中粗砂回填至路床底；给水管道在绿</w:t>
      </w:r>
      <w:r>
        <w:rPr>
          <w:spacing w:val="4"/>
        </w:rPr>
        <w:t>化带下时，管沟回填采用中粗砂回填至管顶以上</w:t>
      </w:r>
      <w:r>
        <w:rPr>
          <w:spacing w:val="4"/>
        </w:rPr>
        <w:t xml:space="preserve">0.5m, </w:t>
      </w:r>
      <w:r>
        <w:rPr>
          <w:spacing w:val="4"/>
        </w:rPr>
        <w:t>待管道水压</w:t>
      </w:r>
      <w:r>
        <w:rPr>
          <w:spacing w:val="-7"/>
        </w:rPr>
        <w:t>实验合格后，管顶以上</w:t>
      </w:r>
      <w:r>
        <w:rPr>
          <w:spacing w:val="-7"/>
        </w:rPr>
        <w:t>0.5</w:t>
      </w:r>
      <w:r>
        <w:rPr>
          <w:rFonts w:ascii="Times New Roman" w:eastAsia="Times New Roman" w:hAnsi="Times New Roman" w:cs="Times New Roman"/>
          <w:spacing w:val="-7"/>
        </w:rPr>
        <w:t>m</w:t>
      </w:r>
      <w:r>
        <w:rPr>
          <w:spacing w:val="-7"/>
        </w:rPr>
        <w:t>至路床底再采用好土回填，给水管道在机</w:t>
      </w:r>
      <w:r>
        <w:rPr>
          <w:spacing w:val="-1"/>
        </w:rPr>
        <w:t>动</w:t>
      </w:r>
      <w:r>
        <w:rPr>
          <w:spacing w:val="-1"/>
        </w:rPr>
        <w:t>车道下时沟槽底至管顶</w:t>
      </w:r>
      <w:r>
        <w:rPr>
          <w:spacing w:val="-1"/>
        </w:rPr>
        <w:t>0.5</w:t>
      </w:r>
      <w:r>
        <w:rPr>
          <w:spacing w:val="-1"/>
        </w:rPr>
        <w:t>米范围内用中粗砂回填，特管道水压实</w:t>
      </w:r>
      <w:r>
        <w:rPr>
          <w:spacing w:val="3"/>
        </w:rPr>
        <w:t>验合格后，管顶</w:t>
      </w:r>
      <w:r>
        <w:rPr>
          <w:spacing w:val="3"/>
        </w:rPr>
        <w:t>0.5</w:t>
      </w:r>
      <w:r>
        <w:rPr>
          <w:spacing w:val="3"/>
        </w:rPr>
        <w:t>米以上再采用中粗砂回填至路</w:t>
      </w:r>
      <w:r>
        <w:rPr>
          <w:spacing w:val="2"/>
        </w:rPr>
        <w:t>床底以下</w:t>
      </w:r>
      <w:r>
        <w:rPr>
          <w:spacing w:val="2"/>
        </w:rPr>
        <w:t>0.3</w:t>
      </w:r>
      <w:r>
        <w:rPr>
          <w:rFonts w:ascii="Times New Roman" w:eastAsia="Times New Roman" w:hAnsi="Times New Roman" w:cs="Times New Roman"/>
          <w:spacing w:val="2"/>
        </w:rPr>
        <w:t>m,</w:t>
      </w:r>
      <w:r>
        <w:rPr>
          <w:spacing w:val="2"/>
        </w:rPr>
        <w:t>路</w:t>
      </w:r>
      <w:r>
        <w:rPr>
          <w:spacing w:val="-7"/>
        </w:rPr>
        <w:t>床底以下</w:t>
      </w:r>
      <w:r>
        <w:rPr>
          <w:spacing w:val="-7"/>
        </w:rPr>
        <w:t>0.3</w:t>
      </w:r>
      <w:r>
        <w:rPr>
          <w:rFonts w:ascii="Times New Roman" w:eastAsia="Times New Roman" w:hAnsi="Times New Roman" w:cs="Times New Roman"/>
          <w:spacing w:val="-7"/>
        </w:rPr>
        <w:t>m</w:t>
      </w:r>
      <w:r>
        <w:rPr>
          <w:spacing w:val="-7"/>
        </w:rPr>
        <w:t>至路床底采用好土回填，回填土要求详见《给水排水管</w:t>
      </w:r>
    </w:p>
    <w:p w:rsidR="00FC0BA9">
      <w:pPr>
        <w:pStyle w:val="BodyText"/>
        <w:spacing w:line="219" w:lineRule="auto"/>
        <w:ind w:left="3"/>
      </w:pPr>
      <w:r>
        <w:rPr>
          <w:spacing w:val="-3"/>
        </w:rPr>
        <w:t>道工程施工及验收规范》有关条文规定。</w:t>
      </w:r>
    </w:p>
    <w:p w:rsidR="00FC0BA9">
      <w:pPr>
        <w:pStyle w:val="BodyText"/>
        <w:spacing w:before="273" w:line="644" w:lineRule="exact"/>
        <w:ind w:right="23"/>
        <w:jc w:val="right"/>
      </w:pPr>
      <w:r>
        <w:rPr>
          <w:spacing w:val="-5"/>
          <w:position w:val="28"/>
        </w:rPr>
        <w:t>2.1.3.</w:t>
      </w:r>
      <w:r>
        <w:rPr>
          <w:spacing w:val="-5"/>
          <w:position w:val="28"/>
        </w:rPr>
        <w:t>管材与接口：本工程给水管采用球墨铸铁管</w:t>
      </w:r>
      <w:r>
        <w:rPr>
          <w:spacing w:val="-5"/>
          <w:position w:val="28"/>
        </w:rPr>
        <w:t>(K9</w:t>
      </w:r>
      <w:r>
        <w:rPr>
          <w:spacing w:val="-5"/>
          <w:position w:val="28"/>
        </w:rPr>
        <w:t>级</w:t>
      </w:r>
      <w:r>
        <w:rPr>
          <w:spacing w:val="-5"/>
          <w:position w:val="28"/>
        </w:rPr>
        <w:t xml:space="preserve">),T </w:t>
      </w:r>
      <w:r>
        <w:rPr>
          <w:spacing w:val="-5"/>
          <w:position w:val="28"/>
        </w:rPr>
        <w:t>型</w:t>
      </w:r>
    </w:p>
    <w:p w:rsidR="00FC0BA9">
      <w:pPr>
        <w:pStyle w:val="BodyText"/>
        <w:spacing w:before="1" w:line="218" w:lineRule="auto"/>
        <w:ind w:left="3"/>
      </w:pPr>
      <w:r>
        <w:rPr>
          <w:spacing w:val="-5"/>
        </w:rPr>
        <w:t>胶圈接口连接。用户管管材及消火栓连接管与主管管材一致。过桥梁</w:t>
      </w:r>
    </w:p>
    <w:p w:rsidR="00FC0BA9">
      <w:pPr>
        <w:spacing w:line="218" w:lineRule="auto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431" w:right="1786" w:bottom="0" w:left="1786" w:header="0" w:footer="0" w:gutter="0"/>
          <w:pgNumType w:start="5"/>
          <w:cols w:space="720"/>
        </w:sectPr>
      </w:pPr>
    </w:p>
    <w:p w:rsidR="00FC0BA9">
      <w:pPr>
        <w:pStyle w:val="BodyText"/>
        <w:spacing w:before="168" w:line="409" w:lineRule="auto"/>
        <w:ind w:left="23" w:right="139"/>
        <w:jc w:val="both"/>
      </w:pPr>
      <w:r>
        <w:rPr>
          <w:spacing w:val="-10"/>
        </w:rPr>
        <w:t>处采用焊接钢管，钢管应做防腐处理要求如下</w:t>
      </w:r>
      <w:r>
        <w:rPr>
          <w:spacing w:val="-11"/>
        </w:rPr>
        <w:t>：钢管及管件经除锈后，</w:t>
      </w:r>
      <w:r>
        <w:rPr>
          <w:spacing w:val="1"/>
        </w:rPr>
        <w:t>内防腐采用</w:t>
      </w:r>
      <w:r>
        <w:rPr>
          <w:rFonts w:ascii="Times New Roman" w:eastAsia="Times New Roman" w:hAnsi="Times New Roman" w:cs="Times New Roman"/>
        </w:rPr>
        <w:t>FC</w:t>
      </w:r>
      <w:r>
        <w:rPr>
          <w:rFonts w:ascii="Times New Roman" w:eastAsia="Times New Roman" w:hAnsi="Times New Roman" w:cs="Times New Roman"/>
          <w:spacing w:val="1"/>
        </w:rPr>
        <w:t xml:space="preserve">-17 </w:t>
      </w:r>
      <w:r>
        <w:rPr>
          <w:spacing w:val="1"/>
        </w:rPr>
        <w:t>无毒环氧粉末涂料涂塑，含喷钢砂</w:t>
      </w:r>
      <w:r>
        <w:rPr>
          <w:spacing w:val="1"/>
        </w:rPr>
        <w:t>除锈</w:t>
      </w:r>
      <w:r>
        <w:rPr>
          <w:spacing w:val="1"/>
        </w:rPr>
        <w:t>2.5</w:t>
      </w:r>
      <w:r>
        <w:rPr>
          <w:spacing w:val="1"/>
        </w:rPr>
        <w:t>级</w:t>
      </w:r>
      <w:r>
        <w:t>；外</w:t>
      </w:r>
    </w:p>
    <w:p w:rsidR="00FC0BA9">
      <w:pPr>
        <w:pStyle w:val="BodyText"/>
        <w:spacing w:line="218" w:lineRule="auto"/>
        <w:ind w:left="23"/>
      </w:pPr>
      <w:r>
        <w:rPr>
          <w:spacing w:val="2"/>
        </w:rPr>
        <w:t>防腐埋地管道采用使用特种氰凝涂料，含喷钢砂除锈</w:t>
      </w:r>
      <w:r>
        <w:rPr>
          <w:spacing w:val="2"/>
        </w:rPr>
        <w:t>2.5</w:t>
      </w:r>
      <w:r>
        <w:rPr>
          <w:spacing w:val="2"/>
        </w:rPr>
        <w:t>级。</w:t>
      </w:r>
    </w:p>
    <w:p w:rsidR="00FC0BA9">
      <w:pPr>
        <w:pStyle w:val="BodyText"/>
        <w:spacing w:before="315" w:line="408" w:lineRule="auto"/>
        <w:ind w:left="23" w:right="235" w:firstLine="560"/>
      </w:pPr>
      <w:r>
        <w:rPr>
          <w:spacing w:val="-5"/>
        </w:rPr>
        <w:t>2.1.4.</w:t>
      </w:r>
      <w:r>
        <w:rPr>
          <w:spacing w:val="-5"/>
        </w:rPr>
        <w:t>管道转弯处，承插式可采用管道借转单节最大借转角度为</w:t>
      </w:r>
      <w:r>
        <w:rPr>
          <w:spacing w:val="4"/>
        </w:rPr>
        <w:t>1.5,</w:t>
      </w:r>
      <w:r>
        <w:rPr>
          <w:spacing w:val="4"/>
        </w:rPr>
        <w:t>管材允许最大借转角度详见《给水排水管道工程施工及验收规</w:t>
      </w:r>
      <w:r>
        <w:rPr>
          <w:spacing w:val="-7"/>
        </w:rPr>
        <w:t>范》</w:t>
      </w:r>
      <w:r>
        <w:rPr>
          <w:spacing w:val="-7"/>
        </w:rPr>
        <w:t>(GB50268-2008)</w:t>
      </w:r>
      <w:r>
        <w:rPr>
          <w:spacing w:val="-7"/>
        </w:rPr>
        <w:t>。</w:t>
      </w:r>
      <w:r>
        <w:rPr>
          <w:spacing w:val="-7"/>
        </w:rPr>
        <w:t xml:space="preserve"> </w:t>
      </w:r>
      <w:r>
        <w:rPr>
          <w:spacing w:val="-7"/>
        </w:rPr>
        <w:t>当角度较大时</w:t>
      </w:r>
      <w:r>
        <w:rPr>
          <w:spacing w:val="-8"/>
        </w:rPr>
        <w:t>可以根据现场的实际情况增加相</w:t>
      </w:r>
      <w:r>
        <w:rPr>
          <w:spacing w:val="-5"/>
        </w:rPr>
        <w:t>应的弯头配件。给水管配件均与主管一致。管道转弯及三通处按照规</w:t>
      </w:r>
      <w:r>
        <w:t>定增设支墩，管道支墩详见国标</w:t>
      </w:r>
      <w:r>
        <w:t>10S505,</w:t>
      </w:r>
      <w:r>
        <w:t>管道工</w:t>
      </w:r>
      <w:r>
        <w:rPr>
          <w:spacing w:val="-1"/>
        </w:rPr>
        <w:t>作压力及相应的设计</w:t>
      </w:r>
    </w:p>
    <w:p w:rsidR="00FC0BA9">
      <w:pPr>
        <w:pStyle w:val="BodyText"/>
        <w:spacing w:line="219" w:lineRule="auto"/>
        <w:ind w:left="23"/>
      </w:pPr>
      <w:r>
        <w:rPr>
          <w:spacing w:val="-1"/>
        </w:rPr>
        <w:t>内水压力选用详见</w:t>
      </w:r>
      <w:r>
        <w:rPr>
          <w:spacing w:val="-1"/>
        </w:rPr>
        <w:t>10S505-6</w:t>
      </w:r>
      <w:r>
        <w:rPr>
          <w:spacing w:val="-1"/>
        </w:rPr>
        <w:t>页。</w:t>
      </w:r>
    </w:p>
    <w:p w:rsidR="00FC0BA9">
      <w:pPr>
        <w:pStyle w:val="BodyText"/>
        <w:spacing w:before="304" w:line="409" w:lineRule="auto"/>
        <w:ind w:left="23" w:firstLine="560"/>
      </w:pPr>
      <w:r>
        <w:rPr>
          <w:spacing w:val="-1"/>
        </w:rPr>
        <w:t>2.1.5.</w:t>
      </w:r>
      <w:r>
        <w:rPr>
          <w:spacing w:val="-1"/>
        </w:rPr>
        <w:t>给水管按规范要求设置消火栓，消火栓间</w:t>
      </w:r>
      <w:r>
        <w:rPr>
          <w:spacing w:val="-2"/>
        </w:rPr>
        <w:t>距不大于</w:t>
      </w:r>
      <w:r>
        <w:rPr>
          <w:spacing w:val="-2"/>
        </w:rPr>
        <w:t>120</w:t>
      </w:r>
      <w:r>
        <w:rPr>
          <w:spacing w:val="-2"/>
        </w:rPr>
        <w:t>米，</w:t>
      </w:r>
      <w:r>
        <w:rPr>
          <w:spacing w:val="7"/>
        </w:rPr>
        <w:t>消火拴距路边不超过</w:t>
      </w:r>
      <w:r>
        <w:rPr>
          <w:spacing w:val="7"/>
        </w:rPr>
        <w:t>2</w:t>
      </w:r>
      <w:r>
        <w:rPr>
          <w:spacing w:val="7"/>
        </w:rPr>
        <w:t>米。消火栓施工详见国标圈</w:t>
      </w:r>
      <w:r>
        <w:rPr>
          <w:spacing w:val="7"/>
        </w:rPr>
        <w:t>13S201-19,</w:t>
      </w:r>
      <w:r>
        <w:rPr>
          <w:spacing w:val="7"/>
        </w:rPr>
        <w:t>消火</w:t>
      </w:r>
      <w:r>
        <w:rPr>
          <w:spacing w:val="7"/>
        </w:rPr>
        <w:t xml:space="preserve">  </w:t>
      </w:r>
      <w:r>
        <w:rPr>
          <w:spacing w:val="-5"/>
        </w:rPr>
        <w:t>栓前设置阀门，消火栓尽可能设在交叉口和醒目处，本项目消火栓布</w:t>
      </w:r>
      <w:r>
        <w:rPr>
          <w:spacing w:val="-5"/>
        </w:rPr>
        <w:t xml:space="preserve">  </w:t>
      </w:r>
      <w:r>
        <w:rPr>
          <w:spacing w:val="-1"/>
        </w:rPr>
        <w:t>置在绿化带内，距路缘石</w:t>
      </w:r>
      <w:r>
        <w:rPr>
          <w:spacing w:val="-1"/>
        </w:rPr>
        <w:t>0.5</w:t>
      </w:r>
      <w:r>
        <w:rPr>
          <w:rFonts w:ascii="Times New Roman" w:eastAsia="Times New Roman" w:hAnsi="Times New Roman" w:cs="Times New Roman"/>
          <w:spacing w:val="-1"/>
        </w:rPr>
        <w:t>m,</w:t>
      </w:r>
      <w:r>
        <w:rPr>
          <w:spacing w:val="-1"/>
        </w:rPr>
        <w:t>采用地上式</w:t>
      </w:r>
      <w:r>
        <w:rPr>
          <w:spacing w:val="-1"/>
        </w:rPr>
        <w:t xml:space="preserve"> SS100/65-1.0 </w:t>
      </w:r>
      <w:r>
        <w:rPr>
          <w:spacing w:val="-1"/>
        </w:rPr>
        <w:t>型支管深</w:t>
      </w:r>
      <w:r>
        <w:rPr>
          <w:spacing w:val="-1"/>
        </w:rPr>
        <w:t xml:space="preserve">  </w:t>
      </w:r>
      <w:r>
        <w:rPr>
          <w:spacing w:val="-5"/>
        </w:rPr>
        <w:t>装，消火栓的连接管直径为</w:t>
      </w:r>
      <w:r>
        <w:rPr>
          <w:spacing w:val="-5"/>
        </w:rPr>
        <w:t>DN100</w:t>
      </w:r>
      <w:r>
        <w:rPr>
          <w:spacing w:val="-5"/>
        </w:rPr>
        <w:t>。</w:t>
      </w:r>
      <w:r>
        <w:rPr>
          <w:spacing w:val="-5"/>
        </w:rPr>
        <w:t xml:space="preserve"> </w:t>
      </w:r>
      <w:r>
        <w:rPr>
          <w:spacing w:val="-5"/>
        </w:rPr>
        <w:t>给水在正常路段的预留支管阀门</w:t>
      </w:r>
      <w:r>
        <w:rPr>
          <w:spacing w:val="-5"/>
        </w:rPr>
        <w:t xml:space="preserve">  </w:t>
      </w:r>
      <w:r>
        <w:rPr>
          <w:spacing w:val="5"/>
        </w:rPr>
        <w:t>井中心位于道路红线外侧</w:t>
      </w:r>
      <w:r>
        <w:rPr>
          <w:spacing w:val="5"/>
        </w:rPr>
        <w:t>2.0</w:t>
      </w:r>
      <w:r>
        <w:rPr>
          <w:spacing w:val="5"/>
        </w:rPr>
        <w:t>米。所有给水预留阀门井末端采用</w:t>
      </w:r>
      <w:r>
        <w:rPr>
          <w:spacing w:val="5"/>
        </w:rPr>
        <w:t>1.5</w:t>
      </w:r>
    </w:p>
    <w:p w:rsidR="00FC0BA9">
      <w:pPr>
        <w:pStyle w:val="BodyText"/>
        <w:spacing w:before="1" w:line="218" w:lineRule="auto"/>
        <w:ind w:left="23"/>
      </w:pPr>
      <w:r>
        <w:rPr>
          <w:spacing w:val="-5"/>
        </w:rPr>
        <w:t>米管延长出阀门井后采用盲板封堵。</w:t>
      </w:r>
    </w:p>
    <w:p w:rsidR="00FC0BA9">
      <w:pPr>
        <w:spacing w:line="248" w:lineRule="auto"/>
      </w:pPr>
    </w:p>
    <w:p w:rsidR="00FC0BA9">
      <w:pPr>
        <w:pStyle w:val="BodyText"/>
        <w:spacing w:before="91" w:line="407" w:lineRule="auto"/>
        <w:ind w:left="23" w:firstLine="560"/>
      </w:pPr>
      <w:r>
        <w:rPr>
          <w:spacing w:val="-13"/>
        </w:rPr>
        <w:t>2.1.6.</w:t>
      </w:r>
      <w:r>
        <w:rPr>
          <w:spacing w:val="-13"/>
        </w:rPr>
        <w:t>管道防腐：钢制的配件经除锈后，涂刷防腐底漆二道，面漆</w:t>
      </w:r>
      <w:r>
        <w:rPr>
          <w:spacing w:val="-13"/>
        </w:rPr>
        <w:t xml:space="preserve">  </w:t>
      </w:r>
      <w:r>
        <w:rPr>
          <w:spacing w:val="-2"/>
        </w:rPr>
        <w:t>二道</w:t>
      </w:r>
      <w:r>
        <w:rPr>
          <w:spacing w:val="-2"/>
        </w:rPr>
        <w:t>(</w:t>
      </w:r>
      <w:r>
        <w:rPr>
          <w:spacing w:val="-2"/>
        </w:rPr>
        <w:t>明设配件肪腐处理方式</w:t>
      </w:r>
      <w:r>
        <w:rPr>
          <w:spacing w:val="-2"/>
        </w:rPr>
        <w:t>)</w:t>
      </w:r>
      <w:r>
        <w:rPr>
          <w:spacing w:val="-2"/>
        </w:rPr>
        <w:t>法兰应采用国标喷塑法兰。如果管道、</w:t>
      </w:r>
      <w:r>
        <w:rPr>
          <w:spacing w:val="-6"/>
        </w:rPr>
        <w:t>管件出厂已做标准肪腐，则现场检查破损处亦按上述要求补内外防腐。</w:t>
      </w:r>
      <w:r>
        <w:rPr>
          <w:spacing w:val="-8"/>
        </w:rPr>
        <w:t>管道内外防腐按《给水排水管道工程施工及验收规范》</w:t>
      </w:r>
      <w:r>
        <w:rPr>
          <w:spacing w:val="-8"/>
        </w:rPr>
        <w:t xml:space="preserve">(GB50268-2008) </w:t>
      </w:r>
      <w:r>
        <w:rPr>
          <w:spacing w:val="-5"/>
        </w:rPr>
        <w:t>执行。给水管道内防腐材料应符合《生活饮用水输配水设备及防护材</w:t>
      </w:r>
    </w:p>
    <w:p w:rsidR="00FC0BA9">
      <w:pPr>
        <w:pStyle w:val="BodyText"/>
        <w:spacing w:before="2" w:line="217" w:lineRule="auto"/>
        <w:ind w:left="23"/>
      </w:pPr>
      <w:r>
        <w:rPr>
          <w:spacing w:val="-5"/>
        </w:rPr>
        <w:t>料的安全性评价标准》</w:t>
      </w:r>
      <w:r>
        <w:rPr>
          <w:spacing w:val="-5"/>
        </w:rPr>
        <w:t xml:space="preserve">GB/T17219-1998 </w:t>
      </w:r>
      <w:r>
        <w:rPr>
          <w:spacing w:val="-5"/>
        </w:rPr>
        <w:t>的要求。</w:t>
      </w:r>
    </w:p>
    <w:p w:rsidR="00FC0BA9">
      <w:pPr>
        <w:spacing w:line="217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431" w:right="1600" w:bottom="0" w:left="1786" w:header="0" w:footer="0" w:gutter="0"/>
          <w:pgNumType w:start="6"/>
          <w:cols w:space="720"/>
        </w:sectPr>
      </w:pPr>
    </w:p>
    <w:p w:rsidR="00FC0BA9">
      <w:pPr>
        <w:pStyle w:val="BodyText"/>
        <w:spacing w:before="182" w:line="411" w:lineRule="auto"/>
        <w:ind w:left="3" w:right="49" w:firstLine="570"/>
        <w:jc w:val="both"/>
      </w:pPr>
      <w:r>
        <w:rPr>
          <w:spacing w:val="-7"/>
        </w:rPr>
        <w:t>2.1.7.</w:t>
      </w:r>
      <w:r>
        <w:rPr>
          <w:spacing w:val="-7"/>
        </w:rPr>
        <w:t>本工程给水管径</w:t>
      </w:r>
      <w:r>
        <w:rPr>
          <w:spacing w:val="-7"/>
        </w:rPr>
        <w:t xml:space="preserve">≤DN300 </w:t>
      </w:r>
      <w:r>
        <w:rPr>
          <w:spacing w:val="-7"/>
        </w:rPr>
        <w:t>采用闸阀，</w:t>
      </w:r>
      <w:r>
        <w:rPr>
          <w:spacing w:val="-7"/>
        </w:rPr>
        <w:t xml:space="preserve">&gt;DN300 </w:t>
      </w:r>
      <w:r>
        <w:rPr>
          <w:spacing w:val="-7"/>
        </w:rPr>
        <w:t>采用蝶阀。所</w:t>
      </w:r>
      <w:r>
        <w:rPr>
          <w:spacing w:val="-5"/>
        </w:rPr>
        <w:t>有阀门均要采用不锈钢阀杆。阀门侧加钢制伸缩节方便今后阀门拆装</w:t>
      </w:r>
      <w:r>
        <w:rPr>
          <w:spacing w:val="-4"/>
        </w:rPr>
        <w:t>方便。阀门井采用</w:t>
      </w:r>
      <w:r>
        <w:rPr>
          <w:spacing w:val="-4"/>
        </w:rPr>
        <w:t>地面操作砖砌圃形立式井。地面操作砖砌圆形立式井、排泥、排气阀门井、室外地上式消火栓、钢制管件等施工晃国标</w:t>
      </w:r>
      <w:r>
        <w:rPr>
          <w:spacing w:val="-4"/>
        </w:rPr>
        <w:t>07MS101</w:t>
      </w:r>
      <w:r>
        <w:rPr>
          <w:spacing w:val="-4"/>
        </w:rPr>
        <w:t>。</w:t>
      </w:r>
      <w:r>
        <w:rPr>
          <w:spacing w:val="-4"/>
        </w:rPr>
        <w:t xml:space="preserve"> </w:t>
      </w:r>
      <w:r>
        <w:rPr>
          <w:spacing w:val="-4"/>
        </w:rPr>
        <w:t>除排泥湿井外所有阀门井均按按有地下水施工。位于车道</w:t>
      </w:r>
    </w:p>
    <w:p w:rsidR="00FC0BA9">
      <w:pPr>
        <w:pStyle w:val="BodyText"/>
        <w:spacing w:line="218" w:lineRule="auto"/>
        <w:ind w:left="3"/>
      </w:pPr>
      <w:r>
        <w:rPr>
          <w:spacing w:val="-5"/>
        </w:rPr>
        <w:t>下的还需对阀门井周边进行加固处理，其做法与机动车道下雨水</w:t>
      </w:r>
      <w:r>
        <w:rPr>
          <w:spacing w:val="-6"/>
        </w:rPr>
        <w:t>、污</w:t>
      </w:r>
    </w:p>
    <w:p w:rsidR="00FC0BA9">
      <w:pPr>
        <w:pStyle w:val="BodyText"/>
        <w:spacing w:before="299" w:line="219" w:lineRule="auto"/>
        <w:ind w:left="3"/>
      </w:pPr>
      <w:r>
        <w:rPr>
          <w:spacing w:val="-4"/>
        </w:rPr>
        <w:t>水检查井加固一致。</w:t>
      </w:r>
    </w:p>
    <w:p w:rsidR="00FC0BA9">
      <w:pPr>
        <w:pStyle w:val="BodyText"/>
        <w:spacing w:before="147" w:line="560" w:lineRule="exact"/>
        <w:ind w:right="56"/>
        <w:jc w:val="right"/>
      </w:pPr>
      <w:r>
        <w:rPr>
          <w:spacing w:val="5"/>
          <w:position w:val="21"/>
        </w:rPr>
        <w:t>(1)</w:t>
      </w:r>
      <w:r>
        <w:rPr>
          <w:spacing w:val="5"/>
          <w:position w:val="21"/>
        </w:rPr>
        <w:t>、阀门安装前检查：阀体、零件无裂缝、重皮等缺陷、阀</w:t>
      </w:r>
    </w:p>
    <w:p w:rsidR="00FC0BA9">
      <w:pPr>
        <w:pStyle w:val="BodyText"/>
        <w:spacing w:line="219" w:lineRule="auto"/>
        <w:ind w:left="3"/>
      </w:pPr>
      <w:r>
        <w:rPr>
          <w:spacing w:val="-3"/>
        </w:rPr>
        <w:t>杆转动灵活。无卡涩现象，解体检查结合良好，无</w:t>
      </w:r>
      <w:r>
        <w:rPr>
          <w:spacing w:val="-4"/>
        </w:rPr>
        <w:t>缺陷。</w:t>
      </w:r>
    </w:p>
    <w:p w:rsidR="00FC0BA9">
      <w:pPr>
        <w:pStyle w:val="BodyText"/>
        <w:spacing w:before="196" w:line="363" w:lineRule="auto"/>
        <w:ind w:left="3" w:firstLine="720"/>
      </w:pPr>
      <w:r>
        <w:rPr>
          <w:spacing w:val="5"/>
        </w:rPr>
        <w:t>(2)</w:t>
      </w:r>
      <w:r>
        <w:rPr>
          <w:spacing w:val="5"/>
        </w:rPr>
        <w:t>、阀门安装：按图纸位置进行定位，两种管材接阀门处均</w:t>
      </w:r>
      <w:r>
        <w:rPr>
          <w:spacing w:val="-5"/>
        </w:rPr>
        <w:t>采用钢短管法兰，安装阀门时，应量准位置，修齐管口，安装已焊接</w:t>
      </w:r>
      <w:r>
        <w:rPr>
          <w:spacing w:val="-2"/>
        </w:rPr>
        <w:t>好的短管法兰放好橡胶垫，然后用</w:t>
      </w:r>
      <w:r>
        <w:rPr>
          <w:spacing w:val="-2"/>
        </w:rPr>
        <w:t>吊车将阀门吊放就位，上好螺栓，</w:t>
      </w:r>
    </w:p>
    <w:p w:rsidR="00FC0BA9">
      <w:pPr>
        <w:pStyle w:val="BodyText"/>
        <w:spacing w:line="219" w:lineRule="auto"/>
        <w:ind w:left="3"/>
      </w:pPr>
      <w:r>
        <w:rPr>
          <w:spacing w:val="-4"/>
        </w:rPr>
        <w:t>拧紧螺线时，要均匀拧紧，确保接缝的密封度。</w:t>
      </w:r>
    </w:p>
    <w:p w:rsidR="00FC0BA9">
      <w:pPr>
        <w:pStyle w:val="BodyText"/>
        <w:spacing w:before="196" w:line="357" w:lineRule="auto"/>
        <w:ind w:left="3" w:right="69" w:firstLine="720"/>
      </w:pPr>
      <w:r>
        <w:rPr>
          <w:spacing w:val="5"/>
        </w:rPr>
        <w:t>(3)</w:t>
      </w:r>
      <w:r>
        <w:rPr>
          <w:spacing w:val="5"/>
        </w:rPr>
        <w:t>、阀门井砌筑：砖材在使用前浇水，不得有干心现象，砖</w:t>
      </w:r>
      <w:r>
        <w:rPr>
          <w:spacing w:val="-5"/>
        </w:rPr>
        <w:t>砌体应上下错缝内外搭接，砂浆饱满，不得有通缝，井室砌筑后应及</w:t>
      </w:r>
    </w:p>
    <w:p w:rsidR="00FC0BA9">
      <w:pPr>
        <w:pStyle w:val="BodyText"/>
        <w:spacing w:line="220" w:lineRule="auto"/>
        <w:ind w:left="3"/>
      </w:pPr>
      <w:r>
        <w:rPr>
          <w:spacing w:val="-5"/>
        </w:rPr>
        <w:t>时安装井盖。</w:t>
      </w:r>
    </w:p>
    <w:p w:rsidR="00FC0BA9">
      <w:pPr>
        <w:spacing w:line="261" w:lineRule="auto"/>
      </w:pPr>
    </w:p>
    <w:p w:rsidR="00FC0BA9">
      <w:pPr>
        <w:pStyle w:val="BodyText"/>
        <w:spacing w:before="92" w:line="410" w:lineRule="auto"/>
        <w:ind w:left="3" w:firstLine="590"/>
        <w:jc w:val="both"/>
      </w:pPr>
      <w:r>
        <w:rPr>
          <w:spacing w:val="-5"/>
        </w:rPr>
        <w:t>2.1.8.</w:t>
      </w:r>
      <w:r>
        <w:rPr>
          <w:spacing w:val="-5"/>
        </w:rPr>
        <w:t>水压试验及消毒：给水管管道安装完毕后，需按《给水排</w:t>
      </w:r>
      <w:r>
        <w:rPr>
          <w:spacing w:val="-4"/>
        </w:rPr>
        <w:t>水管道施工及验收规范》要求做水压试验及消毒，试验压力应满足表</w:t>
      </w:r>
      <w:r>
        <w:rPr>
          <w:spacing w:val="-9"/>
        </w:rPr>
        <w:t>10.2.10</w:t>
      </w:r>
      <w:r>
        <w:rPr>
          <w:spacing w:val="-9"/>
        </w:rPr>
        <w:t>要求，且金具管道不小于</w:t>
      </w:r>
      <w:r>
        <w:rPr>
          <w:spacing w:val="-9"/>
        </w:rPr>
        <w:t>1.1</w:t>
      </w:r>
      <w:r>
        <w:rPr>
          <w:rFonts w:ascii="Times New Roman" w:eastAsia="Times New Roman" w:hAnsi="Times New Roman" w:cs="Times New Roman"/>
          <w:spacing w:val="-9"/>
        </w:rPr>
        <w:t>MPa</w:t>
      </w:r>
      <w:r>
        <w:rPr>
          <w:spacing w:val="-9"/>
        </w:rPr>
        <w:t>、非金属管道不小于</w:t>
      </w:r>
      <w:r>
        <w:rPr>
          <w:spacing w:val="-9"/>
        </w:rPr>
        <w:t>0.9</w:t>
      </w:r>
      <w:r>
        <w:rPr>
          <w:rFonts w:ascii="Times New Roman" w:eastAsia="Times New Roman" w:hAnsi="Times New Roman" w:cs="Times New Roman"/>
          <w:spacing w:val="-9"/>
        </w:rPr>
        <w:t>MPa,</w:t>
      </w:r>
      <w:r>
        <w:rPr>
          <w:spacing w:val="2"/>
        </w:rPr>
        <w:t>给水管工作压力按</w:t>
      </w:r>
      <w:r>
        <w:rPr>
          <w:spacing w:val="2"/>
        </w:rPr>
        <w:t>0.6</w:t>
      </w:r>
      <w:r>
        <w:t>MPa</w:t>
      </w:r>
      <w:r>
        <w:rPr>
          <w:spacing w:val="2"/>
        </w:rPr>
        <w:t>考虑。压力管道囤工验收前应进行</w:t>
      </w:r>
      <w:r>
        <w:rPr>
          <w:spacing w:val="1"/>
        </w:rPr>
        <w:t>水压试</w:t>
      </w:r>
      <w:r>
        <w:rPr>
          <w:spacing w:val="-2"/>
        </w:rPr>
        <w:t>验。生活饮用水管道运行前应冲洗、消毒管道沿线应设置管道标志，</w:t>
      </w:r>
      <w:r>
        <w:rPr>
          <w:spacing w:val="-4"/>
        </w:rPr>
        <w:t>城区外的地下管道应在地面上设置标志桩，城区内管道应在顶部上方</w:t>
      </w:r>
    </w:p>
    <w:p w:rsidR="00FC0BA9">
      <w:pPr>
        <w:pStyle w:val="BodyText"/>
        <w:spacing w:line="219" w:lineRule="auto"/>
        <w:ind w:left="3"/>
      </w:pPr>
      <w:r>
        <w:rPr>
          <w:spacing w:val="-4"/>
        </w:rPr>
        <w:t>300mm</w:t>
      </w:r>
      <w:r>
        <w:rPr>
          <w:spacing w:val="-4"/>
        </w:rPr>
        <w:t>处设警示带。</w:t>
      </w:r>
    </w:p>
    <w:p w:rsidR="00FC0BA9">
      <w:pPr>
        <w:spacing w:line="219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431" w:right="1770" w:bottom="0" w:left="1786" w:header="0" w:footer="0" w:gutter="0"/>
          <w:pgNumType w:start="7"/>
          <w:cols w:space="720"/>
        </w:sectPr>
      </w:pPr>
    </w:p>
    <w:p w:rsidR="00FC0BA9">
      <w:pPr>
        <w:pStyle w:val="BodyText"/>
        <w:spacing w:before="56" w:line="219" w:lineRule="auto"/>
        <w:ind w:left="163"/>
      </w:pPr>
      <w:r>
        <w:rPr>
          <w:spacing w:val="-5"/>
        </w:rPr>
        <w:t>(1)</w:t>
      </w:r>
      <w:r>
        <w:rPr>
          <w:spacing w:val="-5"/>
        </w:rPr>
        <w:t>、水压试验前准备工作应符合下列规定：</w:t>
      </w:r>
    </w:p>
    <w:p w:rsidR="00FC0BA9">
      <w:pPr>
        <w:pStyle w:val="BodyText"/>
        <w:spacing w:before="224" w:line="217" w:lineRule="auto"/>
        <w:ind w:left="573"/>
      </w:pPr>
      <w:r>
        <w:rPr>
          <w:spacing w:val="-4"/>
        </w:rPr>
        <w:t>①</w:t>
      </w:r>
      <w:r>
        <w:rPr>
          <w:spacing w:val="-4"/>
        </w:rPr>
        <w:t>试验管段所有敞口应封闭，不得有渗水现象；</w:t>
      </w:r>
    </w:p>
    <w:p w:rsidR="00FC0BA9">
      <w:pPr>
        <w:pStyle w:val="BodyText"/>
        <w:spacing w:before="200" w:line="552" w:lineRule="exact"/>
        <w:ind w:left="573"/>
      </w:pPr>
      <w:r>
        <w:rPr>
          <w:spacing w:val="-4"/>
          <w:position w:val="20"/>
        </w:rPr>
        <w:t>②</w:t>
      </w:r>
      <w:r>
        <w:rPr>
          <w:spacing w:val="-4"/>
          <w:position w:val="20"/>
        </w:rPr>
        <w:t>试验管道不得用闸阀做堵板，不得含消火栓、水锤消除器、安</w:t>
      </w:r>
    </w:p>
    <w:p w:rsidR="00FC0BA9">
      <w:pPr>
        <w:pStyle w:val="BodyText"/>
        <w:spacing w:line="218" w:lineRule="auto"/>
        <w:ind w:left="13"/>
      </w:pPr>
      <w:r>
        <w:rPr>
          <w:spacing w:val="-11"/>
        </w:rPr>
        <w:t>全阀的附件；</w:t>
      </w:r>
    </w:p>
    <w:p w:rsidR="00FC0BA9">
      <w:pPr>
        <w:pStyle w:val="BodyText"/>
        <w:spacing w:before="203" w:line="359" w:lineRule="auto"/>
        <w:ind w:left="13" w:right="342" w:firstLine="560"/>
      </w:pPr>
      <w:r>
        <w:rPr>
          <w:spacing w:val="-4"/>
        </w:rPr>
        <w:t>③</w:t>
      </w:r>
      <w:r>
        <w:rPr>
          <w:spacing w:val="-4"/>
        </w:rPr>
        <w:t>水压试验前应清除管道内的杂物。给水管道安装</w:t>
      </w:r>
      <w:r>
        <w:rPr>
          <w:spacing w:val="-5"/>
        </w:rPr>
        <w:t>完毕、且未全部回填前进行管道水压试验。所有给水管道均作水压强度试验和严密</w:t>
      </w:r>
      <w:r>
        <w:rPr>
          <w:spacing w:val="-1"/>
        </w:rPr>
        <w:t>性试验，工作压力</w:t>
      </w:r>
      <w:r>
        <w:rPr>
          <w:spacing w:val="-1"/>
        </w:rPr>
        <w:t>0.6</w:t>
      </w:r>
      <w:r>
        <w:rPr>
          <w:rFonts w:ascii="Times New Roman" w:eastAsia="Times New Roman" w:hAnsi="Times New Roman" w:cs="Times New Roman"/>
          <w:spacing w:val="-1"/>
        </w:rPr>
        <w:t xml:space="preserve">MPa,  </w:t>
      </w:r>
      <w:r>
        <w:rPr>
          <w:spacing w:val="-1"/>
        </w:rPr>
        <w:t>强度试验压力为</w:t>
      </w:r>
      <w:r>
        <w:rPr>
          <w:spacing w:val="-1"/>
        </w:rPr>
        <w:t>0.9</w:t>
      </w:r>
      <w:r>
        <w:rPr>
          <w:rFonts w:ascii="Times New Roman" w:eastAsia="Times New Roman" w:hAnsi="Times New Roman" w:cs="Times New Roman"/>
          <w:spacing w:val="-1"/>
        </w:rPr>
        <w:t>MPa</w:t>
      </w:r>
      <w:r>
        <w:rPr>
          <w:spacing w:val="-1"/>
        </w:rPr>
        <w:t>。给水管道进行</w:t>
      </w:r>
      <w:r>
        <w:rPr>
          <w:spacing w:val="5"/>
        </w:rPr>
        <w:t>试压，试压前，试压段管道两头用盲板封堵，灌</w:t>
      </w:r>
      <w:r>
        <w:rPr>
          <w:spacing w:val="4"/>
        </w:rPr>
        <w:t>水浸泡应大于</w:t>
      </w:r>
      <w:r>
        <w:rPr>
          <w:spacing w:val="4"/>
        </w:rPr>
        <w:t>24</w:t>
      </w:r>
      <w:r>
        <w:rPr>
          <w:spacing w:val="4"/>
        </w:rPr>
        <w:t>小</w:t>
      </w:r>
    </w:p>
    <w:p w:rsidR="00FC0BA9">
      <w:pPr>
        <w:pStyle w:val="BodyText"/>
        <w:spacing w:before="1" w:line="212" w:lineRule="auto"/>
        <w:ind w:left="13"/>
      </w:pPr>
      <w:r>
        <w:rPr>
          <w:spacing w:val="1"/>
        </w:rPr>
        <w:t>时。试压要求：注水打压至</w:t>
      </w:r>
      <w:r>
        <w:rPr>
          <w:rFonts w:ascii="Times New Roman" w:eastAsia="Times New Roman" w:hAnsi="Times New Roman" w:cs="Times New Roman"/>
        </w:rPr>
        <w:t>Pn</w:t>
      </w:r>
      <w:r>
        <w:rPr>
          <w:rFonts w:ascii="Times New Roman" w:eastAsia="Times New Roman" w:hAnsi="Times New Roman" w:cs="Times New Roman"/>
          <w:spacing w:val="1"/>
        </w:rPr>
        <w:t>=0.9</w:t>
      </w:r>
      <w:r>
        <w:rPr>
          <w:rFonts w:ascii="Times New Roman" w:eastAsia="Times New Roman" w:hAnsi="Times New Roman" w:cs="Times New Roman"/>
        </w:rPr>
        <w:t>MPa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spacing w:val="1"/>
        </w:rPr>
        <w:t>稳压</w:t>
      </w:r>
      <w:r>
        <w:rPr>
          <w:spacing w:val="1"/>
        </w:rPr>
        <w:t xml:space="preserve">10 </w:t>
      </w:r>
      <w:r>
        <w:rPr>
          <w:spacing w:val="1"/>
        </w:rPr>
        <w:t>分钟，无渗漏现象</w:t>
      </w:r>
    </w:p>
    <w:p w:rsidR="00FC0BA9">
      <w:pPr>
        <w:pStyle w:val="BodyText"/>
        <w:spacing w:before="246" w:line="540" w:lineRule="exact"/>
        <w:ind w:left="13"/>
      </w:pPr>
      <w:r>
        <w:rPr>
          <w:position w:val="19"/>
        </w:rPr>
        <w:t>后，降至工作压力。</w:t>
      </w:r>
      <w:r>
        <w:rPr>
          <w:position w:val="19"/>
        </w:rPr>
        <w:t>30</w:t>
      </w:r>
      <w:r>
        <w:rPr>
          <w:position w:val="19"/>
        </w:rPr>
        <w:t>分钟后，压力降低不得大于</w:t>
      </w:r>
      <w:r>
        <w:rPr>
          <w:position w:val="19"/>
        </w:rPr>
        <w:t>0.02</w:t>
      </w:r>
      <w:r>
        <w:rPr>
          <w:rFonts w:ascii="Times New Roman" w:eastAsia="Times New Roman" w:hAnsi="Times New Roman" w:cs="Times New Roman"/>
          <w:position w:val="19"/>
        </w:rPr>
        <w:t>MPa</w:t>
      </w:r>
      <w:r>
        <w:rPr>
          <w:position w:val="19"/>
        </w:rPr>
        <w:t>。</w:t>
      </w:r>
    </w:p>
    <w:p w:rsidR="00FC0BA9">
      <w:pPr>
        <w:pStyle w:val="BodyText"/>
        <w:spacing w:line="219" w:lineRule="auto"/>
        <w:ind w:left="163"/>
      </w:pPr>
      <w:r>
        <w:rPr>
          <w:spacing w:val="-6"/>
        </w:rPr>
        <w:t>(2)</w:t>
      </w:r>
      <w:r>
        <w:rPr>
          <w:spacing w:val="-6"/>
        </w:rPr>
        <w:t>、水压试验应符合下列规定：</w:t>
      </w:r>
    </w:p>
    <w:p w:rsidR="00FC0BA9">
      <w:pPr>
        <w:spacing w:line="162" w:lineRule="exact"/>
      </w:pPr>
    </w:p>
    <w:tbl>
      <w:tblPr>
        <w:tblStyle w:val="TableNormal00"/>
        <w:tblW w:w="8450" w:type="dxa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81"/>
        <w:gridCol w:w="1978"/>
        <w:gridCol w:w="3591"/>
      </w:tblGrid>
      <w:tr>
        <w:tblPrEx>
          <w:tblW w:w="8450" w:type="dxa"/>
          <w:tblInd w:w="18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73"/>
        </w:trPr>
        <w:tc>
          <w:tcPr>
            <w:tcW w:w="2881" w:type="dxa"/>
          </w:tcPr>
          <w:p w:rsidR="00FC0BA9">
            <w:pPr>
              <w:pStyle w:val="TableText"/>
              <w:spacing w:before="53" w:line="219" w:lineRule="auto"/>
              <w:ind w:left="974"/>
            </w:pPr>
            <w:r>
              <w:rPr>
                <w:spacing w:val="2"/>
              </w:rPr>
              <w:t>管材种类</w:t>
            </w:r>
          </w:p>
        </w:tc>
        <w:tc>
          <w:tcPr>
            <w:tcW w:w="1978" w:type="dxa"/>
          </w:tcPr>
          <w:p w:rsidR="00FC0BA9">
            <w:pPr>
              <w:pStyle w:val="TableText"/>
              <w:spacing w:before="44" w:line="219" w:lineRule="auto"/>
              <w:ind w:left="463"/>
            </w:pPr>
            <w:r>
              <w:rPr>
                <w:spacing w:val="-3"/>
              </w:rPr>
              <w:t>工作压力</w:t>
            </w:r>
            <w:r>
              <w:rPr>
                <w:spacing w:val="-3"/>
              </w:rPr>
              <w:t>P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54" w:line="219" w:lineRule="auto"/>
              <w:ind w:left="1325"/>
            </w:pPr>
            <w:r>
              <w:rPr>
                <w:spacing w:val="4"/>
              </w:rPr>
              <w:t>试验压力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69"/>
        </w:trPr>
        <w:tc>
          <w:tcPr>
            <w:tcW w:w="2881" w:type="dxa"/>
          </w:tcPr>
          <w:p w:rsidR="00FC0BA9">
            <w:pPr>
              <w:pStyle w:val="TableText"/>
              <w:spacing w:before="31" w:line="219" w:lineRule="auto"/>
              <w:ind w:left="1204"/>
            </w:pPr>
            <w:r>
              <w:rPr>
                <w:spacing w:val="-2"/>
              </w:rPr>
              <w:t>钢管</w:t>
            </w:r>
          </w:p>
        </w:tc>
        <w:tc>
          <w:tcPr>
            <w:tcW w:w="1978" w:type="dxa"/>
          </w:tcPr>
          <w:p w:rsidR="00FC0BA9">
            <w:pPr>
              <w:pStyle w:val="TableText"/>
              <w:spacing w:before="112" w:line="182" w:lineRule="auto"/>
              <w:ind w:left="924"/>
            </w:pPr>
            <w:r>
              <w:t>P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78" w:line="216" w:lineRule="auto"/>
              <w:ind w:left="805"/>
            </w:pPr>
            <w:r>
              <w:rPr>
                <w:spacing w:val="1"/>
              </w:rPr>
              <w:t>P+0.5,</w:t>
            </w:r>
            <w:r>
              <w:rPr>
                <w:spacing w:val="1"/>
              </w:rPr>
              <w:t>且不小于</w:t>
            </w:r>
            <w:r>
              <w:rPr>
                <w:spacing w:val="1"/>
              </w:rPr>
              <w:t>0.9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68"/>
        </w:trPr>
        <w:tc>
          <w:tcPr>
            <w:tcW w:w="2881" w:type="dxa"/>
            <w:vMerge w:val="restart"/>
            <w:tcBorders>
              <w:bottom w:val="nil"/>
            </w:tcBorders>
          </w:tcPr>
          <w:p w:rsidR="00FC0BA9">
            <w:pPr>
              <w:spacing w:line="455" w:lineRule="auto"/>
            </w:pPr>
          </w:p>
          <w:p w:rsidR="00FC0BA9">
            <w:pPr>
              <w:pStyle w:val="TableText"/>
              <w:spacing w:before="74" w:line="219" w:lineRule="auto"/>
              <w:ind w:left="855"/>
            </w:pPr>
            <w:r>
              <w:rPr>
                <w:spacing w:val="2"/>
              </w:rPr>
              <w:t>球墨铸铁管</w:t>
            </w:r>
          </w:p>
        </w:tc>
        <w:tc>
          <w:tcPr>
            <w:tcW w:w="1978" w:type="dxa"/>
          </w:tcPr>
          <w:p w:rsidR="00FC0BA9">
            <w:pPr>
              <w:pStyle w:val="TableText"/>
              <w:spacing w:before="102" w:line="236" w:lineRule="auto"/>
              <w:ind w:left="693"/>
            </w:pPr>
            <w:r>
              <w:rPr>
                <w:spacing w:val="-7"/>
              </w:rPr>
              <w:t>≤0.5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131" w:line="183" w:lineRule="auto"/>
              <w:ind w:left="1676"/>
            </w:pPr>
            <w:r>
              <w:rPr>
                <w:spacing w:val="-3"/>
              </w:rPr>
              <w:t>2P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69"/>
        </w:trPr>
        <w:tc>
          <w:tcPr>
            <w:tcW w:w="2881" w:type="dxa"/>
            <w:vMerge/>
            <w:tcBorders>
              <w:top w:val="nil"/>
            </w:tcBorders>
          </w:tcPr>
          <w:p w:rsidR="00FC0BA9"/>
        </w:tc>
        <w:tc>
          <w:tcPr>
            <w:tcW w:w="1978" w:type="dxa"/>
          </w:tcPr>
          <w:p w:rsidR="00FC0BA9">
            <w:pPr>
              <w:pStyle w:val="TableText"/>
              <w:spacing w:before="97" w:line="239" w:lineRule="auto"/>
              <w:ind w:left="753"/>
            </w:pPr>
            <w:r>
              <w:rPr>
                <w:spacing w:val="-4"/>
              </w:rPr>
              <w:t>&gt;0.5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133" w:line="183" w:lineRule="auto"/>
              <w:ind w:left="1495"/>
            </w:pPr>
            <w:r>
              <w:rPr>
                <w:spacing w:val="-2"/>
              </w:rPr>
              <w:t>P+0.5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69"/>
        </w:trPr>
        <w:tc>
          <w:tcPr>
            <w:tcW w:w="2881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55" w:line="480" w:lineRule="exact"/>
              <w:ind w:left="164"/>
            </w:pPr>
            <w:r>
              <w:rPr>
                <w:spacing w:val="1"/>
                <w:position w:val="19"/>
              </w:rPr>
              <w:t>预应力混凝土管、预应力</w:t>
            </w:r>
          </w:p>
          <w:p w:rsidR="00FC0BA9">
            <w:pPr>
              <w:pStyle w:val="TableText"/>
              <w:spacing w:line="219" w:lineRule="auto"/>
              <w:ind w:left="744"/>
            </w:pPr>
            <w:r>
              <w:rPr>
                <w:spacing w:val="-1"/>
              </w:rPr>
              <w:t>钢桶混凝土管</w:t>
            </w:r>
          </w:p>
        </w:tc>
        <w:tc>
          <w:tcPr>
            <w:tcW w:w="1978" w:type="dxa"/>
          </w:tcPr>
          <w:p w:rsidR="00FC0BA9">
            <w:pPr>
              <w:pStyle w:val="TableText"/>
              <w:spacing w:before="85" w:line="236" w:lineRule="auto"/>
              <w:ind w:left="693"/>
            </w:pPr>
            <w:r>
              <w:rPr>
                <w:spacing w:val="-7"/>
              </w:rPr>
              <w:t>≤0.6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133" w:line="184" w:lineRule="auto"/>
              <w:ind w:left="1555"/>
            </w:pPr>
            <w:r>
              <w:rPr>
                <w:spacing w:val="-7"/>
              </w:rPr>
              <w:t>1.5P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49"/>
        </w:trPr>
        <w:tc>
          <w:tcPr>
            <w:tcW w:w="2881" w:type="dxa"/>
            <w:vMerge/>
            <w:tcBorders>
              <w:top w:val="nil"/>
            </w:tcBorders>
          </w:tcPr>
          <w:p w:rsidR="00FC0BA9"/>
        </w:tc>
        <w:tc>
          <w:tcPr>
            <w:tcW w:w="1978" w:type="dxa"/>
          </w:tcPr>
          <w:p w:rsidR="00FC0BA9">
            <w:pPr>
              <w:pStyle w:val="TableText"/>
              <w:spacing w:before="69" w:line="239" w:lineRule="auto"/>
              <w:ind w:left="753"/>
            </w:pPr>
            <w:r>
              <w:rPr>
                <w:spacing w:val="-4"/>
              </w:rPr>
              <w:t>&gt;0.6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115" w:line="183" w:lineRule="auto"/>
              <w:ind w:left="1495"/>
            </w:pPr>
            <w:r>
              <w:rPr>
                <w:spacing w:val="-2"/>
              </w:rPr>
              <w:t>P+0.3</w:t>
            </w:r>
          </w:p>
        </w:tc>
      </w:tr>
      <w:tr>
        <w:tblPrEx>
          <w:tblW w:w="8450" w:type="dxa"/>
          <w:tblInd w:w="183" w:type="dxa"/>
          <w:tblLayout w:type="fixed"/>
          <w:tblLook w:val="04A0"/>
        </w:tblPrEx>
        <w:trPr>
          <w:trHeight w:val="473"/>
        </w:trPr>
        <w:tc>
          <w:tcPr>
            <w:tcW w:w="2881" w:type="dxa"/>
          </w:tcPr>
          <w:p w:rsidR="00FC0BA9">
            <w:pPr>
              <w:pStyle w:val="TableText"/>
              <w:spacing w:before="76" w:line="219" w:lineRule="auto"/>
              <w:ind w:left="855"/>
            </w:pPr>
            <w:r>
              <w:rPr>
                <w:spacing w:val="2"/>
              </w:rPr>
              <w:t>化学建材管</w:t>
            </w:r>
          </w:p>
        </w:tc>
        <w:tc>
          <w:tcPr>
            <w:tcW w:w="1978" w:type="dxa"/>
          </w:tcPr>
          <w:p w:rsidR="00FC0BA9">
            <w:pPr>
              <w:pStyle w:val="TableText"/>
              <w:spacing w:before="110" w:line="237" w:lineRule="auto"/>
              <w:ind w:left="693"/>
            </w:pPr>
            <w:r>
              <w:rPr>
                <w:spacing w:val="-8"/>
              </w:rPr>
              <w:t>≥0.1</w:t>
            </w:r>
          </w:p>
        </w:tc>
        <w:tc>
          <w:tcPr>
            <w:tcW w:w="3591" w:type="dxa"/>
          </w:tcPr>
          <w:p w:rsidR="00FC0BA9">
            <w:pPr>
              <w:pStyle w:val="TableText"/>
              <w:spacing w:before="74" w:line="216" w:lineRule="auto"/>
              <w:ind w:left="985"/>
            </w:pPr>
            <w:r>
              <w:rPr>
                <w:spacing w:val="1"/>
              </w:rPr>
              <w:t>1.5P,</w:t>
            </w:r>
            <w:r>
              <w:rPr>
                <w:spacing w:val="1"/>
              </w:rPr>
              <w:t>且小于</w:t>
            </w:r>
            <w:r>
              <w:rPr>
                <w:spacing w:val="1"/>
              </w:rPr>
              <w:t>0.8</w:t>
            </w:r>
          </w:p>
        </w:tc>
      </w:tr>
    </w:tbl>
    <w:p w:rsidR="00FC0BA9">
      <w:pPr>
        <w:pStyle w:val="BodyText"/>
        <w:spacing w:before="27" w:line="360" w:lineRule="auto"/>
        <w:ind w:left="13" w:right="242" w:firstLine="440"/>
      </w:pPr>
      <w:r>
        <w:rPr>
          <w:spacing w:val="-8"/>
        </w:rPr>
        <w:t>(3)</w:t>
      </w:r>
      <w:r>
        <w:rPr>
          <w:spacing w:val="-8"/>
        </w:rPr>
        <w:t>、预试验阶段：将管道内水压缓缓地升至试验压力并稳压</w:t>
      </w:r>
      <w:r>
        <w:rPr>
          <w:spacing w:val="-8"/>
        </w:rPr>
        <w:t>30</w:t>
      </w:r>
      <w:r>
        <w:rPr>
          <w:rFonts w:ascii="Times New Roman" w:eastAsia="Times New Roman" w:hAnsi="Times New Roman" w:cs="Times New Roman"/>
          <w:spacing w:val="-8"/>
        </w:rPr>
        <w:t>min,</w:t>
      </w:r>
      <w:r>
        <w:rPr>
          <w:spacing w:val="-10"/>
        </w:rPr>
        <w:t>期间如有压力下降可注水补压，但不得高于试验压力；检查管道接口、</w:t>
      </w:r>
      <w:r>
        <w:rPr>
          <w:spacing w:val="-4"/>
        </w:rPr>
        <w:t>配件等处有无漏水、损坏现象；有漏水、损坏现象时</w:t>
      </w:r>
      <w:r>
        <w:rPr>
          <w:spacing w:val="-5"/>
        </w:rPr>
        <w:t>停止试压，查明</w:t>
      </w:r>
    </w:p>
    <w:p w:rsidR="00FC0BA9">
      <w:pPr>
        <w:pStyle w:val="BodyText"/>
        <w:spacing w:before="1" w:line="218" w:lineRule="auto"/>
        <w:ind w:left="13"/>
      </w:pPr>
      <w:r>
        <w:rPr>
          <w:spacing w:val="-6"/>
        </w:rPr>
        <w:t>并采取相应措施后重新试压。</w:t>
      </w:r>
    </w:p>
    <w:p w:rsidR="00FC0BA9">
      <w:pPr>
        <w:pStyle w:val="BodyText"/>
        <w:spacing w:before="222" w:line="362" w:lineRule="auto"/>
        <w:ind w:left="13" w:right="330" w:firstLine="440"/>
      </w:pPr>
      <w:r>
        <w:rPr>
          <w:spacing w:val="2"/>
        </w:rPr>
        <w:t>(4)</w:t>
      </w:r>
      <w:r>
        <w:rPr>
          <w:spacing w:val="2"/>
        </w:rPr>
        <w:t>、主试验阶段：停止注水补压，稳定</w:t>
      </w:r>
      <w:r>
        <w:rPr>
          <w:spacing w:val="2"/>
        </w:rPr>
        <w:t>15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"/>
        </w:rPr>
        <w:t>;</w:t>
      </w:r>
      <w:r>
        <w:rPr>
          <w:spacing w:val="2"/>
        </w:rPr>
        <w:t>当</w:t>
      </w:r>
      <w:r>
        <w:rPr>
          <w:spacing w:val="2"/>
        </w:rPr>
        <w:t>15</w:t>
      </w:r>
      <w:r>
        <w:rPr>
          <w:rFonts w:ascii="Times New Roman" w:eastAsia="Times New Roman" w:hAnsi="Times New Roman" w:cs="Times New Roman"/>
        </w:rPr>
        <w:t>min</w:t>
      </w:r>
      <w:r>
        <w:rPr>
          <w:spacing w:val="2"/>
        </w:rPr>
        <w:t>后压力</w:t>
      </w:r>
      <w:r>
        <w:rPr>
          <w:spacing w:val="4"/>
        </w:rPr>
        <w:t>下降不超过表</w:t>
      </w:r>
      <w:r>
        <w:rPr>
          <w:spacing w:val="4"/>
        </w:rPr>
        <w:t>9.2.10-2</w:t>
      </w:r>
      <w:r>
        <w:rPr>
          <w:spacing w:val="4"/>
        </w:rPr>
        <w:t>中所列允许压力降数值时，将试验压力降至</w:t>
      </w:r>
      <w:r>
        <w:t>工作压力并保持恒压</w:t>
      </w:r>
      <w:r>
        <w:t>30min,</w:t>
      </w:r>
      <w:r>
        <w:t>进行外观检查无漏水现象，则水压试验</w:t>
      </w:r>
    </w:p>
    <w:p w:rsidR="00FC0BA9">
      <w:pPr>
        <w:pStyle w:val="BodyText"/>
        <w:spacing w:before="1" w:line="219" w:lineRule="auto"/>
        <w:ind w:left="13"/>
      </w:pPr>
      <w:r>
        <w:rPr>
          <w:spacing w:val="-12"/>
        </w:rPr>
        <w:t>合格。</w:t>
      </w:r>
    </w:p>
    <w:p w:rsidR="00FC0BA9">
      <w:pPr>
        <w:spacing w:line="219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10" w:h="16840"/>
          <w:pgMar w:top="1415" w:right="1484" w:bottom="0" w:left="1786" w:header="0" w:footer="0" w:gutter="0"/>
          <w:pgNumType w:start="8"/>
          <w:cols w:space="720"/>
        </w:sectPr>
      </w:pPr>
    </w:p>
    <w:p w:rsidR="00FC0BA9">
      <w:pPr>
        <w:pStyle w:val="BodyText"/>
        <w:spacing w:before="51" w:line="212" w:lineRule="auto"/>
        <w:ind w:left="20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pacing w:val="-1"/>
          <w:sz w:val="24"/>
          <w:szCs w:val="24"/>
        </w:rPr>
        <w:t>表</w:t>
      </w:r>
      <w:r>
        <w:rPr>
          <w:spacing w:val="-1"/>
          <w:sz w:val="24"/>
          <w:szCs w:val="24"/>
        </w:rPr>
        <w:t>-</w:t>
      </w:r>
      <w:r>
        <w:rPr>
          <w:spacing w:val="-1"/>
          <w:sz w:val="24"/>
          <w:szCs w:val="24"/>
        </w:rPr>
        <w:t>压力管道水压试验的允许压力降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(MPa)</w:t>
      </w:r>
    </w:p>
    <w:p w:rsidR="00FC0BA9">
      <w:pPr>
        <w:spacing w:line="186" w:lineRule="exact"/>
      </w:pPr>
    </w:p>
    <w:tbl>
      <w:tblPr>
        <w:tblStyle w:val="TableNormal01"/>
        <w:tblW w:w="88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19"/>
        <w:gridCol w:w="1808"/>
        <w:gridCol w:w="2602"/>
      </w:tblGrid>
      <w:tr>
        <w:tblPrEx>
          <w:tblW w:w="88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73"/>
        </w:trPr>
        <w:tc>
          <w:tcPr>
            <w:tcW w:w="4419" w:type="dxa"/>
          </w:tcPr>
          <w:p w:rsidR="00FC0BA9">
            <w:pPr>
              <w:pStyle w:val="TableText"/>
              <w:spacing w:before="33" w:line="219" w:lineRule="auto"/>
              <w:ind w:left="1744"/>
            </w:pPr>
            <w:r>
              <w:rPr>
                <w:spacing w:val="2"/>
              </w:rPr>
              <w:t>管材种类</w:t>
            </w:r>
          </w:p>
        </w:tc>
        <w:tc>
          <w:tcPr>
            <w:tcW w:w="1808" w:type="dxa"/>
          </w:tcPr>
          <w:p w:rsidR="00FC0BA9">
            <w:pPr>
              <w:pStyle w:val="TableText"/>
              <w:spacing w:before="54" w:line="219" w:lineRule="auto"/>
              <w:ind w:left="435"/>
            </w:pPr>
            <w:r>
              <w:rPr>
                <w:spacing w:val="4"/>
              </w:rPr>
              <w:t>试验压力</w:t>
            </w:r>
          </w:p>
        </w:tc>
        <w:tc>
          <w:tcPr>
            <w:tcW w:w="2602" w:type="dxa"/>
          </w:tcPr>
          <w:p w:rsidR="00FC0BA9">
            <w:pPr>
              <w:pStyle w:val="TableText"/>
              <w:spacing w:before="44" w:line="219" w:lineRule="auto"/>
              <w:ind w:left="717"/>
            </w:pPr>
            <w:r>
              <w:rPr>
                <w:spacing w:val="2"/>
              </w:rPr>
              <w:t>允许压力降</w:t>
            </w:r>
          </w:p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928"/>
        </w:trPr>
        <w:tc>
          <w:tcPr>
            <w:tcW w:w="4419" w:type="dxa"/>
          </w:tcPr>
          <w:p w:rsidR="00FC0BA9">
            <w:pPr>
              <w:pStyle w:val="TableText"/>
              <w:spacing w:before="291" w:line="219" w:lineRule="auto"/>
              <w:ind w:left="1974"/>
            </w:pPr>
            <w:r>
              <w:rPr>
                <w:spacing w:val="-2"/>
              </w:rPr>
              <w:t>钢管</w:t>
            </w:r>
          </w:p>
        </w:tc>
        <w:tc>
          <w:tcPr>
            <w:tcW w:w="1808" w:type="dxa"/>
          </w:tcPr>
          <w:p w:rsidR="00FC0BA9">
            <w:pPr>
              <w:pStyle w:val="TableText"/>
              <w:spacing w:before="47" w:line="468" w:lineRule="exact"/>
              <w:ind w:left="206"/>
            </w:pPr>
            <w:r>
              <w:rPr>
                <w:spacing w:val="2"/>
                <w:position w:val="18"/>
              </w:rPr>
              <w:t>P+0.5,</w:t>
            </w:r>
            <w:r>
              <w:rPr>
                <w:spacing w:val="2"/>
                <w:position w:val="18"/>
              </w:rPr>
              <w:t>且不小</w:t>
            </w:r>
          </w:p>
          <w:p w:rsidR="00FC0BA9">
            <w:pPr>
              <w:pStyle w:val="TableText"/>
              <w:spacing w:before="1" w:line="222" w:lineRule="auto"/>
              <w:ind w:left="605"/>
            </w:pPr>
            <w:r>
              <w:rPr>
                <w:spacing w:val="4"/>
              </w:rPr>
              <w:t>于</w:t>
            </w:r>
            <w:r>
              <w:rPr>
                <w:spacing w:val="4"/>
              </w:rPr>
              <w:t>0.9</w:t>
            </w:r>
          </w:p>
        </w:tc>
        <w:tc>
          <w:tcPr>
            <w:tcW w:w="2602" w:type="dxa"/>
            <w:vMerge w:val="restart"/>
            <w:tcBorders>
              <w:bottom w:val="nil"/>
            </w:tcBorders>
          </w:tcPr>
          <w:p w:rsidR="00FC0BA9">
            <w:pPr>
              <w:spacing w:line="257" w:lineRule="auto"/>
            </w:pPr>
          </w:p>
          <w:p w:rsidR="00FC0BA9">
            <w:pPr>
              <w:spacing w:line="257" w:lineRule="auto"/>
            </w:pPr>
          </w:p>
          <w:p w:rsidR="00FC0BA9">
            <w:pPr>
              <w:spacing w:line="258" w:lineRule="auto"/>
            </w:pPr>
          </w:p>
          <w:p w:rsidR="00FC0BA9">
            <w:pPr>
              <w:spacing w:line="258" w:lineRule="auto"/>
            </w:pPr>
          </w:p>
          <w:p w:rsidR="00FC0BA9">
            <w:pPr>
              <w:spacing w:line="258" w:lineRule="auto"/>
            </w:pPr>
          </w:p>
          <w:p w:rsidR="00FC0BA9">
            <w:pPr>
              <w:pStyle w:val="TableText"/>
              <w:spacing w:before="74" w:line="183" w:lineRule="auto"/>
              <w:ind w:left="1067"/>
            </w:pPr>
            <w:r>
              <w:rPr>
                <w:spacing w:val="-3"/>
              </w:rPr>
              <w:t>0.03</w:t>
            </w:r>
          </w:p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479"/>
        </w:trPr>
        <w:tc>
          <w:tcPr>
            <w:tcW w:w="4419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293" w:line="219" w:lineRule="auto"/>
              <w:ind w:left="1625"/>
            </w:pPr>
            <w:r>
              <w:rPr>
                <w:spacing w:val="2"/>
              </w:rPr>
              <w:t>球墨铸铁管</w:t>
            </w:r>
          </w:p>
        </w:tc>
        <w:tc>
          <w:tcPr>
            <w:tcW w:w="1808" w:type="dxa"/>
          </w:tcPr>
          <w:p w:rsidR="00FC0BA9">
            <w:pPr>
              <w:pStyle w:val="TableText"/>
              <w:spacing w:before="112" w:line="183" w:lineRule="auto"/>
              <w:ind w:left="786"/>
            </w:pPr>
            <w:r>
              <w:rPr>
                <w:spacing w:val="-3"/>
              </w:rPr>
              <w:t>2P</w:t>
            </w:r>
          </w:p>
        </w:tc>
        <w:tc>
          <w:tcPr>
            <w:tcW w:w="2602" w:type="dxa"/>
            <w:vMerge/>
            <w:tcBorders>
              <w:top w:val="nil"/>
              <w:bottom w:val="nil"/>
            </w:tcBorders>
          </w:tcPr>
          <w:p w:rsidR="00FC0BA9"/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459"/>
        </w:trPr>
        <w:tc>
          <w:tcPr>
            <w:tcW w:w="4419" w:type="dxa"/>
            <w:vMerge/>
            <w:tcBorders>
              <w:top w:val="nil"/>
            </w:tcBorders>
          </w:tcPr>
          <w:p w:rsidR="00FC0BA9"/>
        </w:tc>
        <w:tc>
          <w:tcPr>
            <w:tcW w:w="1808" w:type="dxa"/>
          </w:tcPr>
          <w:p w:rsidR="00FC0BA9">
            <w:pPr>
              <w:pStyle w:val="TableText"/>
              <w:spacing w:before="123" w:line="183" w:lineRule="auto"/>
              <w:ind w:left="605"/>
            </w:pPr>
            <w:r>
              <w:rPr>
                <w:spacing w:val="-2"/>
              </w:rPr>
              <w:t>P+0.5</w:t>
            </w:r>
          </w:p>
        </w:tc>
        <w:tc>
          <w:tcPr>
            <w:tcW w:w="2602" w:type="dxa"/>
            <w:vMerge/>
            <w:tcBorders>
              <w:top w:val="nil"/>
              <w:bottom w:val="nil"/>
            </w:tcBorders>
          </w:tcPr>
          <w:p w:rsidR="00FC0BA9"/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459"/>
        </w:trPr>
        <w:tc>
          <w:tcPr>
            <w:tcW w:w="4419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295" w:line="219" w:lineRule="auto"/>
              <w:ind w:left="244"/>
            </w:pPr>
            <w:r>
              <w:t>预应力混凝土管、预应力钢桶混凝土管</w:t>
            </w:r>
          </w:p>
        </w:tc>
        <w:tc>
          <w:tcPr>
            <w:tcW w:w="1808" w:type="dxa"/>
          </w:tcPr>
          <w:p w:rsidR="00FC0BA9">
            <w:pPr>
              <w:pStyle w:val="TableText"/>
              <w:spacing w:before="133" w:line="184" w:lineRule="auto"/>
              <w:ind w:left="665"/>
            </w:pPr>
            <w:r>
              <w:rPr>
                <w:spacing w:val="-7"/>
              </w:rPr>
              <w:t>1.5P</w:t>
            </w:r>
          </w:p>
        </w:tc>
        <w:tc>
          <w:tcPr>
            <w:tcW w:w="2602" w:type="dxa"/>
            <w:vMerge/>
            <w:tcBorders>
              <w:top w:val="nil"/>
              <w:bottom w:val="nil"/>
            </w:tcBorders>
          </w:tcPr>
          <w:p w:rsidR="00FC0BA9"/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469"/>
        </w:trPr>
        <w:tc>
          <w:tcPr>
            <w:tcW w:w="4419" w:type="dxa"/>
            <w:vMerge/>
            <w:tcBorders>
              <w:top w:val="nil"/>
            </w:tcBorders>
          </w:tcPr>
          <w:p w:rsidR="00FC0BA9"/>
        </w:tc>
        <w:tc>
          <w:tcPr>
            <w:tcW w:w="1808" w:type="dxa"/>
          </w:tcPr>
          <w:p w:rsidR="00FC0BA9">
            <w:pPr>
              <w:pStyle w:val="TableText"/>
              <w:spacing w:before="145" w:line="183" w:lineRule="auto"/>
              <w:ind w:left="605"/>
            </w:pPr>
            <w:r>
              <w:rPr>
                <w:spacing w:val="-2"/>
              </w:rPr>
              <w:t>P+0.3</w:t>
            </w:r>
          </w:p>
        </w:tc>
        <w:tc>
          <w:tcPr>
            <w:tcW w:w="2602" w:type="dxa"/>
            <w:vMerge/>
            <w:tcBorders>
              <w:top w:val="nil"/>
            </w:tcBorders>
          </w:tcPr>
          <w:p w:rsidR="00FC0BA9"/>
        </w:tc>
      </w:tr>
      <w:tr>
        <w:tblPrEx>
          <w:tblW w:w="8829" w:type="dxa"/>
          <w:tblInd w:w="5" w:type="dxa"/>
          <w:tblLayout w:type="fixed"/>
          <w:tblLook w:val="04A0"/>
        </w:tblPrEx>
        <w:trPr>
          <w:trHeight w:val="932"/>
        </w:trPr>
        <w:tc>
          <w:tcPr>
            <w:tcW w:w="4419" w:type="dxa"/>
          </w:tcPr>
          <w:p w:rsidR="00FC0BA9">
            <w:pPr>
              <w:spacing w:line="448" w:lineRule="auto"/>
            </w:pPr>
          </w:p>
          <w:p w:rsidR="00FC0BA9">
            <w:pPr>
              <w:pStyle w:val="TableText"/>
              <w:spacing w:before="75" w:line="219" w:lineRule="auto"/>
              <w:ind w:left="1625"/>
            </w:pPr>
            <w:r>
              <w:rPr>
                <w:spacing w:val="2"/>
              </w:rPr>
              <w:t>化学建材管</w:t>
            </w:r>
          </w:p>
        </w:tc>
        <w:tc>
          <w:tcPr>
            <w:tcW w:w="1808" w:type="dxa"/>
          </w:tcPr>
          <w:p w:rsidR="00FC0BA9">
            <w:pPr>
              <w:pStyle w:val="TableText"/>
              <w:spacing w:before="43" w:line="543" w:lineRule="exact"/>
              <w:ind w:left="265"/>
            </w:pPr>
            <w:r>
              <w:rPr>
                <w:spacing w:val="1"/>
                <w:position w:val="24"/>
              </w:rPr>
              <w:t>1.5P,</w:t>
            </w:r>
            <w:r>
              <w:rPr>
                <w:spacing w:val="1"/>
                <w:position w:val="24"/>
              </w:rPr>
              <w:t>且小于</w:t>
            </w:r>
          </w:p>
          <w:p w:rsidR="00FC0BA9">
            <w:pPr>
              <w:pStyle w:val="TableText"/>
              <w:spacing w:line="183" w:lineRule="auto"/>
              <w:ind w:left="726"/>
            </w:pPr>
            <w:r>
              <w:rPr>
                <w:spacing w:val="-3"/>
              </w:rPr>
              <w:t>0.8</w:t>
            </w:r>
          </w:p>
        </w:tc>
        <w:tc>
          <w:tcPr>
            <w:tcW w:w="2602" w:type="dxa"/>
          </w:tcPr>
          <w:p w:rsidR="00FC0BA9">
            <w:pPr>
              <w:spacing w:line="269" w:lineRule="auto"/>
            </w:pPr>
          </w:p>
          <w:p w:rsidR="00FC0BA9">
            <w:pPr>
              <w:spacing w:line="269" w:lineRule="auto"/>
            </w:pPr>
          </w:p>
          <w:p w:rsidR="00FC0BA9">
            <w:pPr>
              <w:pStyle w:val="TableText"/>
              <w:spacing w:before="75" w:line="183" w:lineRule="auto"/>
              <w:ind w:left="1067"/>
            </w:pPr>
            <w:r>
              <w:rPr>
                <w:spacing w:val="-3"/>
              </w:rPr>
              <w:t>0.02</w:t>
            </w:r>
          </w:p>
        </w:tc>
      </w:tr>
    </w:tbl>
    <w:p w:rsidR="00FC0BA9">
      <w:pPr>
        <w:pStyle w:val="BodyText"/>
        <w:spacing w:before="182" w:line="219" w:lineRule="auto"/>
        <w:ind w:left="279"/>
      </w:pPr>
      <w:r>
        <w:rPr>
          <w:b/>
          <w:bCs/>
          <w:spacing w:val="-6"/>
        </w:rPr>
        <w:t>(5)</w:t>
      </w:r>
      <w:r>
        <w:rPr>
          <w:b/>
          <w:bCs/>
          <w:spacing w:val="-6"/>
        </w:rPr>
        <w:t>、给水管道冲洗与消毒</w:t>
      </w:r>
    </w:p>
    <w:p w:rsidR="00FC0BA9">
      <w:pPr>
        <w:pStyle w:val="BodyText"/>
        <w:spacing w:before="301" w:line="219" w:lineRule="auto"/>
        <w:ind w:left="275"/>
      </w:pPr>
      <w:r>
        <w:rPr>
          <w:spacing w:val="1"/>
        </w:rPr>
        <w:t>(1)</w:t>
      </w:r>
      <w:r>
        <w:rPr>
          <w:spacing w:val="1"/>
        </w:rPr>
        <w:t>、给水管道冲洗与消毒应符合下列要求：</w:t>
      </w:r>
    </w:p>
    <w:p w:rsidR="00FC0BA9">
      <w:pPr>
        <w:pStyle w:val="BodyText"/>
        <w:spacing w:before="146" w:line="363" w:lineRule="auto"/>
        <w:ind w:left="124" w:right="364" w:firstLine="570"/>
        <w:jc w:val="both"/>
      </w:pPr>
      <w:r>
        <w:rPr>
          <w:spacing w:val="-5"/>
        </w:rPr>
        <w:t>给水管道严禁取用污染水源进行水压试验、冲洗，施</w:t>
      </w:r>
      <w:r>
        <w:rPr>
          <w:spacing w:val="-6"/>
        </w:rPr>
        <w:t>工管段处于</w:t>
      </w:r>
      <w:r>
        <w:rPr>
          <w:spacing w:val="-11"/>
        </w:rPr>
        <w:t>污染水水域较近时，必须严格控制污染水进入管道；如不填污染管道，</w:t>
      </w:r>
      <w:r>
        <w:rPr>
          <w:spacing w:val="-5"/>
        </w:rPr>
        <w:t>应由水质检测部门对管道污染水进行化验，并按其要在管道运行前进</w:t>
      </w:r>
    </w:p>
    <w:p w:rsidR="00FC0BA9">
      <w:pPr>
        <w:pStyle w:val="BodyText"/>
        <w:spacing w:line="219" w:lineRule="auto"/>
        <w:ind w:left="124"/>
      </w:pPr>
      <w:r>
        <w:rPr>
          <w:spacing w:val="-14"/>
        </w:rPr>
        <w:t>行冲洗与消毒；</w:t>
      </w:r>
    </w:p>
    <w:p w:rsidR="00FC0BA9">
      <w:pPr>
        <w:pStyle w:val="BodyText"/>
        <w:spacing w:before="179" w:line="559" w:lineRule="exact"/>
        <w:ind w:left="704"/>
      </w:pPr>
      <w:r>
        <w:rPr>
          <w:spacing w:val="-7"/>
          <w:position w:val="21"/>
        </w:rPr>
        <w:t>冲洗时，应避开用水高峰，冲洗流速不小于</w:t>
      </w:r>
      <w:r>
        <w:rPr>
          <w:spacing w:val="-7"/>
          <w:position w:val="21"/>
        </w:rPr>
        <w:t>1.0</w:t>
      </w:r>
      <w:r>
        <w:rPr>
          <w:rFonts w:ascii="Times New Roman" w:eastAsia="Times New Roman" w:hAnsi="Times New Roman" w:cs="Times New Roman"/>
          <w:spacing w:val="-7"/>
          <w:position w:val="21"/>
        </w:rPr>
        <w:t>m/s,</w:t>
      </w:r>
      <w:r>
        <w:rPr>
          <w:spacing w:val="-7"/>
          <w:position w:val="21"/>
        </w:rPr>
        <w:t>连续冲洗。</w:t>
      </w:r>
    </w:p>
    <w:p w:rsidR="00FC0BA9">
      <w:pPr>
        <w:pStyle w:val="BodyText"/>
        <w:spacing w:line="219" w:lineRule="auto"/>
        <w:ind w:left="184"/>
      </w:pPr>
      <w:r>
        <w:rPr>
          <w:spacing w:val="-6"/>
        </w:rPr>
        <w:t>(</w:t>
      </w:r>
      <w:r>
        <w:rPr>
          <w:spacing w:val="-6"/>
        </w:rPr>
        <w:t>、给水管道冲洗消毒准备工作应符合下列规定：</w:t>
      </w:r>
    </w:p>
    <w:p w:rsidR="00FC0BA9">
      <w:pPr>
        <w:pStyle w:val="BodyText"/>
        <w:spacing w:before="208" w:line="219" w:lineRule="auto"/>
        <w:ind w:left="124"/>
      </w:pPr>
      <w:r>
        <w:rPr>
          <w:spacing w:val="-7"/>
        </w:rPr>
        <w:t>用于冲洗管道的清洁水源已确定；</w:t>
      </w:r>
    </w:p>
    <w:p w:rsidR="00FC0BA9">
      <w:pPr>
        <w:pStyle w:val="BodyText"/>
        <w:spacing w:before="228" w:line="219" w:lineRule="auto"/>
        <w:ind w:left="124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spacing w:val="-5"/>
        </w:rPr>
        <w:t>消毒方法和用品已经确定，并准备就绪；</w:t>
      </w:r>
    </w:p>
    <w:p w:rsidR="00FC0BA9">
      <w:pPr>
        <w:pStyle w:val="BodyText"/>
        <w:spacing w:before="217" w:line="550" w:lineRule="exact"/>
        <w:ind w:left="124"/>
      </w:pPr>
      <w:r>
        <w:rPr>
          <w:rFonts w:ascii="Times New Roman" w:eastAsia="Times New Roman" w:hAnsi="Times New Roman" w:cs="Times New Roman"/>
          <w:spacing w:val="-2"/>
          <w:position w:val="20"/>
        </w:rPr>
        <w:t>b</w:t>
      </w:r>
      <w:r>
        <w:rPr>
          <w:spacing w:val="-2"/>
          <w:position w:val="20"/>
        </w:rPr>
        <w:t>排水管道已安装完毕，并保证畅通、安全；</w:t>
      </w:r>
    </w:p>
    <w:p w:rsidR="00FC0BA9">
      <w:pPr>
        <w:pStyle w:val="BodyText"/>
        <w:spacing w:before="1" w:line="219" w:lineRule="auto"/>
        <w:ind w:left="124"/>
      </w:pPr>
      <w:r>
        <w:rPr>
          <w:rFonts w:ascii="Times New Roman" w:eastAsia="Times New Roman" w:hAnsi="Times New Roman" w:cs="Times New Roman"/>
          <w:spacing w:val="-4"/>
        </w:rPr>
        <w:t xml:space="preserve">c </w:t>
      </w:r>
      <w:r>
        <w:rPr>
          <w:spacing w:val="-4"/>
        </w:rPr>
        <w:t>冲洗管段未端已设置方便、安全的取样口；</w:t>
      </w:r>
    </w:p>
    <w:p w:rsidR="00FC0BA9">
      <w:pPr>
        <w:pStyle w:val="BodyText"/>
        <w:spacing w:before="197" w:line="550" w:lineRule="exact"/>
        <w:ind w:left="275"/>
      </w:pPr>
      <w:r>
        <w:rPr>
          <w:spacing w:val="-4"/>
          <w:position w:val="20"/>
        </w:rPr>
        <w:t>(3)</w:t>
      </w:r>
      <w:r>
        <w:rPr>
          <w:spacing w:val="-4"/>
          <w:position w:val="20"/>
        </w:rPr>
        <w:t>、夜间照明和维护等措施已经落实。</w:t>
      </w:r>
    </w:p>
    <w:p w:rsidR="00FC0BA9">
      <w:pPr>
        <w:pStyle w:val="BodyText"/>
        <w:spacing w:before="1" w:line="219" w:lineRule="auto"/>
        <w:ind w:left="275"/>
      </w:pPr>
      <w:r>
        <w:rPr>
          <w:spacing w:val="-5"/>
        </w:rPr>
        <w:t>(4)</w:t>
      </w:r>
      <w:r>
        <w:rPr>
          <w:spacing w:val="-5"/>
        </w:rPr>
        <w:t>、管道冲洗与消毒应符合下列规定：</w:t>
      </w:r>
    </w:p>
    <w:p w:rsidR="00FC0BA9">
      <w:pPr>
        <w:pStyle w:val="BodyText"/>
        <w:spacing w:before="227" w:line="531" w:lineRule="exact"/>
        <w:ind w:left="124"/>
      </w:pPr>
      <w:r>
        <w:rPr>
          <w:rFonts w:ascii="Times New Roman" w:eastAsia="Times New Roman" w:hAnsi="Times New Roman" w:cs="Times New Roman"/>
          <w:spacing w:val="-5"/>
          <w:position w:val="18"/>
        </w:rPr>
        <w:t xml:space="preserve">a </w:t>
      </w:r>
      <w:r>
        <w:rPr>
          <w:spacing w:val="-5"/>
          <w:position w:val="18"/>
        </w:rPr>
        <w:t>管道第一次冲洗应用清洁水冲洗至出水口水样浊度小于</w:t>
      </w:r>
      <w:r>
        <w:rPr>
          <w:spacing w:val="-5"/>
          <w:position w:val="18"/>
        </w:rPr>
        <w:t>3</w:t>
      </w:r>
      <w:r>
        <w:rPr>
          <w:rFonts w:ascii="Times New Roman" w:eastAsia="Times New Roman" w:hAnsi="Times New Roman" w:cs="Times New Roman"/>
          <w:spacing w:val="-5"/>
          <w:position w:val="18"/>
        </w:rPr>
        <w:t>NTU</w:t>
      </w:r>
      <w:r>
        <w:rPr>
          <w:spacing w:val="-5"/>
          <w:position w:val="18"/>
        </w:rPr>
        <w:t>为止，</w:t>
      </w:r>
    </w:p>
    <w:p w:rsidR="00FC0BA9">
      <w:pPr>
        <w:pStyle w:val="BodyText"/>
        <w:spacing w:line="220" w:lineRule="auto"/>
        <w:ind w:left="124"/>
      </w:pPr>
      <w:r>
        <w:rPr>
          <w:spacing w:val="3"/>
        </w:rPr>
        <w:t>冲洗流速应大于</w:t>
      </w:r>
      <w:r>
        <w:rPr>
          <w:spacing w:val="3"/>
        </w:rPr>
        <w:t>1.0</w:t>
      </w:r>
      <w:r>
        <w:rPr>
          <w:rFonts w:ascii="Times New Roman" w:eastAsia="Times New Roman" w:hAnsi="Times New Roman" w:cs="Times New Roman"/>
          <w:spacing w:val="3"/>
        </w:rPr>
        <w:t>m/s</w:t>
      </w:r>
      <w:r>
        <w:rPr>
          <w:spacing w:val="3"/>
        </w:rPr>
        <w:t>。</w:t>
      </w:r>
    </w:p>
    <w:p w:rsidR="00FC0BA9">
      <w:pPr>
        <w:spacing w:line="220" w:lineRule="auto"/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10" w:h="16840"/>
          <w:pgMar w:top="1381" w:right="1395" w:bottom="0" w:left="1675" w:header="0" w:footer="0" w:gutter="0"/>
          <w:pgNumType w:start="9"/>
          <w:cols w:space="720"/>
        </w:sectPr>
      </w:pPr>
    </w:p>
    <w:p w:rsidR="00FC0BA9">
      <w:pPr>
        <w:pStyle w:val="BodyText"/>
        <w:spacing w:before="60" w:line="373" w:lineRule="auto"/>
        <w:ind w:left="100" w:hanging="100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b </w:t>
      </w:r>
      <w:r>
        <w:rPr>
          <w:spacing w:val="-3"/>
        </w:rPr>
        <w:t>管道第二次冲洗应在第一次冲洗后，拥有效氯离子含量不</w:t>
      </w:r>
      <w:r>
        <w:rPr>
          <w:spacing w:val="-4"/>
        </w:rPr>
        <w:t>低于</w:t>
      </w:r>
      <w:r>
        <w:rPr>
          <w:spacing w:val="-4"/>
        </w:rPr>
        <w:t>20</w:t>
      </w:r>
      <w:r>
        <w:rPr>
          <w:rFonts w:ascii="Times New Roman" w:eastAsia="Times New Roman" w:hAnsi="Times New Roman" w:cs="Times New Roman"/>
          <w:spacing w:val="-4"/>
        </w:rPr>
        <w:t xml:space="preserve">mg  </w:t>
      </w:r>
      <w:r>
        <w:t>/L</w:t>
      </w:r>
      <w:r>
        <w:t>的清洁水浸泡</w:t>
      </w:r>
      <w:r>
        <w:t xml:space="preserve">24h </w:t>
      </w:r>
      <w:r>
        <w:t>后，再用清洁水进行第二次冲洗至水质监测、</w:t>
      </w:r>
    </w:p>
    <w:p w:rsidR="00FC0BA9">
      <w:pPr>
        <w:pStyle w:val="BodyText"/>
        <w:spacing w:line="219" w:lineRule="auto"/>
        <w:ind w:left="10"/>
      </w:pPr>
      <w:r>
        <w:rPr>
          <w:spacing w:val="-5"/>
        </w:rPr>
        <w:t>管理部门取样化验合格为止。</w:t>
      </w:r>
    </w:p>
    <w:p w:rsidR="00FC0BA9"/>
    <w:p w:rsidR="00FC0BA9">
      <w:pPr>
        <w:pStyle w:val="BodyText"/>
        <w:spacing w:before="91" w:line="620" w:lineRule="exact"/>
        <w:ind w:left="580"/>
      </w:pPr>
      <w:r>
        <w:rPr>
          <w:spacing w:val="4"/>
          <w:position w:val="25"/>
        </w:rPr>
        <w:t>9.</w:t>
      </w:r>
      <w:r>
        <w:rPr>
          <w:spacing w:val="4"/>
          <w:position w:val="25"/>
        </w:rPr>
        <w:t>钢制排气三通</w:t>
      </w:r>
      <w:r>
        <w:rPr>
          <w:spacing w:val="4"/>
          <w:position w:val="25"/>
        </w:rPr>
        <w:t>(</w:t>
      </w:r>
      <w:r>
        <w:rPr>
          <w:position w:val="25"/>
        </w:rPr>
        <w:t>DN</w:t>
      </w:r>
      <w:r>
        <w:rPr>
          <w:spacing w:val="4"/>
          <w:position w:val="25"/>
        </w:rPr>
        <w:t>100~</w:t>
      </w:r>
      <w:r>
        <w:rPr>
          <w:position w:val="25"/>
        </w:rPr>
        <w:t>DN</w:t>
      </w:r>
      <w:r>
        <w:rPr>
          <w:spacing w:val="4"/>
          <w:position w:val="25"/>
        </w:rPr>
        <w:t>1000)</w:t>
      </w:r>
      <w:r>
        <w:rPr>
          <w:spacing w:val="4"/>
          <w:position w:val="25"/>
        </w:rPr>
        <w:t>见钢制管件</w:t>
      </w:r>
      <w:r>
        <w:rPr>
          <w:spacing w:val="4"/>
          <w:position w:val="25"/>
        </w:rPr>
        <w:t>02S403-82,</w:t>
      </w:r>
      <w:r>
        <w:rPr>
          <w:spacing w:val="3"/>
          <w:position w:val="25"/>
        </w:rPr>
        <w:t>排泥三</w:t>
      </w:r>
    </w:p>
    <w:p w:rsidR="00FC0BA9">
      <w:pPr>
        <w:pStyle w:val="BodyText"/>
        <w:spacing w:line="216" w:lineRule="auto"/>
        <w:ind w:left="10"/>
      </w:pPr>
      <w:r>
        <w:rPr>
          <w:spacing w:val="-1"/>
        </w:rPr>
        <w:t>通</w:t>
      </w:r>
      <w:r>
        <w:rPr>
          <w:spacing w:val="-1"/>
        </w:rPr>
        <w:t>(DN200~DN1000)</w:t>
      </w:r>
      <w:r>
        <w:rPr>
          <w:spacing w:val="-1"/>
        </w:rPr>
        <w:t>见</w:t>
      </w:r>
      <w:r>
        <w:rPr>
          <w:spacing w:val="-1"/>
        </w:rPr>
        <w:t xml:space="preserve">02S403-85.10, </w:t>
      </w:r>
      <w:r>
        <w:rPr>
          <w:spacing w:val="-1"/>
        </w:rPr>
        <w:t>球墨铸铁管管</w:t>
      </w:r>
      <w:r>
        <w:rPr>
          <w:spacing w:val="-2"/>
        </w:rPr>
        <w:t>道回填至设计高</w:t>
      </w:r>
    </w:p>
    <w:p w:rsidR="00FC0BA9">
      <w:pPr>
        <w:pStyle w:val="BodyText"/>
        <w:spacing w:before="296" w:line="741" w:lineRule="exact"/>
        <w:ind w:left="10"/>
      </w:pPr>
      <w:r>
        <w:rPr>
          <w:spacing w:val="1"/>
          <w:position w:val="35"/>
        </w:rPr>
        <w:t>程时，应在</w:t>
      </w:r>
      <w:r>
        <w:rPr>
          <w:spacing w:val="1"/>
          <w:position w:val="35"/>
        </w:rPr>
        <w:t>12~24</w:t>
      </w:r>
      <w:r>
        <w:rPr>
          <w:rFonts w:ascii="Times New Roman" w:eastAsia="Times New Roman" w:hAnsi="Times New Roman" w:cs="Times New Roman"/>
          <w:spacing w:val="1"/>
          <w:position w:val="35"/>
        </w:rPr>
        <w:t>h</w:t>
      </w:r>
      <w:r>
        <w:rPr>
          <w:spacing w:val="1"/>
          <w:position w:val="35"/>
        </w:rPr>
        <w:t>内测量并记录管遭变形率，管</w:t>
      </w:r>
      <w:r>
        <w:rPr>
          <w:position w:val="35"/>
        </w:rPr>
        <w:t>道变形率应不超过</w:t>
      </w:r>
    </w:p>
    <w:p w:rsidR="00FC0BA9">
      <w:pPr>
        <w:pStyle w:val="BodyText"/>
        <w:spacing w:before="1" w:line="182" w:lineRule="auto"/>
        <w:ind w:left="10"/>
        <w:rPr>
          <w:sz w:val="21"/>
          <w:szCs w:val="21"/>
        </w:rPr>
      </w:pPr>
      <w:r>
        <w:rPr>
          <w:spacing w:val="-7"/>
          <w:sz w:val="21"/>
          <w:szCs w:val="21"/>
        </w:rPr>
        <w:t>2%</w:t>
      </w:r>
      <w:r>
        <w:rPr>
          <w:spacing w:val="-7"/>
          <w:sz w:val="21"/>
          <w:szCs w:val="21"/>
        </w:rPr>
        <w:t>。</w:t>
      </w:r>
    </w:p>
    <w:p w:rsidR="00FC0BA9">
      <w:pPr>
        <w:spacing w:line="264" w:lineRule="auto"/>
      </w:pPr>
    </w:p>
    <w:p w:rsidR="00FC0BA9">
      <w:pPr>
        <w:pStyle w:val="BodyText"/>
        <w:spacing w:before="92" w:line="219" w:lineRule="auto"/>
        <w:ind w:left="584"/>
        <w:outlineLvl w:val="6"/>
      </w:pPr>
      <w:r>
        <w:rPr>
          <w:b/>
          <w:bCs/>
          <w:spacing w:val="-6"/>
          <w:u w:val="single"/>
        </w:rPr>
        <w:t>3</w:t>
      </w:r>
      <w:r>
        <w:rPr>
          <w:b/>
          <w:bCs/>
          <w:spacing w:val="-6"/>
          <w:u w:val="single"/>
        </w:rPr>
        <w:t>、雨水工程</w:t>
      </w:r>
    </w:p>
    <w:p w:rsidR="00FC0BA9">
      <w:pPr>
        <w:pStyle w:val="BodyText"/>
        <w:spacing w:before="261" w:line="415" w:lineRule="auto"/>
        <w:ind w:left="10" w:right="132" w:firstLine="570"/>
      </w:pPr>
      <w:r>
        <w:rPr>
          <w:spacing w:val="-5"/>
        </w:rPr>
        <w:t>3.1.</w:t>
      </w:r>
      <w:r>
        <w:rPr>
          <w:spacing w:val="-5"/>
        </w:rPr>
        <w:t>根据总规，本区地块雨水主要就近排入相交道路或附近的渠</w:t>
      </w:r>
      <w:r>
        <w:rPr>
          <w:spacing w:val="-7"/>
        </w:rPr>
        <w:t>道。雨水管道设计主要布置在辅道下，雨水管管径为</w:t>
      </w:r>
      <w:r>
        <w:rPr>
          <w:spacing w:val="-7"/>
        </w:rPr>
        <w:t>DN600~DN1200</w:t>
      </w:r>
      <w:r>
        <w:rPr>
          <w:spacing w:val="-7"/>
        </w:rPr>
        <w:t>。</w:t>
      </w:r>
    </w:p>
    <w:p w:rsidR="00FC0BA9">
      <w:pPr>
        <w:pStyle w:val="BodyText"/>
        <w:spacing w:before="1" w:line="218" w:lineRule="auto"/>
        <w:ind w:left="10"/>
      </w:pPr>
      <w:r>
        <w:rPr>
          <w:spacing w:val="-5"/>
        </w:rPr>
        <w:t>设计采用预留沉泥井接遭路边沟雨水。</w:t>
      </w:r>
    </w:p>
    <w:p w:rsidR="00FC0BA9">
      <w:pPr>
        <w:pStyle w:val="BodyText"/>
        <w:spacing w:before="279" w:line="634" w:lineRule="exact"/>
        <w:ind w:right="6"/>
        <w:jc w:val="right"/>
      </w:pPr>
      <w:r>
        <w:rPr>
          <w:spacing w:val="3"/>
          <w:position w:val="27"/>
        </w:rPr>
        <w:t>本工程采用泉州暴雨强度</w:t>
      </w:r>
      <w:r>
        <w:rPr>
          <w:spacing w:val="3"/>
          <w:position w:val="27"/>
        </w:rPr>
        <w:t>1470.505(1+0.7511</w:t>
      </w:r>
      <w:r>
        <w:rPr>
          <w:spacing w:val="3"/>
          <w:position w:val="27"/>
        </w:rPr>
        <w:t>创</w:t>
      </w:r>
      <w:r>
        <w:rPr>
          <w:spacing w:val="3"/>
          <w:position w:val="27"/>
        </w:rPr>
        <w:t>)(</w:t>
      </w:r>
      <w:r>
        <w:rPr>
          <w:spacing w:val="3"/>
          <w:position w:val="27"/>
        </w:rPr>
        <w:t>升</w:t>
      </w:r>
      <w:r>
        <w:rPr>
          <w:spacing w:val="3"/>
          <w:position w:val="27"/>
        </w:rPr>
        <w:t>/</w:t>
      </w:r>
      <w:r>
        <w:rPr>
          <w:spacing w:val="3"/>
          <w:position w:val="27"/>
        </w:rPr>
        <w:t>秒</w:t>
      </w:r>
      <w:r>
        <w:rPr>
          <w:spacing w:val="3"/>
          <w:position w:val="27"/>
        </w:rPr>
        <w:t>.</w:t>
      </w:r>
      <w:r>
        <w:rPr>
          <w:spacing w:val="3"/>
          <w:position w:val="27"/>
        </w:rPr>
        <w:t>公顷》</w:t>
      </w:r>
    </w:p>
    <w:p w:rsidR="00FC0BA9">
      <w:pPr>
        <w:pStyle w:val="BodyText"/>
        <w:spacing w:line="215" w:lineRule="auto"/>
        <w:ind w:left="10"/>
      </w:pPr>
      <w:r>
        <w:rPr>
          <w:spacing w:val="2"/>
        </w:rPr>
        <w:t>(t+10.257y0604</w:t>
      </w:r>
      <w:r>
        <w:rPr>
          <w:spacing w:val="2"/>
        </w:rPr>
        <w:t>重现期采用</w:t>
      </w:r>
      <w:r>
        <w:rPr>
          <w:spacing w:val="2"/>
        </w:rPr>
        <w:t>3</w:t>
      </w:r>
      <w:r>
        <w:rPr>
          <w:spacing w:val="2"/>
        </w:rPr>
        <w:t>年计。</w:t>
      </w:r>
    </w:p>
    <w:p w:rsidR="00FC0BA9">
      <w:pPr>
        <w:pStyle w:val="BodyText"/>
        <w:spacing w:before="290" w:line="403" w:lineRule="auto"/>
        <w:ind w:left="10" w:right="132" w:firstLine="570"/>
        <w:rPr>
          <w:rFonts w:ascii="Times New Roman" w:eastAsia="Times New Roman" w:hAnsi="Times New Roman" w:cs="Times New Roman"/>
        </w:rPr>
      </w:pPr>
      <w:r>
        <w:rPr>
          <w:spacing w:val="-5"/>
        </w:rPr>
        <w:t xml:space="preserve">3.2 </w:t>
      </w:r>
      <w:r>
        <w:rPr>
          <w:spacing w:val="-5"/>
        </w:rPr>
        <w:t>管材选材、接口与基础：本工程雨水管道采用连续缠绕玻璃</w:t>
      </w:r>
      <w:r>
        <w:rPr>
          <w:spacing w:val="-9"/>
        </w:rPr>
        <w:t>钢管，采用套简连接，埋深小于</w:t>
      </w:r>
      <w:r>
        <w:rPr>
          <w:spacing w:val="-9"/>
        </w:rPr>
        <w:t>4</w:t>
      </w:r>
      <w:r>
        <w:rPr>
          <w:rFonts w:ascii="Times New Roman" w:eastAsia="Times New Roman" w:hAnsi="Times New Roman" w:cs="Times New Roman"/>
          <w:spacing w:val="-9"/>
        </w:rPr>
        <w:t>m</w:t>
      </w:r>
      <w:r>
        <w:rPr>
          <w:spacing w:val="-9"/>
        </w:rPr>
        <w:t>时，管材环刚度不小于</w:t>
      </w:r>
      <w:r>
        <w:rPr>
          <w:spacing w:val="-9"/>
        </w:rPr>
        <w:t>10000</w:t>
      </w:r>
      <w:r>
        <w:rPr>
          <w:rFonts w:ascii="Times New Roman" w:eastAsia="Times New Roman" w:hAnsi="Times New Roman" w:cs="Times New Roman"/>
          <w:spacing w:val="-9"/>
        </w:rPr>
        <w:t>N/m2,</w:t>
      </w:r>
    </w:p>
    <w:p w:rsidR="00FC0BA9">
      <w:pPr>
        <w:pStyle w:val="BodyText"/>
        <w:spacing w:line="212" w:lineRule="auto"/>
        <w:ind w:left="10"/>
      </w:pPr>
      <w:r>
        <w:t>理应大于</w:t>
      </w:r>
      <w:r>
        <w:t>4</w:t>
      </w:r>
      <w:r>
        <w:rPr>
          <w:rFonts w:ascii="Times New Roman" w:eastAsia="Times New Roman" w:hAnsi="Times New Roman" w:cs="Times New Roman"/>
        </w:rPr>
        <w:t>m,</w:t>
      </w:r>
      <w:r>
        <w:t>管材环刚度不小于</w:t>
      </w:r>
      <w:r>
        <w:t>15000</w:t>
      </w:r>
      <w:r>
        <w:rPr>
          <w:rFonts w:ascii="Times New Roman" w:eastAsia="Times New Roman" w:hAnsi="Times New Roman" w:cs="Times New Roman"/>
        </w:rPr>
        <w:t>N/m2</w:t>
      </w:r>
      <w:r>
        <w:t>。</w:t>
      </w:r>
    </w:p>
    <w:p w:rsidR="00FC0BA9">
      <w:pPr>
        <w:pStyle w:val="BodyText"/>
        <w:spacing w:before="324" w:line="409" w:lineRule="auto"/>
        <w:ind w:left="10" w:right="44" w:firstLine="570"/>
      </w:pPr>
      <w:r>
        <w:rPr>
          <w:spacing w:val="1"/>
        </w:rPr>
        <w:t>3.3</w:t>
      </w:r>
      <w:r>
        <w:rPr>
          <w:spacing w:val="1"/>
        </w:rPr>
        <w:t>雨水管道采用大开挖埋设。当现状地面低于</w:t>
      </w:r>
      <w:r>
        <w:t>路基标高时采用</w:t>
      </w:r>
      <w:r>
        <w:t xml:space="preserve"> </w:t>
      </w:r>
      <w:r>
        <w:rPr>
          <w:spacing w:val="-4"/>
        </w:rPr>
        <w:t>先施工雨水管的工序。管道应敷设在原状土地基或经开槽后处理</w:t>
      </w:r>
      <w:r>
        <w:rPr>
          <w:spacing w:val="-5"/>
        </w:rPr>
        <w:t>达到回填密实度要求的地层上。雨水管道在人行道、非机动车道</w:t>
      </w:r>
      <w:r>
        <w:rPr>
          <w:spacing w:val="-6"/>
        </w:rPr>
        <w:t>时管沟回</w:t>
      </w:r>
      <w:r>
        <w:rPr>
          <w:spacing w:val="-6"/>
        </w:rPr>
        <w:t xml:space="preserve"> </w:t>
      </w:r>
      <w:r>
        <w:rPr>
          <w:spacing w:val="-5"/>
        </w:rPr>
        <w:t>填采用中粗砂回填至路床底，雨水管道在绿化带下时管沟回</w:t>
      </w:r>
      <w:r>
        <w:rPr>
          <w:spacing w:val="-6"/>
        </w:rPr>
        <w:t>填采用中</w:t>
      </w:r>
      <w:r>
        <w:rPr>
          <w:spacing w:val="-6"/>
        </w:rPr>
        <w:t xml:space="preserve"> </w:t>
      </w:r>
      <w:r>
        <w:t>粗砂回填至管顶以上</w:t>
      </w:r>
      <w:r>
        <w:t>0.5</w:t>
      </w:r>
      <w:r>
        <w:rPr>
          <w:rFonts w:ascii="Times New Roman" w:eastAsia="Times New Roman" w:hAnsi="Times New Roman" w:cs="Times New Roman"/>
        </w:rPr>
        <w:t>m,</w:t>
      </w:r>
      <w:r>
        <w:t>管顶以上</w:t>
      </w:r>
      <w:r>
        <w:t>0.</w:t>
      </w:r>
      <w:r>
        <w:rPr>
          <w:spacing w:val="-1"/>
        </w:rPr>
        <w:t>5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spacing w:val="-1"/>
        </w:rPr>
        <w:t>至路床底采用好土回填；</w:t>
      </w:r>
    </w:p>
    <w:p w:rsidR="00FC0BA9">
      <w:pPr>
        <w:pStyle w:val="BodyText"/>
        <w:spacing w:before="1" w:line="218" w:lineRule="auto"/>
        <w:ind w:left="10"/>
      </w:pPr>
      <w:r>
        <w:rPr>
          <w:spacing w:val="14"/>
        </w:rPr>
        <w:t>雨水管道在机动车道下时管沟回填采用中粗砂回填至路床底以下</w:t>
      </w:r>
    </w:p>
    <w:p w:rsidR="00FC0BA9">
      <w:pPr>
        <w:spacing w:line="218" w:lineRule="auto"/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10" w:h="16840"/>
          <w:pgMar w:top="1359" w:right="1713" w:bottom="0" w:left="1779" w:header="0" w:footer="0" w:gutter="0"/>
          <w:pgNumType w:start="10"/>
          <w:cols w:space="720"/>
        </w:sectPr>
      </w:pPr>
    </w:p>
    <w:p w:rsidR="00FC0BA9">
      <w:pPr>
        <w:pStyle w:val="BodyText"/>
        <w:spacing w:before="165" w:line="644" w:lineRule="exact"/>
        <w:ind w:left="3"/>
      </w:pPr>
      <w:r>
        <w:rPr>
          <w:lang w:eastAsia="zh-CN"/>
        </w:rP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1193795</wp:posOffset>
            </wp:positionH>
            <wp:positionV relativeFrom="page">
              <wp:posOffset>2374896</wp:posOffset>
            </wp:positionV>
            <wp:extent cx="2470178" cy="290197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470178" cy="290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position w:val="28"/>
        </w:rPr>
        <w:t xml:space="preserve">0.3m, </w:t>
      </w:r>
      <w:r>
        <w:rPr>
          <w:spacing w:val="2"/>
          <w:position w:val="28"/>
        </w:rPr>
        <w:t>路床底以下</w:t>
      </w:r>
      <w:r>
        <w:rPr>
          <w:spacing w:val="2"/>
          <w:position w:val="28"/>
        </w:rPr>
        <w:t>0.3</w:t>
      </w:r>
      <w:r>
        <w:rPr>
          <w:rFonts w:ascii="Times New Roman" w:eastAsia="Times New Roman" w:hAnsi="Times New Roman" w:cs="Times New Roman"/>
          <w:spacing w:val="2"/>
          <w:position w:val="28"/>
        </w:rPr>
        <w:t>m</w:t>
      </w:r>
      <w:r>
        <w:rPr>
          <w:spacing w:val="2"/>
          <w:position w:val="28"/>
        </w:rPr>
        <w:t>至路床底采用好土回填，回填密实度要求详</w:t>
      </w:r>
    </w:p>
    <w:p w:rsidR="00FC0BA9">
      <w:pPr>
        <w:pStyle w:val="BodyText"/>
        <w:spacing w:line="219" w:lineRule="auto"/>
        <w:ind w:left="3"/>
      </w:pPr>
      <w:r>
        <w:rPr>
          <w:spacing w:val="-4"/>
        </w:rPr>
        <w:t>见</w:t>
      </w:r>
      <w:r>
        <w:rPr>
          <w:spacing w:val="-4"/>
        </w:rPr>
        <w:t>&lt;</w:t>
      </w:r>
      <w:r>
        <w:rPr>
          <w:spacing w:val="-4"/>
        </w:rPr>
        <w:t>给水排水管道工程施工及验收规范》有关条文规定。</w:t>
      </w:r>
    </w:p>
    <w:p w:rsidR="00FC0BA9">
      <w:pPr>
        <w:pStyle w:val="BodyText"/>
        <w:spacing w:before="277" w:line="219" w:lineRule="auto"/>
        <w:ind w:left="583"/>
      </w:pPr>
      <w:r>
        <w:rPr>
          <w:spacing w:val="5"/>
        </w:rPr>
        <w:t>3.4</w:t>
      </w:r>
      <w:r>
        <w:rPr>
          <w:spacing w:val="5"/>
        </w:rPr>
        <w:t>沟槽开挖断面图</w:t>
      </w:r>
    </w:p>
    <w:p w:rsidR="00FC0BA9">
      <w:pPr>
        <w:spacing w:before="149"/>
      </w:pPr>
    </w:p>
    <w:tbl>
      <w:tblPr>
        <w:tblStyle w:val="TableNormal02"/>
        <w:tblW w:w="3799" w:type="dxa"/>
        <w:tblInd w:w="4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3"/>
        <w:gridCol w:w="359"/>
        <w:gridCol w:w="359"/>
        <w:gridCol w:w="369"/>
        <w:gridCol w:w="359"/>
        <w:gridCol w:w="439"/>
        <w:gridCol w:w="369"/>
        <w:gridCol w:w="369"/>
        <w:gridCol w:w="359"/>
        <w:gridCol w:w="374"/>
      </w:tblGrid>
      <w:tr>
        <w:tblPrEx>
          <w:tblW w:w="3799" w:type="dxa"/>
          <w:tblInd w:w="430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74"/>
        </w:trPr>
        <w:tc>
          <w:tcPr>
            <w:tcW w:w="443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134" w:line="391" w:lineRule="exact"/>
              <w:ind w:left="94"/>
            </w:pPr>
            <w:r>
              <w:rPr>
                <w:position w:val="12"/>
              </w:rPr>
              <w:t>径</w:t>
            </w:r>
          </w:p>
          <w:p w:rsidR="00FC0BA9">
            <w:pPr>
              <w:pStyle w:val="TableText"/>
              <w:spacing w:line="167" w:lineRule="auto"/>
              <w:ind w:left="154"/>
            </w:pPr>
            <w:r>
              <w:t>D</w:t>
            </w:r>
          </w:p>
        </w:tc>
        <w:tc>
          <w:tcPr>
            <w:tcW w:w="359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150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-13"/>
                <w:w w:val="87"/>
                <w:sz w:val="14"/>
                <w:szCs w:val="14"/>
              </w:rPr>
              <w:t>管</w:t>
            </w:r>
            <w:r>
              <w:rPr>
                <w:spacing w:val="-12"/>
                <w:w w:val="87"/>
                <w:sz w:val="14"/>
                <w:szCs w:val="14"/>
              </w:rPr>
              <w:t>壁</w:t>
            </w:r>
            <w:r>
              <w:rPr>
                <w:spacing w:val="-8"/>
                <w:w w:val="87"/>
                <w:sz w:val="14"/>
                <w:szCs w:val="14"/>
              </w:rPr>
              <w:t>厚</w:t>
            </w:r>
          </w:p>
        </w:tc>
        <w:tc>
          <w:tcPr>
            <w:tcW w:w="1087" w:type="dxa"/>
            <w:gridSpan w:val="3"/>
          </w:tcPr>
          <w:p w:rsidR="00FC0BA9">
            <w:pPr>
              <w:pStyle w:val="TableText"/>
              <w:spacing w:before="69" w:line="219" w:lineRule="auto"/>
              <w:ind w:left="236"/>
            </w:pPr>
            <w:r>
              <w:rPr>
                <w:b/>
                <w:bCs/>
                <w:spacing w:val="-5"/>
              </w:rPr>
              <w:t>基尺寸</w:t>
            </w:r>
          </w:p>
        </w:tc>
        <w:tc>
          <w:tcPr>
            <w:tcW w:w="439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132" w:line="219" w:lineRule="auto"/>
              <w:jc w:val="right"/>
              <w:rPr>
                <w:sz w:val="17"/>
                <w:szCs w:val="17"/>
              </w:rPr>
            </w:pPr>
            <w:r>
              <w:rPr>
                <w:spacing w:val="-32"/>
                <w:w w:val="95"/>
                <w:sz w:val="17"/>
                <w:szCs w:val="17"/>
              </w:rPr>
              <w:t>管</w:t>
            </w:r>
            <w:r>
              <w:rPr>
                <w:spacing w:val="-31"/>
                <w:w w:val="95"/>
                <w:sz w:val="17"/>
                <w:szCs w:val="17"/>
              </w:rPr>
              <w:t>内</w:t>
            </w:r>
            <w:r>
              <w:rPr>
                <w:spacing w:val="-9"/>
                <w:w w:val="95"/>
                <w:sz w:val="17"/>
                <w:szCs w:val="17"/>
              </w:rPr>
              <w:t>径</w:t>
            </w:r>
          </w:p>
        </w:tc>
        <w:tc>
          <w:tcPr>
            <w:tcW w:w="369" w:type="dxa"/>
            <w:vMerge w:val="restart"/>
            <w:tcBorders>
              <w:bottom w:val="nil"/>
            </w:tcBorders>
          </w:tcPr>
          <w:p w:rsidR="00FC0BA9">
            <w:pPr>
              <w:pStyle w:val="TableText"/>
              <w:spacing w:before="130" w:line="219" w:lineRule="auto"/>
              <w:jc w:val="right"/>
              <w:rPr>
                <w:sz w:val="14"/>
                <w:szCs w:val="14"/>
              </w:rPr>
            </w:pPr>
            <w:r>
              <w:rPr>
                <w:spacing w:val="-13"/>
                <w:w w:val="89"/>
                <w:sz w:val="14"/>
                <w:szCs w:val="14"/>
              </w:rPr>
              <w:t>管</w:t>
            </w:r>
            <w:r>
              <w:rPr>
                <w:spacing w:val="-12"/>
                <w:w w:val="89"/>
                <w:sz w:val="14"/>
                <w:szCs w:val="14"/>
              </w:rPr>
              <w:t>壁</w:t>
            </w:r>
            <w:r>
              <w:rPr>
                <w:spacing w:val="-8"/>
                <w:w w:val="89"/>
                <w:sz w:val="14"/>
                <w:szCs w:val="14"/>
              </w:rPr>
              <w:t>厚</w:t>
            </w:r>
          </w:p>
        </w:tc>
        <w:tc>
          <w:tcPr>
            <w:tcW w:w="1102" w:type="dxa"/>
            <w:gridSpan w:val="3"/>
          </w:tcPr>
          <w:p w:rsidR="00FC0BA9">
            <w:pPr>
              <w:pStyle w:val="TableText"/>
              <w:spacing w:before="89" w:line="219" w:lineRule="auto"/>
              <w:ind w:left="270"/>
            </w:pPr>
            <w:r>
              <w:rPr>
                <w:b/>
                <w:bCs/>
                <w:spacing w:val="-5"/>
                <w:position w:val="3"/>
                <w:sz w:val="16"/>
                <w:szCs w:val="16"/>
              </w:rPr>
              <w:t>花</w:t>
            </w:r>
            <w:r>
              <w:rPr>
                <w:b/>
                <w:bCs/>
                <w:spacing w:val="-5"/>
                <w:position w:val="3"/>
                <w:sz w:val="16"/>
                <w:szCs w:val="16"/>
              </w:rPr>
              <w:t>#</w:t>
            </w:r>
            <w:r>
              <w:rPr>
                <w:b/>
                <w:bCs/>
                <w:spacing w:val="-5"/>
                <w:position w:val="-1"/>
              </w:rPr>
              <w:t>尺寸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60"/>
        </w:trPr>
        <w:tc>
          <w:tcPr>
            <w:tcW w:w="443" w:type="dxa"/>
            <w:vMerge/>
            <w:tcBorders>
              <w:top w:val="nil"/>
            </w:tcBorders>
          </w:tcPr>
          <w:p w:rsidR="00FC0BA9"/>
        </w:tc>
        <w:tc>
          <w:tcPr>
            <w:tcW w:w="359" w:type="dxa"/>
            <w:vMerge/>
            <w:tcBorders>
              <w:top w:val="nil"/>
            </w:tcBorders>
          </w:tcPr>
          <w:p w:rsidR="00FC0BA9"/>
        </w:tc>
        <w:tc>
          <w:tcPr>
            <w:tcW w:w="359" w:type="dxa"/>
          </w:tcPr>
          <w:p w:rsidR="00FC0BA9"/>
        </w:tc>
        <w:tc>
          <w:tcPr>
            <w:tcW w:w="369" w:type="dxa"/>
          </w:tcPr>
          <w:p w:rsidR="00FC0BA9">
            <w:pPr>
              <w:pStyle w:val="TableText"/>
              <w:spacing w:before="128" w:line="178" w:lineRule="auto"/>
              <w:ind w:left="63"/>
            </w:pPr>
            <w:r>
              <w:rPr>
                <w:spacing w:val="-2"/>
              </w:rPr>
              <w:t>C1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29" w:line="177" w:lineRule="auto"/>
              <w:ind w:left="54"/>
            </w:pPr>
            <w:r>
              <w:rPr>
                <w:spacing w:val="-2"/>
              </w:rPr>
              <w:t>C2</w:t>
            </w:r>
          </w:p>
        </w:tc>
        <w:tc>
          <w:tcPr>
            <w:tcW w:w="439" w:type="dxa"/>
            <w:vMerge/>
            <w:tcBorders>
              <w:top w:val="nil"/>
            </w:tcBorders>
          </w:tcPr>
          <w:p w:rsidR="00FC0BA9"/>
        </w:tc>
        <w:tc>
          <w:tcPr>
            <w:tcW w:w="369" w:type="dxa"/>
            <w:vMerge/>
            <w:tcBorders>
              <w:top w:val="nil"/>
            </w:tcBorders>
          </w:tcPr>
          <w:p w:rsidR="00FC0BA9"/>
        </w:tc>
        <w:tc>
          <w:tcPr>
            <w:tcW w:w="369" w:type="dxa"/>
          </w:tcPr>
          <w:p w:rsidR="00FC0BA9"/>
        </w:tc>
        <w:tc>
          <w:tcPr>
            <w:tcW w:w="359" w:type="dxa"/>
          </w:tcPr>
          <w:p w:rsidR="00FC0BA9">
            <w:pPr>
              <w:pStyle w:val="TableText"/>
              <w:spacing w:before="128" w:line="178" w:lineRule="auto"/>
              <w:ind w:left="58"/>
            </w:pPr>
            <w:r>
              <w:rPr>
                <w:spacing w:val="-2"/>
              </w:rPr>
              <w:t>C1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9" w:line="177" w:lineRule="auto"/>
              <w:ind w:left="109"/>
            </w:pPr>
            <w:r>
              <w:rPr>
                <w:spacing w:val="-2"/>
              </w:rPr>
              <w:t>C2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49"/>
        </w:trPr>
        <w:tc>
          <w:tcPr>
            <w:tcW w:w="443" w:type="dxa"/>
          </w:tcPr>
          <w:p w:rsidR="00FC0BA9">
            <w:pPr>
              <w:pStyle w:val="TableText"/>
              <w:spacing w:before="119" w:line="176" w:lineRule="auto"/>
              <w:ind w:left="34"/>
            </w:pPr>
            <w:r>
              <w:rPr>
                <w:spacing w:val="-3"/>
              </w:rPr>
              <w:t>200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19" w:line="176" w:lineRule="auto"/>
              <w:ind w:left="51"/>
            </w:pPr>
            <w:r>
              <w:rPr>
                <w:spacing w:val="-4"/>
              </w:rPr>
              <w:t>30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19" w:line="176" w:lineRule="auto"/>
              <w:jc w:val="right"/>
            </w:pPr>
            <w:r>
              <w:rPr>
                <w:spacing w:val="-3"/>
              </w:rPr>
              <w:t>400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18" w:line="177" w:lineRule="auto"/>
              <w:ind w:left="3"/>
            </w:pPr>
            <w:r>
              <w:rPr>
                <w:spacing w:val="-6"/>
              </w:rPr>
              <w:t>100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18" w:line="177" w:lineRule="auto"/>
              <w:ind w:left="14"/>
            </w:pPr>
            <w:r>
              <w:rPr>
                <w:spacing w:val="-6"/>
              </w:rPr>
              <w:t>130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18" w:line="177" w:lineRule="auto"/>
              <w:jc w:val="right"/>
            </w:pPr>
            <w:r>
              <w:rPr>
                <w:spacing w:val="-12"/>
              </w:rPr>
              <w:t>1350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18" w:line="177" w:lineRule="auto"/>
              <w:ind w:left="6"/>
            </w:pPr>
            <w:r>
              <w:rPr>
                <w:spacing w:val="-6"/>
              </w:rPr>
              <w:t>135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19" w:line="176" w:lineRule="auto"/>
              <w:ind w:left="7"/>
            </w:pPr>
            <w:r>
              <w:rPr>
                <w:spacing w:val="-3"/>
              </w:rPr>
              <w:t>600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212" w:line="182" w:lineRule="auto"/>
              <w:ind w:left="78"/>
              <w:rPr>
                <w:sz w:val="7"/>
                <w:szCs w:val="7"/>
              </w:rPr>
            </w:pPr>
            <w:r>
              <w:rPr>
                <w:sz w:val="7"/>
                <w:szCs w:val="7"/>
              </w:rPr>
              <w:t>L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15" w:line="184" w:lineRule="auto"/>
              <w:jc w:val="right"/>
              <w:rPr>
                <w:sz w:val="22"/>
                <w:szCs w:val="22"/>
              </w:rPr>
            </w:pPr>
            <w:r>
              <w:rPr>
                <w:spacing w:val="-18"/>
                <w:sz w:val="22"/>
                <w:szCs w:val="22"/>
              </w:rPr>
              <w:t>81</w:t>
            </w:r>
            <w:r>
              <w:rPr>
                <w:spacing w:val="-12"/>
                <w:sz w:val="22"/>
                <w:szCs w:val="22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79"/>
        </w:trPr>
        <w:tc>
          <w:tcPr>
            <w:tcW w:w="443" w:type="dxa"/>
          </w:tcPr>
          <w:p w:rsidR="00FC0BA9">
            <w:pPr>
              <w:pStyle w:val="TableText"/>
              <w:spacing w:before="140" w:line="183" w:lineRule="auto"/>
              <w:ind w:left="34"/>
            </w:pPr>
            <w:r>
              <w:rPr>
                <w:spacing w:val="-4"/>
              </w:rPr>
              <w:t>300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40" w:line="183" w:lineRule="auto"/>
              <w:ind w:left="51"/>
            </w:pPr>
            <w:r>
              <w:rPr>
                <w:spacing w:val="-4"/>
              </w:rPr>
              <w:t>30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40" w:line="183" w:lineRule="auto"/>
              <w:jc w:val="right"/>
            </w:pPr>
            <w:r>
              <w:rPr>
                <w:spacing w:val="-3"/>
              </w:rPr>
              <w:t>400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9" w:line="184" w:lineRule="auto"/>
              <w:ind w:left="3"/>
            </w:pPr>
            <w:r>
              <w:rPr>
                <w:spacing w:val="-6"/>
              </w:rPr>
              <w:t>100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9" w:line="184" w:lineRule="auto"/>
              <w:ind w:left="14"/>
            </w:pPr>
            <w:r>
              <w:rPr>
                <w:spacing w:val="-6"/>
              </w:rPr>
              <w:t>180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9" w:line="184" w:lineRule="auto"/>
              <w:jc w:val="right"/>
            </w:pPr>
            <w:r>
              <w:rPr>
                <w:spacing w:val="-12"/>
              </w:rPr>
              <w:t>1500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9" w:line="184" w:lineRule="auto"/>
              <w:ind w:left="6"/>
            </w:pPr>
            <w:r>
              <w:rPr>
                <w:spacing w:val="-6"/>
              </w:rPr>
              <w:t>150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12" w:line="184" w:lineRule="auto"/>
              <w:ind w:left="147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AA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40" w:line="183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40" w:line="183" w:lineRule="auto"/>
              <w:jc w:val="right"/>
            </w:pPr>
            <w:r>
              <w:rPr>
                <w:spacing w:val="-20"/>
              </w:rPr>
              <w:t>9</w:t>
            </w:r>
            <w:r>
              <w:rPr>
                <w:spacing w:val="-19"/>
              </w:rPr>
              <w:t>0</w:t>
            </w:r>
            <w:r>
              <w:rPr>
                <w:spacing w:val="-12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59"/>
        </w:trPr>
        <w:tc>
          <w:tcPr>
            <w:tcW w:w="443" w:type="dxa"/>
          </w:tcPr>
          <w:p w:rsidR="00FC0BA9">
            <w:pPr>
              <w:pStyle w:val="TableText"/>
              <w:spacing w:before="132" w:line="174" w:lineRule="auto"/>
              <w:ind w:left="34"/>
            </w:pPr>
            <w:r>
              <w:rPr>
                <w:spacing w:val="-2"/>
              </w:rPr>
              <w:t>400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ind w:left="51"/>
            </w:pPr>
            <w:r>
              <w:rPr>
                <w:spacing w:val="-3"/>
              </w:rPr>
              <w:t>40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3"/>
              </w:rPr>
              <w:t>400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0" w:line="175" w:lineRule="auto"/>
              <w:ind w:left="3"/>
            </w:pPr>
            <w:r>
              <w:rPr>
                <w:spacing w:val="-6"/>
              </w:rPr>
              <w:t>100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4"/>
              </w:rPr>
              <w:t>240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0" w:line="175" w:lineRule="auto"/>
              <w:jc w:val="right"/>
            </w:pPr>
            <w:r>
              <w:rPr>
                <w:spacing w:val="-12"/>
              </w:rPr>
              <w:t>1650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0" w:line="175" w:lineRule="auto"/>
              <w:ind w:left="6"/>
            </w:pPr>
            <w:r>
              <w:rPr>
                <w:spacing w:val="-6"/>
              </w:rPr>
              <w:t>165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2" w:line="174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5" w:line="183" w:lineRule="auto"/>
              <w:jc w:val="right"/>
              <w:rPr>
                <w:sz w:val="21"/>
                <w:szCs w:val="21"/>
              </w:rPr>
            </w:pPr>
            <w:r>
              <w:rPr>
                <w:spacing w:val="-16"/>
                <w:sz w:val="21"/>
                <w:szCs w:val="21"/>
              </w:rPr>
              <w:t>9</w:t>
            </w:r>
            <w:r>
              <w:rPr>
                <w:spacing w:val="-15"/>
                <w:sz w:val="21"/>
                <w:szCs w:val="21"/>
              </w:rPr>
              <w:t>9</w:t>
            </w:r>
            <w:r>
              <w:rPr>
                <w:spacing w:val="-11"/>
                <w:sz w:val="21"/>
                <w:szCs w:val="21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59"/>
        </w:trPr>
        <w:tc>
          <w:tcPr>
            <w:tcW w:w="443" w:type="dxa"/>
          </w:tcPr>
          <w:p w:rsidR="00FC0BA9">
            <w:pPr>
              <w:pStyle w:val="TableText"/>
              <w:spacing w:before="132" w:line="174" w:lineRule="auto"/>
              <w:ind w:left="34"/>
            </w:pPr>
            <w:r>
              <w:rPr>
                <w:spacing w:val="-4"/>
              </w:rPr>
              <w:t>500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ind w:left="51"/>
            </w:pPr>
            <w:r>
              <w:rPr>
                <w:spacing w:val="-4"/>
              </w:rPr>
              <w:t>50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3"/>
              </w:rPr>
              <w:t>400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2" w:line="174" w:lineRule="auto"/>
              <w:ind w:left="3"/>
            </w:pPr>
            <w:r>
              <w:rPr>
                <w:spacing w:val="-6"/>
              </w:rPr>
              <w:t>100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14" w:line="111" w:lineRule="exact"/>
              <w:ind w:left="175"/>
              <w:rPr>
                <w:sz w:val="7"/>
                <w:szCs w:val="7"/>
              </w:rPr>
            </w:pPr>
            <w:r>
              <w:rPr>
                <w:spacing w:val="-1"/>
                <w:position w:val="4"/>
                <w:sz w:val="7"/>
                <w:szCs w:val="7"/>
              </w:rPr>
              <w:t>AP</w:t>
            </w:r>
          </w:p>
          <w:p w:rsidR="00FC0BA9">
            <w:pPr>
              <w:pStyle w:val="TableText"/>
              <w:spacing w:line="181" w:lineRule="auto"/>
              <w:ind w:left="155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UWU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2" w:line="174" w:lineRule="auto"/>
              <w:ind w:left="6"/>
            </w:pPr>
            <w:r>
              <w:rPr>
                <w:spacing w:val="-6"/>
              </w:rPr>
              <w:t>180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2" w:line="174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2" w:line="174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2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108</w:t>
            </w:r>
            <w:r>
              <w:rPr>
                <w:spacing w:val="-11"/>
                <w:sz w:val="20"/>
                <w:szCs w:val="20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69"/>
        </w:trPr>
        <w:tc>
          <w:tcPr>
            <w:tcW w:w="443" w:type="dxa"/>
          </w:tcPr>
          <w:p w:rsidR="00FC0BA9">
            <w:pPr>
              <w:pStyle w:val="TableText"/>
              <w:spacing w:before="133" w:line="181" w:lineRule="auto"/>
              <w:ind w:left="34"/>
            </w:pPr>
            <w:r>
              <w:rPr>
                <w:spacing w:val="-3"/>
              </w:rPr>
              <w:t>600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3" w:line="181" w:lineRule="auto"/>
              <w:ind w:left="51"/>
            </w:pPr>
            <w:r>
              <w:rPr>
                <w:spacing w:val="-3"/>
              </w:rPr>
              <w:t>60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3" w:line="181" w:lineRule="auto"/>
              <w:jc w:val="right"/>
            </w:pPr>
            <w:r>
              <w:rPr>
                <w:spacing w:val="-4"/>
              </w:rPr>
              <w:t>500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2" w:line="182" w:lineRule="auto"/>
              <w:ind w:left="3"/>
            </w:pPr>
            <w:r>
              <w:rPr>
                <w:spacing w:val="-6"/>
              </w:rPr>
              <w:t>100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3" w:line="181" w:lineRule="auto"/>
              <w:jc w:val="right"/>
            </w:pPr>
            <w:r>
              <w:rPr>
                <w:spacing w:val="-5"/>
              </w:rPr>
              <w:t>360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3" w:line="181" w:lineRule="auto"/>
              <w:jc w:val="right"/>
            </w:pPr>
            <w:r>
              <w:rPr>
                <w:spacing w:val="-12"/>
              </w:rPr>
              <w:t>2000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3" w:line="181" w:lineRule="auto"/>
              <w:ind w:left="6"/>
            </w:pPr>
            <w:r>
              <w:rPr>
                <w:spacing w:val="-3"/>
              </w:rPr>
              <w:t>200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05" w:line="184" w:lineRule="auto"/>
              <w:ind w:left="147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AA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3" w:line="181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3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120</w:t>
            </w:r>
            <w:r>
              <w:rPr>
                <w:spacing w:val="-11"/>
                <w:sz w:val="20"/>
                <w:szCs w:val="20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59"/>
        </w:trPr>
        <w:tc>
          <w:tcPr>
            <w:tcW w:w="443" w:type="dxa"/>
          </w:tcPr>
          <w:p w:rsidR="00FC0BA9">
            <w:pPr>
              <w:pStyle w:val="TableText"/>
              <w:spacing w:before="134" w:line="172" w:lineRule="auto"/>
              <w:ind w:left="34"/>
            </w:pPr>
            <w:r>
              <w:rPr>
                <w:spacing w:val="-4"/>
              </w:rPr>
              <w:t>700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4" w:line="172" w:lineRule="auto"/>
              <w:ind w:left="51"/>
            </w:pPr>
            <w:r>
              <w:rPr>
                <w:spacing w:val="-4"/>
              </w:rPr>
              <w:t>70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96" w:line="183" w:lineRule="auto"/>
              <w:ind w:left="132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3" w:line="173" w:lineRule="auto"/>
              <w:ind w:left="3"/>
            </w:pPr>
            <w:r>
              <w:rPr>
                <w:spacing w:val="-6"/>
              </w:rPr>
              <w:t>150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4" w:line="172" w:lineRule="auto"/>
              <w:jc w:val="right"/>
            </w:pPr>
            <w:r>
              <w:rPr>
                <w:spacing w:val="-4"/>
              </w:rPr>
              <w:t>420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4" w:line="172" w:lineRule="auto"/>
              <w:jc w:val="right"/>
            </w:pPr>
            <w:r>
              <w:rPr>
                <w:spacing w:val="-12"/>
              </w:rPr>
              <w:t>2200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4" w:line="172" w:lineRule="auto"/>
              <w:ind w:left="6"/>
            </w:pPr>
            <w:r>
              <w:rPr>
                <w:spacing w:val="-3"/>
              </w:rPr>
              <w:t>220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4" w:line="172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4" w:line="172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4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132</w:t>
            </w:r>
            <w:r>
              <w:rPr>
                <w:spacing w:val="-11"/>
                <w:sz w:val="20"/>
                <w:szCs w:val="20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59"/>
        </w:trPr>
        <w:tc>
          <w:tcPr>
            <w:tcW w:w="443" w:type="dxa"/>
          </w:tcPr>
          <w:p w:rsidR="00FC0BA9">
            <w:pPr>
              <w:pStyle w:val="TableText"/>
              <w:spacing w:before="135" w:line="171" w:lineRule="auto"/>
              <w:ind w:left="34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5" w:line="171" w:lineRule="auto"/>
              <w:ind w:left="51"/>
            </w:pPr>
            <w:r>
              <w:rPr>
                <w:spacing w:val="-3"/>
              </w:rPr>
              <w:t>80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5" w:line="171" w:lineRule="auto"/>
              <w:jc w:val="right"/>
            </w:pPr>
            <w:r>
              <w:rPr>
                <w:spacing w:val="-4"/>
              </w:rPr>
              <w:t>500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4" w:line="172" w:lineRule="auto"/>
              <w:ind w:left="3"/>
            </w:pPr>
            <w:r>
              <w:rPr>
                <w:spacing w:val="-6"/>
              </w:rPr>
              <w:t>150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5" w:line="171" w:lineRule="auto"/>
              <w:jc w:val="right"/>
            </w:pPr>
            <w:r>
              <w:rPr>
                <w:spacing w:val="-4"/>
              </w:rPr>
              <w:t>480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17" w:line="184" w:lineRule="auto"/>
              <w:ind w:left="175"/>
              <w:rPr>
                <w:sz w:val="7"/>
                <w:szCs w:val="7"/>
              </w:rPr>
            </w:pPr>
            <w:r>
              <w:rPr>
                <w:spacing w:val="-1"/>
                <w:sz w:val="7"/>
                <w:szCs w:val="7"/>
              </w:rPr>
              <w:t>AA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5" w:line="171" w:lineRule="auto"/>
              <w:ind w:left="6"/>
            </w:pPr>
            <w:r>
              <w:rPr>
                <w:spacing w:val="-3"/>
              </w:rPr>
              <w:t>230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95" w:line="221" w:lineRule="auto"/>
              <w:ind w:right="11"/>
              <w:jc w:val="right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引</w:t>
            </w:r>
            <w:r>
              <w:rPr>
                <w:spacing w:val="-11"/>
                <w:sz w:val="18"/>
                <w:szCs w:val="18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5" w:line="171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5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143</w:t>
            </w:r>
            <w:r>
              <w:rPr>
                <w:spacing w:val="-11"/>
                <w:sz w:val="20"/>
                <w:szCs w:val="20"/>
              </w:rPr>
              <w:t>0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60"/>
        </w:trPr>
        <w:tc>
          <w:tcPr>
            <w:tcW w:w="443" w:type="dxa"/>
          </w:tcPr>
          <w:p w:rsidR="00FC0BA9">
            <w:pPr>
              <w:pStyle w:val="TableText"/>
              <w:spacing w:before="136" w:line="171" w:lineRule="auto"/>
              <w:ind w:left="34"/>
            </w:pPr>
            <w:r>
              <w:rPr>
                <w:spacing w:val="-3"/>
              </w:rPr>
              <w:t>900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6" w:line="171" w:lineRule="auto"/>
              <w:ind w:left="51"/>
            </w:pPr>
            <w:r>
              <w:rPr>
                <w:spacing w:val="-3"/>
              </w:rPr>
              <w:t>90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6" w:line="171" w:lineRule="auto"/>
              <w:jc w:val="right"/>
            </w:pPr>
            <w:r>
              <w:rPr>
                <w:spacing w:val="-4"/>
              </w:rPr>
              <w:t>500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6" w:line="171" w:lineRule="auto"/>
              <w:ind w:left="3"/>
            </w:pPr>
            <w:r>
              <w:rPr>
                <w:spacing w:val="-3"/>
              </w:rPr>
              <w:t>200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6" w:line="171" w:lineRule="auto"/>
              <w:jc w:val="right"/>
            </w:pPr>
            <w:r>
              <w:rPr>
                <w:spacing w:val="-5"/>
              </w:rPr>
              <w:t>540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6" w:line="171" w:lineRule="auto"/>
              <w:jc w:val="right"/>
            </w:pPr>
            <w:r>
              <w:rPr>
                <w:spacing w:val="-12"/>
              </w:rPr>
              <w:t>2600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6" w:line="171" w:lineRule="auto"/>
              <w:ind w:left="6"/>
            </w:pPr>
            <w:r>
              <w:rPr>
                <w:spacing w:val="-3"/>
              </w:rPr>
              <w:t>235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6" w:line="171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6" w:line="171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6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</w:t>
            </w:r>
            <w:r>
              <w:rPr>
                <w:spacing w:val="-14"/>
                <w:sz w:val="20"/>
                <w:szCs w:val="20"/>
              </w:rPr>
              <w:t>53</w:t>
            </w:r>
            <w:r>
              <w:rPr>
                <w:spacing w:val="-13"/>
                <w:sz w:val="20"/>
                <w:szCs w:val="20"/>
              </w:rPr>
              <w:t>5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59"/>
        </w:trPr>
        <w:tc>
          <w:tcPr>
            <w:tcW w:w="443" w:type="dxa"/>
          </w:tcPr>
          <w:p w:rsidR="00FC0BA9">
            <w:pPr>
              <w:pStyle w:val="TableText"/>
              <w:spacing w:before="123" w:line="184" w:lineRule="auto"/>
              <w:jc w:val="right"/>
              <w:rPr>
                <w:sz w:val="19"/>
                <w:szCs w:val="19"/>
              </w:rPr>
            </w:pPr>
            <w:r>
              <w:rPr>
                <w:spacing w:val="-14"/>
                <w:sz w:val="19"/>
                <w:szCs w:val="19"/>
              </w:rPr>
              <w:t>100</w:t>
            </w:r>
            <w:r>
              <w:rPr>
                <w:spacing w:val="-10"/>
                <w:sz w:val="19"/>
                <w:szCs w:val="19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29" w:line="184" w:lineRule="auto"/>
              <w:jc w:val="right"/>
              <w:rPr>
                <w:sz w:val="21"/>
                <w:szCs w:val="21"/>
              </w:rPr>
            </w:pPr>
            <w:r>
              <w:rPr>
                <w:spacing w:val="-19"/>
                <w:sz w:val="21"/>
                <w:szCs w:val="21"/>
              </w:rPr>
              <w:t>1</w:t>
            </w:r>
            <w:r>
              <w:rPr>
                <w:spacing w:val="-18"/>
                <w:sz w:val="21"/>
                <w:szCs w:val="21"/>
              </w:rPr>
              <w:t>0</w:t>
            </w:r>
            <w:r>
              <w:rPr>
                <w:spacing w:val="-11"/>
                <w:sz w:val="21"/>
                <w:szCs w:val="21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0" w:lineRule="auto"/>
              <w:jc w:val="right"/>
            </w:pPr>
            <w:r>
              <w:rPr>
                <w:spacing w:val="-4"/>
              </w:rPr>
              <w:t>500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0" w:lineRule="auto"/>
              <w:ind w:left="3"/>
            </w:pPr>
            <w:r>
              <w:rPr>
                <w:spacing w:val="-3"/>
              </w:rPr>
              <w:t>200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0" w:lineRule="auto"/>
              <w:jc w:val="right"/>
            </w:pPr>
            <w:r>
              <w:rPr>
                <w:spacing w:val="-4"/>
              </w:rPr>
              <w:t>600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7" w:line="170" w:lineRule="auto"/>
              <w:jc w:val="right"/>
            </w:pPr>
            <w:r>
              <w:rPr>
                <w:spacing w:val="-12"/>
              </w:rPr>
              <w:t>2800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0" w:lineRule="auto"/>
              <w:ind w:left="6"/>
            </w:pPr>
            <w:r>
              <w:rPr>
                <w:spacing w:val="-3"/>
              </w:rPr>
              <w:t>255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0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0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6" w:line="184" w:lineRule="auto"/>
              <w:jc w:val="right"/>
              <w:rPr>
                <w:sz w:val="20"/>
                <w:szCs w:val="20"/>
              </w:rPr>
            </w:pPr>
            <w:r>
              <w:rPr>
                <w:spacing w:val="-15"/>
                <w:sz w:val="20"/>
                <w:szCs w:val="20"/>
              </w:rPr>
              <w:t>1</w:t>
            </w:r>
            <w:r>
              <w:rPr>
                <w:spacing w:val="-14"/>
                <w:sz w:val="20"/>
                <w:szCs w:val="20"/>
              </w:rPr>
              <w:t>65</w:t>
            </w:r>
            <w:r>
              <w:rPr>
                <w:spacing w:val="-13"/>
                <w:sz w:val="20"/>
                <w:szCs w:val="20"/>
              </w:rPr>
              <w:t>5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69"/>
        </w:trPr>
        <w:tc>
          <w:tcPr>
            <w:tcW w:w="443" w:type="dxa"/>
          </w:tcPr>
          <w:p w:rsidR="00FC0BA9">
            <w:pPr>
              <w:pStyle w:val="TableText"/>
              <w:spacing w:before="124" w:line="184" w:lineRule="auto"/>
              <w:jc w:val="right"/>
              <w:rPr>
                <w:sz w:val="19"/>
                <w:szCs w:val="19"/>
              </w:rPr>
            </w:pPr>
            <w:r>
              <w:rPr>
                <w:spacing w:val="-14"/>
                <w:sz w:val="19"/>
                <w:szCs w:val="19"/>
              </w:rPr>
              <w:t>110</w:t>
            </w:r>
            <w:r>
              <w:rPr>
                <w:spacing w:val="-10"/>
                <w:sz w:val="19"/>
                <w:szCs w:val="19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24" w:line="184" w:lineRule="auto"/>
              <w:jc w:val="right"/>
              <w:rPr>
                <w:sz w:val="19"/>
                <w:szCs w:val="19"/>
              </w:rPr>
            </w:pPr>
            <w:r>
              <w:rPr>
                <w:spacing w:val="-15"/>
                <w:sz w:val="19"/>
                <w:szCs w:val="19"/>
              </w:rPr>
              <w:t>1</w:t>
            </w:r>
            <w:r>
              <w:rPr>
                <w:spacing w:val="-14"/>
                <w:sz w:val="19"/>
                <w:szCs w:val="19"/>
              </w:rPr>
              <w:t>1</w:t>
            </w:r>
            <w:r>
              <w:rPr>
                <w:spacing w:val="-10"/>
                <w:sz w:val="19"/>
                <w:szCs w:val="19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8" w:lineRule="auto"/>
              <w:jc w:val="right"/>
            </w:pPr>
            <w:r>
              <w:rPr>
                <w:spacing w:val="-4"/>
              </w:rPr>
              <w:t>600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8" w:lineRule="auto"/>
              <w:ind w:left="3"/>
            </w:pPr>
            <w:r>
              <w:rPr>
                <w:spacing w:val="-3"/>
              </w:rPr>
              <w:t>200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8" w:lineRule="auto"/>
              <w:jc w:val="right"/>
            </w:pPr>
            <w:r>
              <w:rPr>
                <w:spacing w:val="-4"/>
              </w:rPr>
              <w:t>660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37" w:line="178" w:lineRule="auto"/>
              <w:jc w:val="right"/>
            </w:pPr>
            <w:r>
              <w:rPr>
                <w:spacing w:val="-12"/>
              </w:rPr>
              <w:t>3000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8" w:lineRule="auto"/>
              <w:ind w:left="6"/>
            </w:pPr>
            <w:r>
              <w:rPr>
                <w:spacing w:val="-3"/>
              </w:rPr>
              <w:t>275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7" w:line="178" w:lineRule="auto"/>
              <w:ind w:left="7"/>
            </w:pPr>
            <w:r>
              <w:rPr>
                <w:spacing w:val="-3"/>
              </w:rPr>
              <w:t>800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7" w:line="178" w:lineRule="auto"/>
              <w:jc w:val="right"/>
            </w:pPr>
            <w:r>
              <w:rPr>
                <w:spacing w:val="-5"/>
              </w:rPr>
              <w:t>300</w:t>
            </w:r>
          </w:p>
        </w:tc>
        <w:tc>
          <w:tcPr>
            <w:tcW w:w="374" w:type="dxa"/>
          </w:tcPr>
          <w:p w:rsidR="00FC0BA9">
            <w:pPr>
              <w:pStyle w:val="TableText"/>
              <w:spacing w:before="121" w:line="184" w:lineRule="auto"/>
              <w:jc w:val="right"/>
              <w:rPr>
                <w:sz w:val="18"/>
                <w:szCs w:val="18"/>
              </w:rPr>
            </w:pPr>
            <w:r>
              <w:rPr>
                <w:spacing w:val="-19"/>
                <w:sz w:val="18"/>
                <w:szCs w:val="18"/>
              </w:rPr>
              <w:t>17</w:t>
            </w:r>
            <w:r>
              <w:rPr>
                <w:spacing w:val="-18"/>
                <w:sz w:val="18"/>
                <w:szCs w:val="18"/>
              </w:rPr>
              <w:t>7</w:t>
            </w:r>
            <w:r>
              <w:rPr>
                <w:spacing w:val="-12"/>
                <w:sz w:val="18"/>
                <w:szCs w:val="18"/>
              </w:rPr>
              <w:t>5</w:t>
            </w:r>
          </w:p>
        </w:tc>
      </w:tr>
      <w:tr>
        <w:tblPrEx>
          <w:tblW w:w="3799" w:type="dxa"/>
          <w:tblInd w:w="4303" w:type="dxa"/>
          <w:tblLayout w:type="fixed"/>
          <w:tblLook w:val="04A0"/>
        </w:tblPrEx>
        <w:trPr>
          <w:trHeight w:val="364"/>
        </w:trPr>
        <w:tc>
          <w:tcPr>
            <w:tcW w:w="443" w:type="dxa"/>
          </w:tcPr>
          <w:p w:rsidR="00FC0BA9">
            <w:pPr>
              <w:pStyle w:val="TableText"/>
              <w:spacing w:before="125" w:line="184" w:lineRule="auto"/>
              <w:jc w:val="right"/>
              <w:rPr>
                <w:sz w:val="19"/>
                <w:szCs w:val="19"/>
              </w:rPr>
            </w:pPr>
            <w:r>
              <w:rPr>
                <w:spacing w:val="-14"/>
                <w:sz w:val="19"/>
                <w:szCs w:val="19"/>
              </w:rPr>
              <w:t>120</w:t>
            </w:r>
            <w:r>
              <w:rPr>
                <w:spacing w:val="-10"/>
                <w:sz w:val="19"/>
                <w:szCs w:val="19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4" w:line="184" w:lineRule="auto"/>
              <w:jc w:val="right"/>
              <w:rPr>
                <w:sz w:val="22"/>
                <w:szCs w:val="22"/>
              </w:rPr>
            </w:pPr>
            <w:r>
              <w:rPr>
                <w:spacing w:val="-17"/>
                <w:sz w:val="22"/>
                <w:szCs w:val="22"/>
              </w:rPr>
              <w:t>1</w:t>
            </w:r>
            <w:r>
              <w:rPr>
                <w:spacing w:val="-16"/>
                <w:sz w:val="22"/>
                <w:szCs w:val="22"/>
              </w:rPr>
              <w:t>2</w:t>
            </w:r>
            <w:r>
              <w:rPr>
                <w:spacing w:val="-12"/>
                <w:sz w:val="22"/>
                <w:szCs w:val="22"/>
              </w:rPr>
              <w:t>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8" w:line="173" w:lineRule="auto"/>
              <w:jc w:val="right"/>
            </w:pPr>
            <w:r>
              <w:rPr>
                <w:spacing w:val="-4"/>
              </w:rPr>
              <w:t>600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38" w:line="173" w:lineRule="auto"/>
              <w:ind w:left="3"/>
            </w:pPr>
            <w:r>
              <w:rPr>
                <w:spacing w:val="-3"/>
              </w:rPr>
              <w:t>250</w:t>
            </w:r>
          </w:p>
        </w:tc>
        <w:tc>
          <w:tcPr>
            <w:tcW w:w="359" w:type="dxa"/>
          </w:tcPr>
          <w:p w:rsidR="00FC0BA9">
            <w:pPr>
              <w:pStyle w:val="TableText"/>
              <w:spacing w:before="138" w:line="173" w:lineRule="auto"/>
              <w:jc w:val="right"/>
            </w:pPr>
            <w:r>
              <w:rPr>
                <w:spacing w:val="-5"/>
              </w:rPr>
              <w:t>720</w:t>
            </w:r>
          </w:p>
        </w:tc>
        <w:tc>
          <w:tcPr>
            <w:tcW w:w="439" w:type="dxa"/>
          </w:tcPr>
          <w:p w:rsidR="00FC0BA9">
            <w:pPr>
              <w:pStyle w:val="TableText"/>
              <w:spacing w:before="158" w:line="239" w:lineRule="auto"/>
              <w:ind w:left="185"/>
              <w:rPr>
                <w:sz w:val="6"/>
                <w:szCs w:val="6"/>
              </w:rPr>
            </w:pPr>
            <w:r>
              <w:rPr>
                <w:sz w:val="6"/>
                <w:szCs w:val="6"/>
              </w:rPr>
              <w:t>■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58" w:line="239" w:lineRule="auto"/>
              <w:ind w:left="146"/>
              <w:rPr>
                <w:sz w:val="6"/>
                <w:szCs w:val="6"/>
              </w:rPr>
            </w:pPr>
            <w:r>
              <w:rPr>
                <w:sz w:val="6"/>
                <w:szCs w:val="6"/>
              </w:rPr>
              <w:t>■</w:t>
            </w:r>
          </w:p>
        </w:tc>
        <w:tc>
          <w:tcPr>
            <w:tcW w:w="369" w:type="dxa"/>
          </w:tcPr>
          <w:p w:rsidR="00FC0BA9">
            <w:pPr>
              <w:pStyle w:val="TableText"/>
              <w:spacing w:before="158" w:line="239" w:lineRule="auto"/>
              <w:ind w:left="147"/>
              <w:rPr>
                <w:sz w:val="6"/>
                <w:szCs w:val="6"/>
              </w:rPr>
            </w:pPr>
            <w:r>
              <w:rPr>
                <w:sz w:val="6"/>
                <w:szCs w:val="6"/>
              </w:rPr>
              <w:t>■</w:t>
            </w:r>
          </w:p>
        </w:tc>
        <w:tc>
          <w:tcPr>
            <w:tcW w:w="359" w:type="dxa"/>
          </w:tcPr>
          <w:p w:rsidR="00FC0BA9"/>
        </w:tc>
        <w:tc>
          <w:tcPr>
            <w:tcW w:w="374" w:type="dxa"/>
          </w:tcPr>
          <w:p w:rsidR="00FC0BA9">
            <w:pPr>
              <w:pStyle w:val="TableText"/>
              <w:spacing w:before="158" w:line="239" w:lineRule="auto"/>
              <w:ind w:left="149"/>
              <w:rPr>
                <w:sz w:val="6"/>
                <w:szCs w:val="6"/>
              </w:rPr>
            </w:pPr>
            <w:r>
              <w:rPr>
                <w:sz w:val="6"/>
                <w:szCs w:val="6"/>
              </w:rPr>
              <w:t>■</w:t>
            </w:r>
          </w:p>
        </w:tc>
      </w:tr>
    </w:tbl>
    <w:p w:rsidR="00FC0BA9">
      <w:pPr>
        <w:spacing w:line="253" w:lineRule="auto"/>
      </w:pPr>
    </w:p>
    <w:p w:rsidR="00FC0BA9">
      <w:pPr>
        <w:pStyle w:val="BodyText"/>
        <w:spacing w:before="92" w:line="409" w:lineRule="auto"/>
        <w:ind w:left="3" w:right="41" w:firstLine="580"/>
        <w:jc w:val="both"/>
      </w:pPr>
      <w:r>
        <w:t>3.4.1</w:t>
      </w:r>
      <w:r>
        <w:t>沟槽开挖前认真组织人员学习图纸，进行调查研究，充分</w:t>
      </w:r>
      <w:r>
        <w:rPr>
          <w:spacing w:val="-6"/>
        </w:rPr>
        <w:t>了解挖槽段的土质，地下水位、地下结构物，沟槽附近地上结构物及</w:t>
      </w:r>
      <w:r>
        <w:rPr>
          <w:spacing w:val="-5"/>
        </w:rPr>
        <w:t>施工环境等情况，采用人工配合挖掘机进行开挖，制定必要的安全措</w:t>
      </w:r>
    </w:p>
    <w:p w:rsidR="00FC0BA9">
      <w:pPr>
        <w:pStyle w:val="BodyText"/>
        <w:spacing w:line="220" w:lineRule="auto"/>
        <w:ind w:left="3"/>
      </w:pPr>
      <w:r>
        <w:rPr>
          <w:spacing w:val="-4"/>
        </w:rPr>
        <w:t>施，确保施工质量及安全。</w:t>
      </w:r>
    </w:p>
    <w:p w:rsidR="00FC0BA9">
      <w:pPr>
        <w:pStyle w:val="BodyText"/>
        <w:spacing w:before="305" w:line="409" w:lineRule="auto"/>
        <w:ind w:left="3" w:right="31" w:firstLine="580"/>
        <w:jc w:val="both"/>
      </w:pPr>
      <w:r>
        <w:rPr>
          <w:spacing w:val="1"/>
        </w:rPr>
        <w:t>3.4.2</w:t>
      </w:r>
      <w:r>
        <w:rPr>
          <w:spacing w:val="1"/>
        </w:rPr>
        <w:t>挖槽断面应按底宽、挖深、槽深、</w:t>
      </w:r>
      <w:r>
        <w:t>各层边坡、层间留台宽</w:t>
      </w:r>
      <w:r>
        <w:t xml:space="preserve"> </w:t>
      </w:r>
      <w:r>
        <w:rPr>
          <w:spacing w:val="-4"/>
        </w:rPr>
        <w:t>度与相邻构筑物关系及排管方式等因素确定</w:t>
      </w:r>
      <w:r>
        <w:rPr>
          <w:spacing w:val="-5"/>
        </w:rPr>
        <w:t>。挖槽断面应符合管道结</w:t>
      </w:r>
    </w:p>
    <w:p w:rsidR="00FC0BA9">
      <w:pPr>
        <w:pStyle w:val="BodyText"/>
        <w:spacing w:line="219" w:lineRule="auto"/>
        <w:ind w:left="3"/>
      </w:pPr>
      <w:r>
        <w:rPr>
          <w:spacing w:val="-2"/>
        </w:rPr>
        <w:t>构施工方便、保证质量和安全，以少挖方、少占</w:t>
      </w:r>
      <w:r>
        <w:rPr>
          <w:spacing w:val="-3"/>
        </w:rPr>
        <w:t>地为宜。</w:t>
      </w:r>
    </w:p>
    <w:p w:rsidR="00FC0BA9">
      <w:pPr>
        <w:pStyle w:val="BodyText"/>
        <w:spacing w:before="307" w:line="410" w:lineRule="auto"/>
        <w:ind w:left="3" w:right="45" w:firstLine="580"/>
        <w:jc w:val="both"/>
      </w:pPr>
      <w:r>
        <w:t>3.4.3</w:t>
      </w:r>
      <w:r>
        <w:t>采用人工配合反铲挖掘机挖槽，挖槽前，现场施工员向司</w:t>
      </w:r>
      <w:r>
        <w:rPr>
          <w:spacing w:val="5"/>
        </w:rPr>
        <w:t>机及工人详细交底</w:t>
      </w:r>
      <w:r>
        <w:rPr>
          <w:spacing w:val="5"/>
        </w:rPr>
        <w:t>(</w:t>
      </w:r>
      <w:r>
        <w:rPr>
          <w:spacing w:val="5"/>
        </w:rPr>
        <w:t>沟槽的断面，开挖的次序</w:t>
      </w:r>
      <w:r>
        <w:rPr>
          <w:spacing w:val="5"/>
        </w:rPr>
        <w:t>)</w:t>
      </w:r>
      <w:r>
        <w:rPr>
          <w:spacing w:val="5"/>
        </w:rPr>
        <w:t>。在开</w:t>
      </w:r>
      <w:r>
        <w:rPr>
          <w:spacing w:val="4"/>
        </w:rPr>
        <w:t>挖过程中由管</w:t>
      </w:r>
      <w:r>
        <w:rPr>
          <w:spacing w:val="-5"/>
        </w:rPr>
        <w:t>理人员在现场指挥并经常检查沟槽的槽底高程和宽度，防止超挖及亏</w:t>
      </w:r>
    </w:p>
    <w:p w:rsidR="00FC0BA9">
      <w:pPr>
        <w:pStyle w:val="BodyText"/>
        <w:spacing w:line="222" w:lineRule="auto"/>
        <w:ind w:left="3"/>
      </w:pPr>
      <w:r>
        <w:rPr>
          <w:spacing w:val="-8"/>
        </w:rPr>
        <w:t>挖。</w:t>
      </w:r>
    </w:p>
    <w:p w:rsidR="00FC0BA9">
      <w:pPr>
        <w:spacing w:line="222" w:lineRule="auto"/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pgSz w:w="11910" w:h="16840"/>
          <w:pgMar w:top="1431" w:right="1786" w:bottom="0" w:left="1786" w:header="0" w:footer="0" w:gutter="0"/>
          <w:pgNumType w:start="11"/>
          <w:cols w:space="720"/>
        </w:sectPr>
      </w:pPr>
    </w:p>
    <w:p w:rsidR="00FC0BA9">
      <w:pPr>
        <w:pStyle w:val="BodyText"/>
        <w:spacing w:before="169" w:line="640" w:lineRule="exact"/>
        <w:ind w:left="845"/>
      </w:pPr>
      <w:r>
        <w:rPr>
          <w:spacing w:val="-1"/>
          <w:position w:val="27"/>
        </w:rPr>
        <w:t>3.4.4</w:t>
      </w:r>
      <w:r>
        <w:rPr>
          <w:spacing w:val="-1"/>
          <w:position w:val="27"/>
        </w:rPr>
        <w:t>填方段如原地面低于雨水管道底标高时，应先进行路基填</w:t>
      </w:r>
    </w:p>
    <w:p w:rsidR="00FC0BA9">
      <w:pPr>
        <w:pStyle w:val="BodyText"/>
        <w:spacing w:line="219" w:lineRule="auto"/>
        <w:ind w:left="275"/>
      </w:pPr>
      <w:r>
        <w:rPr>
          <w:spacing w:val="-1"/>
        </w:rPr>
        <w:t>筑，填筑高度大于管顶</w:t>
      </w:r>
      <w:r>
        <w:rPr>
          <w:spacing w:val="-1"/>
        </w:rPr>
        <w:t>50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后，进行反开挖施工。</w:t>
      </w:r>
    </w:p>
    <w:p w:rsidR="00FC0BA9">
      <w:pPr>
        <w:pStyle w:val="BodyText"/>
        <w:spacing w:before="276" w:line="409" w:lineRule="auto"/>
        <w:ind w:left="275" w:right="194" w:firstLine="570"/>
      </w:pPr>
      <w:r>
        <w:rPr>
          <w:spacing w:val="1"/>
        </w:rPr>
        <w:t>3.4.5</w:t>
      </w:r>
      <w:r>
        <w:rPr>
          <w:spacing w:val="1"/>
        </w:rPr>
        <w:t>沟槽挖土的边坡系数根据土质及挖</w:t>
      </w:r>
      <w:r>
        <w:t>深确定，遇到边坡土质</w:t>
      </w:r>
      <w:r>
        <w:t xml:space="preserve"> </w:t>
      </w:r>
      <w:r>
        <w:rPr>
          <w:spacing w:val="-4"/>
        </w:rPr>
        <w:t>为液塑性较差地段，可适当将其边坡加，保证开挖稳定</w:t>
      </w:r>
      <w:r>
        <w:rPr>
          <w:spacing w:val="-5"/>
        </w:rPr>
        <w:t>。由于雨水管</w:t>
      </w:r>
      <w:r>
        <w:rPr>
          <w:spacing w:val="-1"/>
        </w:rPr>
        <w:t>埋置深度较浅，采用一次性放坡开挖，开挖</w:t>
      </w:r>
      <w:r>
        <w:rPr>
          <w:spacing w:val="-2"/>
        </w:rPr>
        <w:t>中如发现土质松软地段，</w:t>
      </w:r>
      <w:r>
        <w:rPr>
          <w:spacing w:val="-1"/>
        </w:rPr>
        <w:t>立即采用木板、支架、方木进行全断面支护</w:t>
      </w:r>
      <w:r>
        <w:rPr>
          <w:spacing w:val="-2"/>
        </w:rPr>
        <w:t>，沟槽上下均设安全员，</w:t>
      </w:r>
    </w:p>
    <w:p w:rsidR="00FC0BA9">
      <w:pPr>
        <w:pStyle w:val="BodyText"/>
        <w:spacing w:line="219" w:lineRule="auto"/>
        <w:ind w:left="275"/>
      </w:pPr>
      <w:r>
        <w:rPr>
          <w:spacing w:val="-5"/>
        </w:rPr>
        <w:t>及时观测沟槽，发现和排除各种险情。</w:t>
      </w:r>
    </w:p>
    <w:p w:rsidR="00FC0BA9">
      <w:pPr>
        <w:spacing w:line="245" w:lineRule="auto"/>
      </w:pPr>
    </w:p>
    <w:p w:rsidR="00FC0BA9">
      <w:pPr>
        <w:pStyle w:val="BodyText"/>
        <w:spacing w:before="91" w:line="219" w:lineRule="auto"/>
        <w:ind w:left="3875"/>
      </w:pPr>
      <w:r>
        <w:rPr>
          <w:spacing w:val="-2"/>
        </w:rPr>
        <w:t>沟槽边坡坡度</w:t>
      </w:r>
    </w:p>
    <w:p w:rsidR="00FC0BA9">
      <w:pPr>
        <w:spacing w:line="101" w:lineRule="exact"/>
      </w:pPr>
    </w:p>
    <w:tbl>
      <w:tblPr>
        <w:tblStyle w:val="TableNormal03"/>
        <w:tblW w:w="8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090"/>
        <w:gridCol w:w="1558"/>
        <w:gridCol w:w="1469"/>
        <w:gridCol w:w="1703"/>
      </w:tblGrid>
      <w:tr>
        <w:tblPrEx>
          <w:tblW w:w="88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53"/>
        </w:trPr>
        <w:tc>
          <w:tcPr>
            <w:tcW w:w="4090" w:type="dxa"/>
            <w:vMerge w:val="restart"/>
            <w:tcBorders>
              <w:bottom w:val="nil"/>
            </w:tcBorders>
          </w:tcPr>
          <w:p w:rsidR="00FC0BA9">
            <w:pPr>
              <w:spacing w:line="246" w:lineRule="auto"/>
            </w:pPr>
          </w:p>
          <w:p w:rsidR="00FC0BA9">
            <w:pPr>
              <w:pStyle w:val="TableText"/>
              <w:spacing w:before="65" w:line="219" w:lineRule="auto"/>
              <w:ind w:left="163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土的类别</w:t>
            </w:r>
          </w:p>
        </w:tc>
        <w:tc>
          <w:tcPr>
            <w:tcW w:w="4730" w:type="dxa"/>
            <w:gridSpan w:val="3"/>
          </w:tcPr>
          <w:p w:rsidR="00FC0BA9">
            <w:pPr>
              <w:pStyle w:val="TableText"/>
              <w:spacing w:before="133" w:line="219" w:lineRule="auto"/>
              <w:ind w:left="153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边坡坡度</w:t>
            </w:r>
            <w:r>
              <w:rPr>
                <w:spacing w:val="4"/>
                <w:sz w:val="20"/>
                <w:szCs w:val="20"/>
              </w:rPr>
              <w:t>(</w:t>
            </w:r>
            <w:r>
              <w:rPr>
                <w:spacing w:val="4"/>
                <w:sz w:val="20"/>
                <w:szCs w:val="20"/>
              </w:rPr>
              <w:t>高：宽</w:t>
            </w:r>
            <w:r>
              <w:rPr>
                <w:spacing w:val="4"/>
                <w:sz w:val="20"/>
                <w:szCs w:val="20"/>
              </w:rPr>
              <w:t>)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59"/>
        </w:trPr>
        <w:tc>
          <w:tcPr>
            <w:tcW w:w="4090" w:type="dxa"/>
            <w:vMerge/>
            <w:tcBorders>
              <w:top w:val="nil"/>
            </w:tcBorders>
          </w:tcPr>
          <w:p w:rsidR="00FC0BA9"/>
        </w:tc>
        <w:tc>
          <w:tcPr>
            <w:tcW w:w="1558" w:type="dxa"/>
          </w:tcPr>
          <w:p w:rsidR="00FC0BA9">
            <w:pPr>
              <w:pStyle w:val="TableText"/>
              <w:spacing w:before="80" w:line="219" w:lineRule="auto"/>
              <w:ind w:left="2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坡顶无荷载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79" w:line="219" w:lineRule="auto"/>
              <w:ind w:left="22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坡顶有静载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80" w:line="219" w:lineRule="auto"/>
              <w:ind w:left="3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坡顶有动载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69"/>
        </w:trPr>
        <w:tc>
          <w:tcPr>
            <w:tcW w:w="4090" w:type="dxa"/>
          </w:tcPr>
          <w:p w:rsidR="00FC0BA9">
            <w:pPr>
              <w:pStyle w:val="TableText"/>
              <w:spacing w:before="91" w:line="220" w:lineRule="auto"/>
              <w:ind w:left="153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中密的砂土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41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1:1.00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41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1:1.25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41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1:1.50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59"/>
        </w:trPr>
        <w:tc>
          <w:tcPr>
            <w:tcW w:w="4090" w:type="dxa"/>
          </w:tcPr>
          <w:p w:rsidR="00FC0BA9">
            <w:pPr>
              <w:pStyle w:val="TableText"/>
              <w:spacing w:before="82" w:line="219" w:lineRule="auto"/>
              <w:ind w:left="63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中密的碎石类土</w:t>
            </w:r>
            <w:r>
              <w:rPr>
                <w:spacing w:val="2"/>
                <w:sz w:val="20"/>
                <w:szCs w:val="20"/>
              </w:rPr>
              <w:t>(</w:t>
            </w:r>
            <w:r>
              <w:rPr>
                <w:spacing w:val="2"/>
                <w:sz w:val="20"/>
                <w:szCs w:val="20"/>
              </w:rPr>
              <w:t>充填物为砂土</w:t>
            </w:r>
            <w:r>
              <w:rPr>
                <w:spacing w:val="2"/>
                <w:sz w:val="20"/>
                <w:szCs w:val="20"/>
              </w:rPr>
              <w:t>)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32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1:0.75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32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1:1.00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32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1:1.25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69"/>
        </w:trPr>
        <w:tc>
          <w:tcPr>
            <w:tcW w:w="4090" w:type="dxa"/>
          </w:tcPr>
          <w:p w:rsidR="00FC0BA9">
            <w:pPr>
              <w:pStyle w:val="TableText"/>
              <w:spacing w:before="93" w:line="219" w:lineRule="auto"/>
              <w:ind w:left="1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硬塑的粉土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43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1:0.67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43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1:0.75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43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1:1.00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59"/>
        </w:trPr>
        <w:tc>
          <w:tcPr>
            <w:tcW w:w="4090" w:type="dxa"/>
          </w:tcPr>
          <w:p w:rsidR="00FC0BA9">
            <w:pPr>
              <w:pStyle w:val="TableText"/>
              <w:spacing w:before="84" w:line="219" w:lineRule="auto"/>
              <w:ind w:left="53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中密的碎石类土</w:t>
            </w:r>
            <w:r>
              <w:rPr>
                <w:spacing w:val="2"/>
                <w:sz w:val="20"/>
                <w:szCs w:val="20"/>
              </w:rPr>
              <w:t>(</w:t>
            </w:r>
            <w:r>
              <w:rPr>
                <w:spacing w:val="2"/>
                <w:sz w:val="20"/>
                <w:szCs w:val="20"/>
              </w:rPr>
              <w:t>充填物为黏性土</w:t>
            </w:r>
            <w:r>
              <w:rPr>
                <w:spacing w:val="2"/>
                <w:sz w:val="20"/>
                <w:szCs w:val="20"/>
              </w:rPr>
              <w:t>)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34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1:0.50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34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1:0.67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34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1:0.75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69"/>
        </w:trPr>
        <w:tc>
          <w:tcPr>
            <w:tcW w:w="4090" w:type="dxa"/>
          </w:tcPr>
          <w:p w:rsidR="00FC0BA9">
            <w:pPr>
              <w:pStyle w:val="TableText"/>
              <w:spacing w:before="95" w:line="219" w:lineRule="auto"/>
              <w:ind w:left="10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硬塑的粉质黏土、黏土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45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1:0.33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45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1:0.50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45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1:0.67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59"/>
        </w:trPr>
        <w:tc>
          <w:tcPr>
            <w:tcW w:w="4090" w:type="dxa"/>
          </w:tcPr>
          <w:p w:rsidR="00FC0BA9">
            <w:pPr>
              <w:pStyle w:val="TableText"/>
              <w:spacing w:before="86" w:line="219" w:lineRule="auto"/>
              <w:ind w:left="173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老黄土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36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1:0.10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36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1:0.25</w:t>
            </w:r>
          </w:p>
        </w:tc>
        <w:tc>
          <w:tcPr>
            <w:tcW w:w="1703" w:type="dxa"/>
          </w:tcPr>
          <w:p w:rsidR="00FC0BA9">
            <w:pPr>
              <w:pStyle w:val="TableText"/>
              <w:spacing w:before="136" w:line="184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1:0.33</w:t>
            </w:r>
          </w:p>
        </w:tc>
      </w:tr>
      <w:tr>
        <w:tblPrEx>
          <w:tblW w:w="8820" w:type="dxa"/>
          <w:tblInd w:w="5" w:type="dxa"/>
          <w:tblLayout w:type="fixed"/>
          <w:tblLook w:val="04A0"/>
        </w:tblPrEx>
        <w:trPr>
          <w:trHeight w:val="364"/>
        </w:trPr>
        <w:tc>
          <w:tcPr>
            <w:tcW w:w="4090" w:type="dxa"/>
          </w:tcPr>
          <w:p w:rsidR="00FC0BA9">
            <w:pPr>
              <w:pStyle w:val="TableText"/>
              <w:spacing w:before="87" w:line="219" w:lineRule="auto"/>
              <w:ind w:left="113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软土</w:t>
            </w:r>
            <w:r>
              <w:rPr>
                <w:spacing w:val="4"/>
                <w:sz w:val="20"/>
                <w:szCs w:val="20"/>
              </w:rPr>
              <w:t>(</w:t>
            </w:r>
            <w:r>
              <w:rPr>
                <w:spacing w:val="4"/>
                <w:sz w:val="20"/>
                <w:szCs w:val="20"/>
              </w:rPr>
              <w:t>经井点降水后</w:t>
            </w:r>
            <w:r>
              <w:rPr>
                <w:spacing w:val="4"/>
                <w:sz w:val="20"/>
                <w:szCs w:val="20"/>
              </w:rPr>
              <w:t>)</w:t>
            </w:r>
          </w:p>
        </w:tc>
        <w:tc>
          <w:tcPr>
            <w:tcW w:w="1558" w:type="dxa"/>
          </w:tcPr>
          <w:p w:rsidR="00FC0BA9">
            <w:pPr>
              <w:pStyle w:val="TableText"/>
              <w:spacing w:before="137" w:line="184" w:lineRule="auto"/>
              <w:ind w:left="47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1:1.25</w:t>
            </w:r>
          </w:p>
        </w:tc>
        <w:tc>
          <w:tcPr>
            <w:tcW w:w="1469" w:type="dxa"/>
          </w:tcPr>
          <w:p w:rsidR="00FC0BA9">
            <w:pPr>
              <w:pStyle w:val="TableText"/>
              <w:spacing w:before="161" w:line="13" w:lineRule="exact"/>
              <w:ind w:left="707"/>
              <w:rPr>
                <w:sz w:val="2"/>
                <w:szCs w:val="2"/>
              </w:rPr>
            </w:pPr>
            <w:r>
              <w:rPr>
                <w:spacing w:val="-1"/>
                <w:sz w:val="2"/>
                <w:szCs w:val="2"/>
              </w:rPr>
              <w:t>——</w:t>
            </w:r>
          </w:p>
        </w:tc>
        <w:tc>
          <w:tcPr>
            <w:tcW w:w="1703" w:type="dxa"/>
          </w:tcPr>
          <w:p w:rsidR="00FC0BA9">
            <w:pPr>
              <w:tabs>
                <w:tab w:val="left" w:pos="866"/>
              </w:tabs>
              <w:spacing w:line="206" w:lineRule="exact"/>
              <w:ind w:left="828"/>
            </w:pPr>
            <w:r>
              <w:rPr>
                <w:rFonts w:eastAsia="Arial"/>
                <w:position w:val="-1"/>
                <w:u w:val="single"/>
              </w:rPr>
              <w:tab/>
            </w:r>
          </w:p>
        </w:tc>
      </w:tr>
    </w:tbl>
    <w:p w:rsidR="00FC0BA9">
      <w:pPr>
        <w:spacing w:line="394" w:lineRule="auto"/>
      </w:pPr>
    </w:p>
    <w:p w:rsidR="00FC0BA9">
      <w:pPr>
        <w:pStyle w:val="BodyText"/>
        <w:spacing w:before="92" w:line="413" w:lineRule="auto"/>
        <w:ind w:left="275" w:right="278" w:firstLine="570"/>
        <w:jc w:val="both"/>
      </w:pPr>
      <w:r>
        <w:t>3.4.6</w:t>
      </w:r>
      <w:r>
        <w:t>基槽的边坡，在开挖过程和敞露期间应防止塌陷，必要时</w:t>
      </w:r>
      <w:r>
        <w:rPr>
          <w:spacing w:val="-5"/>
        </w:rPr>
        <w:t>应加以保护。在边坡顶两侧堆土或材料，以及移动施工机械时，应与</w:t>
      </w:r>
      <w:r>
        <w:t>边坡顶保持</w:t>
      </w:r>
      <w:r>
        <w:t>2</w:t>
      </w:r>
      <w:r>
        <w:t>米以上距离，以保证边坡的稳定，堆土或材料堆放高度</w:t>
      </w:r>
    </w:p>
    <w:p w:rsidR="00FC0BA9">
      <w:pPr>
        <w:pStyle w:val="BodyText"/>
        <w:spacing w:line="220" w:lineRule="auto"/>
        <w:ind w:left="275"/>
      </w:pPr>
      <w:r>
        <w:rPr>
          <w:spacing w:val="4"/>
        </w:rPr>
        <w:t>应不大于</w:t>
      </w:r>
      <w:r>
        <w:rPr>
          <w:spacing w:val="4"/>
        </w:rPr>
        <w:t>2.5m</w:t>
      </w:r>
      <w:r>
        <w:rPr>
          <w:spacing w:val="4"/>
        </w:rPr>
        <w:t>。</w:t>
      </w:r>
    </w:p>
    <w:p w:rsidR="00FC0BA9">
      <w:pPr>
        <w:pStyle w:val="BodyText"/>
        <w:spacing w:before="284" w:line="409" w:lineRule="auto"/>
        <w:ind w:left="275" w:right="301" w:firstLine="570"/>
        <w:jc w:val="both"/>
      </w:pPr>
      <w:r>
        <w:rPr>
          <w:spacing w:val="-1"/>
        </w:rPr>
        <w:t>3.4.7</w:t>
      </w:r>
      <w:r>
        <w:rPr>
          <w:spacing w:val="-1"/>
        </w:rPr>
        <w:t>为确保沟槽底土壤结构不被扰动和破坏，在机械开挖时应</w:t>
      </w:r>
      <w:r>
        <w:rPr>
          <w:spacing w:val="-2"/>
        </w:rPr>
        <w:t>留</w:t>
      </w:r>
      <w:r>
        <w:rPr>
          <w:spacing w:val="-2"/>
        </w:rPr>
        <w:t>10</w:t>
      </w:r>
      <w:r>
        <w:rPr>
          <w:rFonts w:ascii="Times New Roman" w:eastAsia="Times New Roman" w:hAnsi="Times New Roman" w:cs="Times New Roman"/>
          <w:spacing w:val="-2"/>
        </w:rPr>
        <w:t>cm</w:t>
      </w:r>
      <w:r>
        <w:rPr>
          <w:spacing w:val="-2"/>
        </w:rPr>
        <w:t>左右一层不挖，待人工清除。人工清挖槽底，应认真控制槽</w:t>
      </w:r>
    </w:p>
    <w:p w:rsidR="00FC0BA9">
      <w:pPr>
        <w:pStyle w:val="BodyText"/>
        <w:spacing w:before="1" w:line="219" w:lineRule="auto"/>
        <w:ind w:left="275"/>
      </w:pPr>
      <w:r>
        <w:rPr>
          <w:spacing w:val="-2"/>
        </w:rPr>
        <w:t>底高程和宽度，并注意不使槽底土壤结构遭受拢动和破坏。</w:t>
      </w:r>
    </w:p>
    <w:p w:rsidR="00FC0BA9">
      <w:pPr>
        <w:pStyle w:val="BodyText"/>
        <w:spacing w:before="316" w:line="219" w:lineRule="auto"/>
        <w:ind w:left="845"/>
      </w:pPr>
      <w:r>
        <w:rPr>
          <w:spacing w:val="-2"/>
        </w:rPr>
        <w:t xml:space="preserve">3.4.8 </w:t>
      </w:r>
      <w:r>
        <w:rPr>
          <w:spacing w:val="-2"/>
        </w:rPr>
        <w:t>在雨季施工，应尺量缩短开槽长度，并做好防排水措施，</w:t>
      </w:r>
    </w:p>
    <w:p w:rsidR="00FC0BA9">
      <w:pPr>
        <w:spacing w:line="219" w:lineRule="auto"/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pgSz w:w="11910" w:h="16840"/>
          <w:pgMar w:top="1431" w:right="1554" w:bottom="0" w:left="1524" w:header="0" w:footer="0" w:gutter="0"/>
          <w:pgNumType w:start="12"/>
          <w:cols w:space="720"/>
        </w:sectPr>
      </w:pPr>
    </w:p>
    <w:p w:rsidR="00FC0BA9">
      <w:pPr>
        <w:pStyle w:val="BodyText"/>
        <w:spacing w:before="168" w:line="409" w:lineRule="auto"/>
        <w:ind w:left="13"/>
        <w:jc w:val="both"/>
      </w:pPr>
      <w:r>
        <w:rPr>
          <w:spacing w:val="-5"/>
        </w:rPr>
        <w:t>如果雨水泡槽以后，要尽快采取措施，抽排雨水，清除淤泥，用砂石</w:t>
      </w:r>
      <w:r>
        <w:rPr>
          <w:spacing w:val="-1"/>
        </w:rPr>
        <w:t>料回填湿槽，达到稳定即可，不宜铺垫过厚，造成基础沉陷不均匀。</w:t>
      </w:r>
      <w:r>
        <w:rPr>
          <w:spacing w:val="-5"/>
        </w:rPr>
        <w:t>深槽不宜被积水泡槽太久，否则极易造成塌方，危急其它。基槽底部</w:t>
      </w:r>
      <w:r>
        <w:rPr>
          <w:spacing w:val="-5"/>
        </w:rPr>
        <w:t xml:space="preserve"> </w:t>
      </w:r>
      <w:r>
        <w:rPr>
          <w:spacing w:val="-5"/>
        </w:rPr>
        <w:t>的开挖宽度，除基础底部的宽度外，应根据施工需要增加工作面、排</w:t>
      </w:r>
    </w:p>
    <w:p w:rsidR="00FC0BA9">
      <w:pPr>
        <w:pStyle w:val="BodyText"/>
        <w:spacing w:line="219" w:lineRule="auto"/>
        <w:ind w:left="13"/>
      </w:pPr>
      <w:r>
        <w:rPr>
          <w:spacing w:val="-5"/>
        </w:rPr>
        <w:t>水设施和支撑结构宽度。</w:t>
      </w:r>
    </w:p>
    <w:p w:rsidR="00FC0BA9">
      <w:pPr>
        <w:pStyle w:val="BodyText"/>
        <w:spacing w:before="304" w:line="416" w:lineRule="auto"/>
        <w:ind w:left="13" w:right="94" w:firstLine="570"/>
        <w:jc w:val="both"/>
      </w:pPr>
      <w:r>
        <w:t>3.4.9</w:t>
      </w:r>
      <w:r>
        <w:t>雨季施工的沟槽的边坡开挖以后，必须采取护坡措施，以</w:t>
      </w:r>
      <w:r>
        <w:rPr>
          <w:spacing w:val="-5"/>
        </w:rPr>
        <w:t>免边坡坍塌或滑移。护坡方法视土质条件、施工季节、工期长短等情</w:t>
      </w:r>
      <w:r>
        <w:rPr>
          <w:spacing w:val="-4"/>
        </w:rPr>
        <w:t>况，可采用塑料布和聚丙乙烯编织物等不透水薄膜加以覆盖</w:t>
      </w:r>
      <w:r>
        <w:rPr>
          <w:spacing w:val="-5"/>
        </w:rPr>
        <w:t>、喷抹水</w:t>
      </w:r>
    </w:p>
    <w:p w:rsidR="00FC0BA9">
      <w:pPr>
        <w:pStyle w:val="BodyText"/>
        <w:spacing w:line="219" w:lineRule="auto"/>
        <w:ind w:left="13"/>
      </w:pPr>
      <w:r>
        <w:rPr>
          <w:spacing w:val="-3"/>
        </w:rPr>
        <w:t>泥砂浆、铁丝网水泥浆抹面等，并防止地表水或渗漏水冲刷边坡。</w:t>
      </w:r>
    </w:p>
    <w:p w:rsidR="00FC0BA9">
      <w:pPr>
        <w:pStyle w:val="BodyText"/>
        <w:spacing w:before="275" w:line="415" w:lineRule="auto"/>
        <w:ind w:left="13" w:right="107" w:firstLine="570"/>
        <w:jc w:val="both"/>
      </w:pPr>
      <w:r>
        <w:t xml:space="preserve">3.4.10 </w:t>
      </w:r>
      <w:r>
        <w:t>沟槽如需排水时，采用集水井排水法。沟槽开挖至设计</w:t>
      </w:r>
      <w:r>
        <w:rPr>
          <w:spacing w:val="-9"/>
        </w:rPr>
        <w:t>底标高时，在沟槽的单侧作等粒径碎石回填盲沟，其断面为</w:t>
      </w:r>
      <w:r>
        <w:rPr>
          <w:spacing w:val="-9"/>
        </w:rPr>
        <w:t>30×</w:t>
      </w:r>
      <w:r>
        <w:rPr>
          <w:spacing w:val="-10"/>
        </w:rPr>
        <w:t>30</w:t>
      </w:r>
      <w:r>
        <w:rPr>
          <w:rFonts w:ascii="Times New Roman" w:eastAsia="Times New Roman" w:hAnsi="Times New Roman" w:cs="Times New Roman"/>
          <w:spacing w:val="-10"/>
        </w:rPr>
        <w:t>cm,</w:t>
      </w:r>
      <w:r>
        <w:rPr>
          <w:spacing w:val="-2"/>
        </w:rPr>
        <w:t>以</w:t>
      </w:r>
      <w:r>
        <w:rPr>
          <w:spacing w:val="-2"/>
        </w:rPr>
        <w:t>3%</w:t>
      </w:r>
      <w:r>
        <w:rPr>
          <w:spacing w:val="-2"/>
        </w:rPr>
        <w:t>的坡度坡向集水井，集水井每隔</w:t>
      </w:r>
      <w:r>
        <w:rPr>
          <w:spacing w:val="-2"/>
        </w:rPr>
        <w:t>50m</w:t>
      </w:r>
      <w:r>
        <w:rPr>
          <w:spacing w:val="-2"/>
        </w:rPr>
        <w:t>设一个，断面为</w:t>
      </w:r>
      <w:r>
        <w:rPr>
          <w:spacing w:val="-2"/>
        </w:rPr>
        <w:t>1.0</w:t>
      </w:r>
      <w:r>
        <w:rPr>
          <w:spacing w:val="-3"/>
        </w:rPr>
        <w:t>m×1.0m</w:t>
      </w:r>
    </w:p>
    <w:p w:rsidR="00FC0BA9">
      <w:pPr>
        <w:pStyle w:val="BodyText"/>
        <w:spacing w:line="216" w:lineRule="auto"/>
        <w:ind w:left="13"/>
      </w:pPr>
      <w:r>
        <w:rPr>
          <w:spacing w:val="-5"/>
        </w:rPr>
        <w:t>×1.5m (</w:t>
      </w:r>
      <w:r>
        <w:rPr>
          <w:spacing w:val="-5"/>
        </w:rPr>
        <w:t>槽底以下</w:t>
      </w:r>
      <w:r>
        <w:rPr>
          <w:spacing w:val="-5"/>
        </w:rPr>
        <w:t>),</w:t>
      </w:r>
      <w:r>
        <w:rPr>
          <w:spacing w:val="-5"/>
        </w:rPr>
        <w:t>集水井内水用潜水泵抽出。</w:t>
      </w:r>
      <w:r>
        <w:rPr>
          <w:spacing w:val="-5"/>
        </w:rPr>
        <w:t>(</w:t>
      </w:r>
      <w:r>
        <w:rPr>
          <w:spacing w:val="-5"/>
        </w:rPr>
        <w:t>如下图</w:t>
      </w:r>
      <w:r>
        <w:rPr>
          <w:spacing w:val="-5"/>
        </w:rPr>
        <w:t>)</w:t>
      </w:r>
    </w:p>
    <w:p w:rsidR="00FC0BA9">
      <w:pPr>
        <w:spacing w:line="312" w:lineRule="auto"/>
      </w:pPr>
    </w:p>
    <w:p w:rsidR="00FC0BA9">
      <w:pPr>
        <w:spacing w:before="1" w:line="2930" w:lineRule="exact"/>
        <w:ind w:firstLine="1123"/>
      </w:pPr>
      <w:r>
        <w:rPr>
          <w:position w:val="-58"/>
          <w:lang w:eastAsia="zh-CN"/>
        </w:rPr>
        <w:drawing>
          <wp:inline distT="0" distB="0" distL="0" distR="0">
            <wp:extent cx="4013226" cy="186054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013226" cy="186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BA9">
      <w:pPr>
        <w:spacing w:line="376" w:lineRule="auto"/>
      </w:pPr>
    </w:p>
    <w:p w:rsidR="00FC0BA9">
      <w:pPr>
        <w:pStyle w:val="BodyText"/>
        <w:spacing w:before="92" w:line="642" w:lineRule="exact"/>
        <w:ind w:left="583"/>
      </w:pPr>
      <w:r>
        <w:rPr>
          <w:position w:val="27"/>
        </w:rPr>
        <w:t xml:space="preserve">3.4.11 </w:t>
      </w:r>
      <w:r>
        <w:rPr>
          <w:position w:val="27"/>
        </w:rPr>
        <w:t>沟槽开挖时如离现状建筑物较近时应根据情况采取保护</w:t>
      </w:r>
    </w:p>
    <w:p w:rsidR="00FC0BA9">
      <w:pPr>
        <w:pStyle w:val="BodyText"/>
        <w:spacing w:line="220" w:lineRule="auto"/>
        <w:ind w:left="13"/>
      </w:pPr>
      <w:r>
        <w:rPr>
          <w:spacing w:val="-7"/>
        </w:rPr>
        <w:t>措施。</w:t>
      </w:r>
    </w:p>
    <w:p w:rsidR="00FC0BA9">
      <w:pPr>
        <w:pStyle w:val="BodyText"/>
        <w:spacing w:before="274" w:line="630" w:lineRule="exact"/>
        <w:ind w:left="583"/>
      </w:pPr>
      <w:r>
        <w:rPr>
          <w:spacing w:val="-5"/>
          <w:position w:val="26"/>
        </w:rPr>
        <w:t>3.4.12</w:t>
      </w:r>
      <w:r>
        <w:rPr>
          <w:spacing w:val="-5"/>
          <w:position w:val="26"/>
        </w:rPr>
        <w:t>沟槽开挖时，随时测量监控，保</w:t>
      </w:r>
      <w:r>
        <w:rPr>
          <w:spacing w:val="-6"/>
          <w:position w:val="26"/>
        </w:rPr>
        <w:t>证开挖边坡、基坑尺寸，</w:t>
      </w:r>
    </w:p>
    <w:p w:rsidR="00FC0BA9">
      <w:pPr>
        <w:pStyle w:val="BodyText"/>
        <w:spacing w:before="1" w:line="218" w:lineRule="auto"/>
        <w:ind w:left="13"/>
      </w:pPr>
      <w:r>
        <w:rPr>
          <w:spacing w:val="-3"/>
        </w:rPr>
        <w:t>轴线、槽底的高程应达到沟槽验收规定的要求。</w:t>
      </w:r>
    </w:p>
    <w:p w:rsidR="00FC0BA9">
      <w:pPr>
        <w:spacing w:line="218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https://d.book118.com/676032113053010033</w:t>
        </w:r>
      </w:hyperlink>
    </w:p>
    <w:p w:rsidR="00FC0BA9">
      <w:pPr>
        <w:spacing w:line="218" w:lineRule="auto"/>
      </w:pPr>
    </w:p>
    <w:sectPr>
      <w:headerReference w:type="even" r:id="rId79"/>
      <w:headerReference w:type="default" r:id="rId80"/>
      <w:footerReference w:type="even" r:id="rId81"/>
      <w:footerReference w:type="default" r:id="rId82"/>
      <w:headerReference w:type="first" r:id="rId83"/>
      <w:footerReference w:type="first" r:id="rId84"/>
      <w:pgSz w:w="11910" w:h="16840"/>
      <w:pgMar w:top="1431" w:right="1730" w:bottom="0" w:left="1786" w:header="0" w:footer="0" w:gutter="0"/>
      <w:pgNumType w:start="13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 w:rsidRPr="00002AFF" w:rsidP="00002AFF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AF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FC0BA9"/>
    <w:rsid w:val="00002AFF"/>
    <w:rsid w:val="009C5F91"/>
    <w:rsid w:val="00FC0B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FC0BA9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FC0BA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FC0BA9"/>
    <w:rPr>
      <w:rFonts w:ascii="SimSun" w:eastAsia="SimSun" w:hAnsi="SimSun" w:cs="SimSun"/>
      <w:sz w:val="28"/>
      <w:szCs w:val="28"/>
    </w:rPr>
  </w:style>
  <w:style w:type="paragraph" w:customStyle="1" w:styleId="TableText">
    <w:name w:val="Table Text"/>
    <w:basedOn w:val="Normal"/>
    <w:semiHidden/>
    <w:qFormat/>
    <w:rsid w:val="00FC0BA9"/>
    <w:rPr>
      <w:rFonts w:ascii="SimSun" w:eastAsia="SimSun" w:hAnsi="SimSun" w:cs="SimSun"/>
      <w:sz w:val="23"/>
      <w:szCs w:val="23"/>
    </w:rPr>
  </w:style>
  <w:style w:type="paragraph" w:styleId="Header">
    <w:name w:val="header"/>
    <w:basedOn w:val="Normal"/>
    <w:link w:val="Char"/>
    <w:uiPriority w:val="99"/>
    <w:semiHidden/>
    <w:unhideWhenUsed/>
    <w:rsid w:val="00002AF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002AFF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002A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002AFF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FC0BA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FC0BA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rsid w:val="00FC0BA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rsid w:val="00FC0BA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image" Target="media/image1.jpeg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image" Target="media/image2.jpeg" /><Relationship Id="rId78" Type="http://schemas.openxmlformats.org/officeDocument/2006/relationships/hyperlink" Target="https://d.book118.com/676032113053010033" TargetMode="External" /><Relationship Id="rId79" Type="http://schemas.openxmlformats.org/officeDocument/2006/relationships/header" Target="header37.xml" /><Relationship Id="rId8" Type="http://schemas.openxmlformats.org/officeDocument/2006/relationships/header" Target="header3.xml" /><Relationship Id="rId80" Type="http://schemas.openxmlformats.org/officeDocument/2006/relationships/header" Target="header38.xml" /><Relationship Id="rId81" Type="http://schemas.openxmlformats.org/officeDocument/2006/relationships/footer" Target="footer37.xml" /><Relationship Id="rId82" Type="http://schemas.openxmlformats.org/officeDocument/2006/relationships/footer" Target="footer38.xml" /><Relationship Id="rId83" Type="http://schemas.openxmlformats.org/officeDocument/2006/relationships/header" Target="header39.xml" /><Relationship Id="rId84" Type="http://schemas.openxmlformats.org/officeDocument/2006/relationships/footer" Target="footer39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2613</Words>
  <Characters>14897</Characters>
  <Application>Microsoft Office Word</Application>
  <DocSecurity>0</DocSecurity>
  <Lines>124</Lines>
  <Paragraphs>34</Paragraphs>
  <ScaleCrop>false</ScaleCrop>
  <Company/>
  <LinksUpToDate>false</LinksUpToDate>
  <CharactersWithSpaces>17476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2023-12-21T09:33:00Z</dcterms:created>
  <dcterms:modified xsi:type="dcterms:W3CDTF">2023-12-21T09:33:00Z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2023-12-03T21:44:13Z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656c86264d394d001f97a837wl</vt:lpwstr>
  </property>
</Properties>
</file>