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A49AD">
      <w:pPr>
        <w:jc w:val="center"/>
        <w:rPr>
          <w:rFonts w:ascii="华文中宋" w:eastAsia="华文中宋" w:hAnsi="华文中宋" w:cs="华文中宋"/>
          <w:b/>
          <w:bCs/>
          <w:sz w:val="44"/>
          <w:szCs w:val="44"/>
        </w:rPr>
      </w:pPr>
      <w:r>
        <w:rPr>
          <w:rFonts w:ascii="华文中宋" w:eastAsia="华文中宋" w:hAnsi="华文中宋" w:cs="华文中宋" w:hint="eastAsia"/>
          <w:b/>
          <w:bCs/>
          <w:sz w:val="44"/>
          <w:szCs w:val="44"/>
        </w:rPr>
        <w:t>摘要</w:t>
      </w:r>
    </w:p>
    <w:p w:rsidR="00EA49AD">
      <w:pPr>
        <w:ind w:firstLine="480" w:firstLineChars="200"/>
        <w:rPr>
          <w:b/>
          <w:bCs/>
        </w:rPr>
      </w:pPr>
      <w:r>
        <w:rPr>
          <w:rFonts w:hint="eastAsia"/>
          <w:b/>
          <w:bCs/>
        </w:rPr>
        <w:t>本文在信贷资源配置理论基础上，运用数据和图表分析当前城市商业银行和信贷资源配置的现状与特点。根据最优金融结构理论，按照规模经济理论、信息理论、银行分散度和政府干预四个作用机制进行分析，从理论上分析城市商业银行发展如何影响信贷资源配置效率。同时，选取</w:t>
      </w:r>
      <w:r>
        <w:rPr>
          <w:rFonts w:hint="eastAsia"/>
          <w:b/>
          <w:bCs/>
        </w:rPr>
        <w:t>2000-2018</w:t>
      </w:r>
      <w:r>
        <w:rPr>
          <w:rFonts w:hint="eastAsia"/>
          <w:b/>
          <w:bCs/>
        </w:rPr>
        <w:t>年期间的样本数据，运用</w:t>
      </w:r>
      <w:r>
        <w:rPr>
          <w:rFonts w:hint="eastAsia"/>
          <w:b/>
          <w:bCs/>
        </w:rPr>
        <w:t>eviews</w:t>
      </w:r>
      <w:r>
        <w:rPr>
          <w:rFonts w:hint="eastAsia"/>
          <w:b/>
          <w:bCs/>
        </w:rPr>
        <w:t>进行多元线性回归，验证理论分析准确性。得出结论如下：（</w:t>
      </w:r>
      <w:r>
        <w:rPr>
          <w:rFonts w:hint="eastAsia"/>
          <w:b/>
          <w:bCs/>
        </w:rPr>
        <w:t>1</w:t>
      </w:r>
      <w:r>
        <w:rPr>
          <w:rFonts w:hint="eastAsia"/>
          <w:b/>
          <w:bCs/>
        </w:rPr>
        <w:t>）城商行市场占比与信贷资源配置效率呈正相关关系；（</w:t>
      </w:r>
      <w:r>
        <w:rPr>
          <w:rFonts w:hint="eastAsia"/>
          <w:b/>
          <w:bCs/>
        </w:rPr>
        <w:t>2</w:t>
      </w:r>
      <w:r>
        <w:rPr>
          <w:rFonts w:hint="eastAsia"/>
          <w:b/>
          <w:bCs/>
        </w:rPr>
        <w:t>）银行业分散度与信贷资源配置效率呈正相关关系；（</w:t>
      </w:r>
      <w:r>
        <w:rPr>
          <w:rFonts w:hint="eastAsia"/>
          <w:b/>
          <w:bCs/>
        </w:rPr>
        <w:t>3</w:t>
      </w:r>
      <w:r>
        <w:rPr>
          <w:rFonts w:hint="eastAsia"/>
          <w:b/>
          <w:bCs/>
        </w:rPr>
        <w:t>）政府干预程度与信贷资源配置效率呈反方先关系。最后，在总结前文的结论的基础上，给出三点政策建议：（</w:t>
      </w:r>
      <w:r>
        <w:rPr>
          <w:rFonts w:hint="eastAsia"/>
          <w:b/>
          <w:bCs/>
        </w:rPr>
        <w:t>1</w:t>
      </w:r>
      <w:r>
        <w:rPr>
          <w:rFonts w:hint="eastAsia"/>
          <w:b/>
          <w:bCs/>
        </w:rPr>
        <w:t>）大力发展金融科技，创新新型金融模式；（</w:t>
      </w:r>
      <w:r>
        <w:rPr>
          <w:rFonts w:hint="eastAsia"/>
          <w:b/>
          <w:bCs/>
        </w:rPr>
        <w:t>2</w:t>
      </w:r>
      <w:r>
        <w:rPr>
          <w:rFonts w:hint="eastAsia"/>
          <w:b/>
          <w:bCs/>
        </w:rPr>
        <w:t>）建立区域金融中心，优化信贷资源配置；（</w:t>
      </w:r>
      <w:r>
        <w:rPr>
          <w:rFonts w:hint="eastAsia"/>
          <w:b/>
          <w:bCs/>
        </w:rPr>
        <w:t>3</w:t>
      </w:r>
      <w:r>
        <w:rPr>
          <w:rFonts w:hint="eastAsia"/>
          <w:b/>
          <w:bCs/>
        </w:rPr>
        <w:t>）降低政府干预强度，防止信贷市场紊乱。</w:t>
      </w:r>
    </w:p>
    <w:p w:rsidR="00EA49AD">
      <w:pPr>
        <w:ind w:firstLine="480" w:firstLineChars="200"/>
        <w:rPr>
          <w:b/>
          <w:bCs/>
        </w:rPr>
      </w:pPr>
    </w:p>
    <w:p w:rsidR="00EA49AD">
      <w:pPr>
        <w:rPr>
          <w:b/>
          <w:bCs/>
        </w:rPr>
        <w:sectPr>
          <w:footerReference w:type="default" r:id="rId5"/>
          <w:pgSz w:w="11906" w:h="16838"/>
          <w:pgMar w:top="1440" w:right="1800" w:bottom="1440" w:left="1800" w:header="851" w:footer="992" w:gutter="0"/>
          <w:pgNumType w:start="1"/>
          <w:cols w:space="720"/>
          <w:docGrid w:type="lines" w:linePitch="312"/>
        </w:sectPr>
      </w:pPr>
      <w:r>
        <w:rPr>
          <w:rFonts w:hint="eastAsia"/>
          <w:b/>
          <w:bCs/>
        </w:rPr>
        <w:t>关键词：城市商业银行</w:t>
      </w:r>
      <w:r>
        <w:rPr>
          <w:rFonts w:hint="eastAsia"/>
          <w:b/>
          <w:bCs/>
        </w:rPr>
        <w:t xml:space="preserve">   </w:t>
      </w:r>
      <w:r>
        <w:rPr>
          <w:rFonts w:hint="eastAsia"/>
          <w:b/>
          <w:bCs/>
        </w:rPr>
        <w:t>信贷资源配置效率</w:t>
      </w:r>
      <w:r>
        <w:rPr>
          <w:rFonts w:hint="eastAsia"/>
          <w:b/>
          <w:bCs/>
        </w:rPr>
        <w:t xml:space="preserve">   </w:t>
      </w:r>
      <w:r>
        <w:rPr>
          <w:rFonts w:hint="eastAsia"/>
          <w:b/>
          <w:bCs/>
        </w:rPr>
        <w:t>中小企业贷款</w:t>
      </w:r>
    </w:p>
    <w:p w:rsidR="00EA49AD">
      <w:pPr>
        <w:jc w:val="center"/>
        <w:rPr>
          <w:b/>
          <w:bCs/>
          <w:sz w:val="44"/>
          <w:szCs w:val="44"/>
        </w:rPr>
      </w:pPr>
      <w:bookmarkStart w:id="0" w:name="_Toc13554"/>
      <w:bookmarkStart w:id="1" w:name="_Toc28000"/>
      <w:bookmarkStart w:id="2" w:name="_Toc5945"/>
      <w:bookmarkStart w:id="3" w:name="_Toc18439"/>
      <w:bookmarkStart w:id="4" w:name="_Toc8506"/>
      <w:bookmarkStart w:id="5" w:name="_Toc15655"/>
      <w:bookmarkStart w:id="6" w:name="_Toc17175"/>
      <w:bookmarkStart w:id="7" w:name="_Toc25587"/>
      <w:r>
        <w:rPr>
          <w:b/>
          <w:bCs/>
          <w:sz w:val="44"/>
          <w:szCs w:val="44"/>
        </w:rPr>
        <w:t>Abstract</w:t>
      </w:r>
      <w:bookmarkEnd w:id="0"/>
      <w:bookmarkEnd w:id="1"/>
      <w:bookmarkEnd w:id="2"/>
      <w:bookmarkEnd w:id="3"/>
      <w:bookmarkEnd w:id="4"/>
      <w:bookmarkEnd w:id="5"/>
      <w:bookmarkEnd w:id="6"/>
      <w:bookmarkEnd w:id="7"/>
    </w:p>
    <w:p w:rsidR="00EA49AD">
      <w:pPr>
        <w:ind w:firstLine="480" w:firstLineChars="200"/>
        <w:rPr>
          <w:b/>
          <w:bCs/>
        </w:rPr>
      </w:pPr>
      <w:r>
        <w:rPr>
          <w:b/>
          <w:bCs/>
        </w:rPr>
        <w:t xml:space="preserve">Based on the theory of credit resource allocation, this paper uses data and charts to analyze the current status and characteristics of urban commercial banks and credit resource allocation. According to the optimal financial structure theory, the analysis is based on the four economic mechanisms of scale economy theory, information theory, bank decentralization, and government intervention, and theoretically analyzes how the development of urban commercial banks affects the efficiency of credit resource allocation. At the same time, the sample data from 2000 to 2018 were selected and multiple linear regression was performed using eviews to verify the accuracy of the theoretical analysis. The conclusions are as follows: (1) The market share of city commercial banks is positively related to the efficiency of credit resource allocation, (2) The dispersion of the banking industry is positively related to the efficiency of credit resource allocation (3) The degree of government intervention and the efficiency of credit resource allocation are inverse First relationship. Finally, on the basis of summarizing the previous conclusions, three policy recommendations are given: (1) vigorously develop financial technology and innovate new financial models; (2) establish regional financial centers, optimize the allocation of credit resources, and (3) reduce the intensity of government intervention. Preventing credit </w:t>
      </w:r>
      <w:bookmarkStart w:id="8" w:name="_GoBack"/>
      <w:r>
        <w:rPr>
          <w:b/>
          <w:bCs/>
        </w:rPr>
        <w:t>market disruption</w:t>
      </w:r>
    </w:p>
    <w:bookmarkEnd w:id="8"/>
    <w:p w:rsidR="00EA49AD">
      <w:pPr>
        <w:rPr>
          <w:rFonts w:cs="Times New Roman"/>
          <w:b/>
          <w:bCs/>
        </w:rPr>
      </w:pPr>
    </w:p>
    <w:p w:rsidR="00EA49AD">
      <w:pPr>
        <w:ind w:left="1200" w:hanging="1200" w:hangingChars="500"/>
        <w:rPr>
          <w:rFonts w:cs="Times New Roman"/>
          <w:b/>
          <w:bCs/>
        </w:rPr>
      </w:pPr>
      <w:r>
        <w:rPr>
          <w:rFonts w:cs="Times New Roman" w:hint="eastAsia"/>
          <w:b/>
          <w:bCs/>
        </w:rPr>
        <w:t xml:space="preserve">Key words: </w:t>
      </w:r>
      <w:r>
        <w:rPr>
          <w:rFonts w:cs="Times New Roman"/>
          <w:b/>
          <w:bCs/>
        </w:rPr>
        <w:t>city commercial bank, credit resource allocation efficiency, SME</w:t>
      </w:r>
    </w:p>
    <w:p w:rsidR="00EA49AD">
      <w:pPr>
        <w:ind w:left="1200" w:leftChars="500"/>
        <w:rPr>
          <w:b/>
          <w:bCs/>
        </w:rPr>
      </w:pPr>
      <w:r>
        <w:rPr>
          <w:rFonts w:cs="Times New Roman"/>
          <w:b/>
          <w:bCs/>
        </w:rPr>
        <w:t xml:space="preserve"> l</w:t>
      </w:r>
      <w:r>
        <w:rPr>
          <w:rFonts w:cs="Times New Roman" w:hint="eastAsia"/>
          <w:b/>
          <w:bCs/>
        </w:rPr>
        <w:t xml:space="preserve"> </w:t>
      </w:r>
      <w:r>
        <w:rPr>
          <w:rFonts w:cs="Times New Roman"/>
          <w:b/>
          <w:bCs/>
        </w:rPr>
        <w:t>oan</w:t>
      </w:r>
    </w:p>
    <w:p w:rsidR="00EA49AD"/>
    <w:p w:rsidR="00EA49AD"/>
    <w:p w:rsidR="00EA49AD"/>
    <w:p w:rsidR="00EA49AD"/>
    <w:p w:rsidR="00EA49AD"/>
    <w:p w:rsidR="00EA49AD">
      <w:pPr>
        <w:spacing w:before="936" w:beforeLines="300" w:after="624" w:afterLines="200"/>
        <w:rPr>
          <w:rFonts w:ascii="华文中宋" w:eastAsia="华文中宋" w:hAnsi="华文中宋" w:cs="华文中宋"/>
          <w:b/>
          <w:bCs/>
          <w:sz w:val="44"/>
          <w:szCs w:val="44"/>
        </w:rPr>
      </w:pPr>
      <w:r>
        <w:rPr>
          <w:rFonts w:ascii="华文中宋" w:eastAsia="华文中宋" w:hAnsi="华文中宋" w:cs="华文中宋"/>
          <w:b/>
          <w:bCs/>
          <w:sz w:val="44"/>
          <w:szCs w:val="44"/>
        </w:rPr>
        <w:br/>
      </w:r>
      <w:r>
        <w:rPr>
          <w:rFonts w:ascii="华文中宋" w:eastAsia="华文中宋" w:hAnsi="华文中宋" w:cs="华文中宋"/>
          <w:b/>
          <w:bCs/>
          <w:sz w:val="44"/>
          <w:szCs w:val="44"/>
        </w:rPr>
        <w:br/>
      </w:r>
    </w:p>
    <w:p>
      <w:pPr>
        <w:widowControl/>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https://d.book118.com/676034212004010034</w:t>
        </w:r>
      </w:hyperlink>
    </w:p>
    <w:p w:rsidR="00EA49AD">
      <w:pPr>
        <w:spacing w:before="936" w:beforeLines="300" w:after="624" w:afterLines="200"/>
        <w:rPr>
          <w:rFonts w:ascii="华文中宋" w:eastAsia="华文中宋" w:hAnsi="华文中宋" w:cs="华文中宋"/>
          <w:b/>
          <w:bCs/>
          <w:sz w:val="44"/>
          <w:szCs w:val="44"/>
        </w:rPr>
      </w:pPr>
    </w:p>
    <w:sectPr>
      <w:footerReference w:type="default" r:id="rId7"/>
      <w:pgSz w:w="11906" w:h="16838"/>
      <w:pgMar w:top="1440" w:right="1800" w:bottom="1440" w:left="1800" w:header="851" w:footer="992" w:gutter="0"/>
      <w:pgNumType w:start="2"/>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Malgun Gothic Semilight"/>
    <w:charset w:val="86"/>
    <w:family w:val="auto"/>
    <w:pitch w:val="default"/>
    <w:sig w:usb0="00000000" w:usb1="0000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9AD">
    <w:pPr>
      <w:pStyle w:val="Footer"/>
    </w:pPr>
    <w:r>
      <w:rPr>
        <w:rFonts w:hint="eastAsia"/>
      </w:rPr>
      <w:tab/>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9AD">
    <w:pPr>
      <w:pStyle w:val="Footer"/>
      <w:tabs>
        <w:tab w:val="clear" w:pos="4153"/>
      </w:tabs>
      <w:jc w:val="center"/>
    </w:pPr>
    <w:r>
      <w:rPr>
        <w:rFonts w:hint="eastAsia"/>
      </w:rPr>
      <w:t>1</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F768A6"/>
    <w:multiLevelType w:val="multilevel"/>
    <w:tmpl w:val="06F768A6"/>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D550066"/>
    <w:multiLevelType w:val="multilevel"/>
    <w:tmpl w:val="1D550066"/>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39683D50"/>
    <w:multiLevelType w:val="singleLevel"/>
    <w:tmpl w:val="39683D50"/>
    <w:lvl w:ilvl="0">
      <w:start w:val="1"/>
      <w:numFmt w:val="decimal"/>
      <w:lvlText w:val="[%1]"/>
      <w:lvlJc w:val="left"/>
      <w:pPr>
        <w:tabs>
          <w:tab w:val="left" w:pos="420"/>
        </w:tabs>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9AD"/>
    <w:rsid w:val="000A675D"/>
    <w:rsid w:val="003C6F61"/>
    <w:rsid w:val="005C3AB2"/>
    <w:rsid w:val="006D7EB0"/>
    <w:rsid w:val="00B54C40"/>
    <w:rsid w:val="00C21EDC"/>
    <w:rsid w:val="00EA49AD"/>
    <w:rsid w:val="200101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qFormat="1"/>
    <w:lsdException w:name="caption" w:semiHidden="1" w:unhideWhenUsed="1" w:qFormat="1"/>
    <w:lsdException w:name="annotation reference"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spacing w:line="360" w:lineRule="auto"/>
      <w:jc w:val="both"/>
    </w:pPr>
    <w:rPr>
      <w:rFonts w:cstheme="minorBidi"/>
      <w:kern w:val="2"/>
      <w:sz w:val="24"/>
      <w:szCs w:val="24"/>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100" w:beforeLines="100" w:after="100" w:afterLines="100"/>
      <w:jc w:val="left"/>
      <w:outlineLvl w:val="1"/>
    </w:pPr>
    <w:rPr>
      <w:rFonts w:eastAsia="黑体"/>
      <w:b/>
      <w:sz w:val="30"/>
    </w:rPr>
  </w:style>
  <w:style w:type="paragraph" w:styleId="Heading3">
    <w:name w:val="heading 3"/>
    <w:basedOn w:val="Normal"/>
    <w:next w:val="Normal"/>
    <w:unhideWhenUsed/>
    <w:qFormat/>
    <w:pPr>
      <w:keepNext/>
      <w:keepLines/>
      <w:jc w:val="left"/>
      <w:outlineLvl w:val="2"/>
    </w:pPr>
    <w:rPr>
      <w:rFonts w:eastAsia="黑体"/>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qFormat/>
    <w:pPr>
      <w:ind w:left="840" w:leftChars="400"/>
    </w:pPr>
  </w:style>
  <w:style w:type="paragraph" w:styleId="Footer">
    <w:name w:val="footer"/>
    <w:basedOn w:val="Normal"/>
    <w:uiPriority w:val="99"/>
    <w:qFormat/>
    <w:pPr>
      <w:tabs>
        <w:tab w:val="center" w:pos="4153"/>
        <w:tab w:val="right" w:pos="8306"/>
      </w:tabs>
      <w:snapToGrid w:val="0"/>
      <w:jc w:val="left"/>
    </w:pPr>
    <w:rPr>
      <w:sz w:val="18"/>
    </w:rPr>
  </w:style>
  <w:style w:type="paragraph" w:styleId="TOC1">
    <w:name w:val="toc 1"/>
    <w:basedOn w:val="Normal"/>
    <w:next w:val="Normal"/>
    <w:uiPriority w:val="39"/>
    <w:qFormat/>
  </w:style>
  <w:style w:type="paragraph" w:styleId="TOC2">
    <w:name w:val="toc 2"/>
    <w:basedOn w:val="Normal"/>
    <w:next w:val="Normal"/>
    <w:uiPriority w:val="39"/>
    <w:qFormat/>
    <w:pPr>
      <w:ind w:left="420" w:leftChars="200"/>
    </w:p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qFormat/>
    <w:rPr>
      <w:sz w:val="21"/>
      <w:szCs w:val="21"/>
    </w:rPr>
  </w:style>
  <w:style w:type="paragraph" w:styleId="BalloonText">
    <w:name w:val="Balloon Text"/>
    <w:basedOn w:val="Normal"/>
    <w:link w:val="Char"/>
    <w:rsid w:val="000A675D"/>
    <w:pPr>
      <w:spacing w:line="240" w:lineRule="auto"/>
    </w:pPr>
    <w:rPr>
      <w:sz w:val="18"/>
      <w:szCs w:val="18"/>
    </w:rPr>
  </w:style>
  <w:style w:type="character" w:customStyle="1" w:styleId="Char">
    <w:name w:val="批注框文本 Char"/>
    <w:basedOn w:val="DefaultParagraphFont"/>
    <w:link w:val="BalloonText"/>
    <w:rsid w:val="000A675D"/>
    <w:rPr>
      <w:rFonts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s://d.book118.com/676034212004010034" TargetMode="Externa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1675</Words>
  <Characters>9550</Characters>
  <Application>Microsoft Office Word</Application>
  <DocSecurity>0</DocSecurity>
  <Lines>79</Lines>
  <Paragraphs>22</Paragraphs>
  <ScaleCrop>false</ScaleCrop>
  <Company/>
  <LinksUpToDate>false</LinksUpToDate>
  <CharactersWithSpaces>11203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54475</dc:creator>
  <cp:lastModifiedBy>xb21cn</cp:lastModifiedBy>
  <cp:revision>2</cp:revision>
  <dcterms:created xsi:type="dcterms:W3CDTF">2020-04-01T01:46:00Z</dcterms:created>
  <dcterms:modified xsi:type="dcterms:W3CDTF">2020-04-01T01:46:00Z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