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压缩式城市垃圾收集车项目计划设计方案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44" w:history="1">
        <w:r>
          <w:rPr>
            <w:rFonts w:ascii="仿宋" w:eastAsia="仿宋" w:hAnsi="仿宋" w:cs="仿宋" w:hint="eastAsia"/>
            <w:lang w:eastAsia="zh-CN"/>
          </w:rPr>
          <w:t>序言</w:t>
        </w:r>
        <w:r>
          <w:tab/>
        </w:r>
        <w:r>
          <w:fldChar w:fldCharType="begin"/>
        </w:r>
        <w:r>
          <w:instrText xml:space="preserve"> PAGEREF _Toc18044 \h </w:instrText>
        </w:r>
        <w:r>
          <w:fldChar w:fldCharType="separate"/>
        </w:r>
        <w:r>
          <w:t>3</w:t>
        </w:r>
        <w:r>
          <w:fldChar w:fldCharType="end"/>
        </w:r>
      </w:hyperlink>
    </w:p>
    <w:p>
      <w:pPr>
        <w:pStyle w:val="TOC1"/>
        <w:tabs>
          <w:tab w:val="right" w:leader="dot" w:pos="8306"/>
        </w:tabs>
      </w:pPr>
      <w:hyperlink w:anchor="_Toc21395" w:history="1">
        <w:r>
          <w:rPr>
            <w:rFonts w:ascii="仿宋" w:eastAsia="仿宋" w:hAnsi="仿宋" w:cs="仿宋" w:hint="eastAsia"/>
            <w:lang w:eastAsia="zh-CN"/>
          </w:rPr>
          <w:t>一、压缩式城市垃圾收集车项目建设背景及必要性分析</w:t>
        </w:r>
        <w:r>
          <w:tab/>
        </w:r>
        <w:r>
          <w:fldChar w:fldCharType="begin"/>
        </w:r>
        <w:r>
          <w:instrText xml:space="preserve"> PAGEREF _Toc21395 \h </w:instrText>
        </w:r>
        <w:r>
          <w:fldChar w:fldCharType="separate"/>
        </w:r>
        <w:r>
          <w:t>3</w:t>
        </w:r>
        <w:r>
          <w:fldChar w:fldCharType="end"/>
        </w:r>
      </w:hyperlink>
    </w:p>
    <w:p>
      <w:pPr>
        <w:pStyle w:val="TOC2"/>
        <w:tabs>
          <w:tab w:val="right" w:leader="dot" w:pos="8306"/>
        </w:tabs>
      </w:pPr>
      <w:hyperlink w:anchor="_Toc2079" w:history="1">
        <w:r>
          <w:rPr>
            <w:rFonts w:ascii="仿宋" w:eastAsia="仿宋" w:hAnsi="仿宋" w:cs="仿宋" w:hint="eastAsia"/>
            <w:lang w:eastAsia="zh-CN"/>
          </w:rPr>
          <w:t>(一)、压缩式城市垃圾收集车项目背景分析</w:t>
        </w:r>
        <w:r>
          <w:tab/>
        </w:r>
        <w:r>
          <w:fldChar w:fldCharType="begin"/>
        </w:r>
        <w:r>
          <w:instrText xml:space="preserve"> PAGEREF _Toc2079 \h </w:instrText>
        </w:r>
        <w:r>
          <w:fldChar w:fldCharType="separate"/>
        </w:r>
        <w:r>
          <w:t>3</w:t>
        </w:r>
        <w:r>
          <w:fldChar w:fldCharType="end"/>
        </w:r>
      </w:hyperlink>
    </w:p>
    <w:p>
      <w:pPr>
        <w:pStyle w:val="TOC2"/>
        <w:tabs>
          <w:tab w:val="right" w:leader="dot" w:pos="8306"/>
        </w:tabs>
      </w:pPr>
      <w:hyperlink w:anchor="_Toc23987" w:history="1">
        <w:r>
          <w:rPr>
            <w:rFonts w:ascii="仿宋" w:eastAsia="仿宋" w:hAnsi="仿宋" w:cs="仿宋" w:hint="eastAsia"/>
            <w:lang w:eastAsia="zh-CN"/>
          </w:rPr>
          <w:t>(二)、压缩式城市垃圾收集车项目建设必要性分析</w:t>
        </w:r>
        <w:r>
          <w:tab/>
        </w:r>
        <w:r>
          <w:fldChar w:fldCharType="begin"/>
        </w:r>
        <w:r>
          <w:instrText xml:space="preserve"> PAGEREF _Toc23987 \h </w:instrText>
        </w:r>
        <w:r>
          <w:fldChar w:fldCharType="separate"/>
        </w:r>
        <w:r>
          <w:t>5</w:t>
        </w:r>
        <w:r>
          <w:fldChar w:fldCharType="end"/>
        </w:r>
      </w:hyperlink>
    </w:p>
    <w:p>
      <w:pPr>
        <w:pStyle w:val="TOC1"/>
        <w:tabs>
          <w:tab w:val="right" w:leader="dot" w:pos="8306"/>
        </w:tabs>
      </w:pPr>
      <w:hyperlink w:anchor="_Toc12088" w:history="1">
        <w:r>
          <w:rPr>
            <w:rFonts w:ascii="仿宋" w:eastAsia="仿宋" w:hAnsi="仿宋" w:cs="仿宋" w:hint="eastAsia"/>
            <w:lang w:eastAsia="zh-CN"/>
          </w:rPr>
          <w:t>二、压缩式城市垃圾收集车项目危机管理</w:t>
        </w:r>
        <w:r>
          <w:tab/>
        </w:r>
        <w:r>
          <w:fldChar w:fldCharType="begin"/>
        </w:r>
        <w:r>
          <w:instrText xml:space="preserve"> PAGEREF _Toc12088 \h </w:instrText>
        </w:r>
        <w:r>
          <w:fldChar w:fldCharType="separate"/>
        </w:r>
        <w:r>
          <w:t>6</w:t>
        </w:r>
        <w:r>
          <w:fldChar w:fldCharType="end"/>
        </w:r>
      </w:hyperlink>
    </w:p>
    <w:p>
      <w:pPr>
        <w:pStyle w:val="TOC2"/>
        <w:tabs>
          <w:tab w:val="right" w:leader="dot" w:pos="8306"/>
        </w:tabs>
      </w:pPr>
      <w:hyperlink w:anchor="_Toc22" w:history="1">
        <w:r>
          <w:rPr>
            <w:rFonts w:ascii="仿宋" w:eastAsia="仿宋" w:hAnsi="仿宋" w:cs="仿宋" w:hint="eastAsia"/>
            <w:lang w:eastAsia="zh-CN"/>
          </w:rPr>
          <w:t>(一)、危机预警与识别</w:t>
        </w:r>
        <w:r>
          <w:tab/>
        </w:r>
        <w:r>
          <w:fldChar w:fldCharType="begin"/>
        </w:r>
        <w:r>
          <w:instrText xml:space="preserve"> PAGEREF _Toc22 \h </w:instrText>
        </w:r>
        <w:r>
          <w:fldChar w:fldCharType="separate"/>
        </w:r>
        <w:r>
          <w:t>6</w:t>
        </w:r>
        <w:r>
          <w:fldChar w:fldCharType="end"/>
        </w:r>
      </w:hyperlink>
    </w:p>
    <w:p>
      <w:pPr>
        <w:pStyle w:val="TOC2"/>
        <w:tabs>
          <w:tab w:val="right" w:leader="dot" w:pos="8306"/>
        </w:tabs>
      </w:pPr>
      <w:hyperlink w:anchor="_Toc18601" w:history="1">
        <w:r>
          <w:rPr>
            <w:rFonts w:ascii="仿宋" w:eastAsia="仿宋" w:hAnsi="仿宋" w:cs="仿宋" w:hint="eastAsia"/>
            <w:lang w:eastAsia="zh-CN"/>
          </w:rPr>
          <w:t>(二)、危机应对与恢复</w:t>
        </w:r>
        <w:r>
          <w:tab/>
        </w:r>
        <w:r>
          <w:fldChar w:fldCharType="begin"/>
        </w:r>
        <w:r>
          <w:instrText xml:space="preserve"> PAGEREF _Toc18601 \h </w:instrText>
        </w:r>
        <w:r>
          <w:fldChar w:fldCharType="separate"/>
        </w:r>
        <w:r>
          <w:t>7</w:t>
        </w:r>
        <w:r>
          <w:fldChar w:fldCharType="end"/>
        </w:r>
      </w:hyperlink>
    </w:p>
    <w:p>
      <w:pPr>
        <w:pStyle w:val="TOC1"/>
        <w:tabs>
          <w:tab w:val="right" w:leader="dot" w:pos="8306"/>
        </w:tabs>
      </w:pPr>
      <w:hyperlink w:anchor="_Toc23325" w:history="1">
        <w:r>
          <w:rPr>
            <w:rFonts w:ascii="仿宋" w:eastAsia="仿宋" w:hAnsi="仿宋" w:cs="仿宋" w:hint="eastAsia"/>
            <w:lang w:eastAsia="zh-CN"/>
          </w:rPr>
          <w:t>三、压缩式城市垃圾收集车项目土建工程</w:t>
        </w:r>
        <w:r>
          <w:tab/>
        </w:r>
        <w:r>
          <w:fldChar w:fldCharType="begin"/>
        </w:r>
        <w:r>
          <w:instrText xml:space="preserve"> PAGEREF _Toc23325 \h </w:instrText>
        </w:r>
        <w:r>
          <w:fldChar w:fldCharType="separate"/>
        </w:r>
        <w:r>
          <w:t>9</w:t>
        </w:r>
        <w:r>
          <w:fldChar w:fldCharType="end"/>
        </w:r>
      </w:hyperlink>
    </w:p>
    <w:p>
      <w:pPr>
        <w:pStyle w:val="TOC2"/>
        <w:tabs>
          <w:tab w:val="right" w:leader="dot" w:pos="8306"/>
        </w:tabs>
      </w:pPr>
      <w:hyperlink w:anchor="_Toc17961" w:history="1">
        <w:r>
          <w:rPr>
            <w:rFonts w:ascii="仿宋" w:eastAsia="仿宋" w:hAnsi="仿宋" w:cs="仿宋" w:hint="eastAsia"/>
            <w:lang w:eastAsia="zh-CN"/>
          </w:rPr>
          <w:t>(一)、建筑工程设计原则</w:t>
        </w:r>
        <w:r>
          <w:tab/>
        </w:r>
        <w:r>
          <w:fldChar w:fldCharType="begin"/>
        </w:r>
        <w:r>
          <w:instrText xml:space="preserve"> PAGEREF _Toc17961 \h </w:instrText>
        </w:r>
        <w:r>
          <w:fldChar w:fldCharType="separate"/>
        </w:r>
        <w:r>
          <w:t>9</w:t>
        </w:r>
        <w:r>
          <w:fldChar w:fldCharType="end"/>
        </w:r>
      </w:hyperlink>
    </w:p>
    <w:p>
      <w:pPr>
        <w:pStyle w:val="TOC2"/>
        <w:tabs>
          <w:tab w:val="right" w:leader="dot" w:pos="8306"/>
        </w:tabs>
      </w:pPr>
      <w:hyperlink w:anchor="_Toc10491" w:history="1">
        <w:r>
          <w:rPr>
            <w:rFonts w:ascii="仿宋" w:eastAsia="仿宋" w:hAnsi="仿宋" w:cs="仿宋" w:hint="eastAsia"/>
            <w:lang w:eastAsia="zh-CN"/>
          </w:rPr>
          <w:t>(二)、土建工程设计年限及安全等级</w:t>
        </w:r>
        <w:r>
          <w:tab/>
        </w:r>
        <w:r>
          <w:fldChar w:fldCharType="begin"/>
        </w:r>
        <w:r>
          <w:instrText xml:space="preserve"> PAGEREF _Toc10491 \h </w:instrText>
        </w:r>
        <w:r>
          <w:fldChar w:fldCharType="separate"/>
        </w:r>
        <w:r>
          <w:t>10</w:t>
        </w:r>
        <w:r>
          <w:fldChar w:fldCharType="end"/>
        </w:r>
      </w:hyperlink>
    </w:p>
    <w:p>
      <w:pPr>
        <w:pStyle w:val="TOC2"/>
        <w:tabs>
          <w:tab w:val="right" w:leader="dot" w:pos="8306"/>
        </w:tabs>
      </w:pPr>
      <w:hyperlink w:anchor="_Toc13077" w:history="1">
        <w:r>
          <w:rPr>
            <w:rFonts w:ascii="仿宋" w:eastAsia="仿宋" w:hAnsi="仿宋" w:cs="仿宋" w:hint="eastAsia"/>
            <w:lang w:eastAsia="zh-CN"/>
          </w:rPr>
          <w:t>(三)、建筑工程设计总体要求</w:t>
        </w:r>
        <w:r>
          <w:tab/>
        </w:r>
        <w:r>
          <w:fldChar w:fldCharType="begin"/>
        </w:r>
        <w:r>
          <w:instrText xml:space="preserve"> PAGEREF _Toc13077 \h </w:instrText>
        </w:r>
        <w:r>
          <w:fldChar w:fldCharType="separate"/>
        </w:r>
        <w:r>
          <w:t>11</w:t>
        </w:r>
        <w:r>
          <w:fldChar w:fldCharType="end"/>
        </w:r>
      </w:hyperlink>
    </w:p>
    <w:p>
      <w:pPr>
        <w:pStyle w:val="TOC2"/>
        <w:tabs>
          <w:tab w:val="right" w:leader="dot" w:pos="8306"/>
        </w:tabs>
      </w:pPr>
      <w:hyperlink w:anchor="_Toc25029" w:history="1">
        <w:r>
          <w:rPr>
            <w:rFonts w:ascii="仿宋" w:eastAsia="仿宋" w:hAnsi="仿宋" w:cs="仿宋" w:hint="eastAsia"/>
            <w:lang w:eastAsia="zh-CN"/>
          </w:rPr>
          <w:t>(四)、土建工程建设指标</w:t>
        </w:r>
        <w:r>
          <w:tab/>
        </w:r>
        <w:r>
          <w:fldChar w:fldCharType="begin"/>
        </w:r>
        <w:r>
          <w:instrText xml:space="preserve"> PAGEREF _Toc25029 \h </w:instrText>
        </w:r>
        <w:r>
          <w:fldChar w:fldCharType="separate"/>
        </w:r>
        <w:r>
          <w:t>12</w:t>
        </w:r>
        <w:r>
          <w:fldChar w:fldCharType="end"/>
        </w:r>
      </w:hyperlink>
    </w:p>
    <w:p>
      <w:pPr>
        <w:pStyle w:val="TOC1"/>
        <w:tabs>
          <w:tab w:val="right" w:leader="dot" w:pos="8306"/>
        </w:tabs>
      </w:pPr>
      <w:hyperlink w:anchor="_Toc177" w:history="1">
        <w:r>
          <w:rPr>
            <w:rFonts w:ascii="仿宋" w:eastAsia="仿宋" w:hAnsi="仿宋" w:cs="仿宋" w:hint="eastAsia"/>
            <w:lang w:eastAsia="zh-CN"/>
          </w:rPr>
          <w:t>四、市场分析、调研</w:t>
        </w:r>
        <w:r>
          <w:tab/>
        </w:r>
        <w:r>
          <w:fldChar w:fldCharType="begin"/>
        </w:r>
        <w:r>
          <w:instrText xml:space="preserve"> PAGEREF _Toc177 \h </w:instrText>
        </w:r>
        <w:r>
          <w:fldChar w:fldCharType="separate"/>
        </w:r>
        <w:r>
          <w:t>12</w:t>
        </w:r>
        <w:r>
          <w:fldChar w:fldCharType="end"/>
        </w:r>
      </w:hyperlink>
    </w:p>
    <w:p>
      <w:pPr>
        <w:pStyle w:val="TOC2"/>
        <w:tabs>
          <w:tab w:val="right" w:leader="dot" w:pos="8306"/>
        </w:tabs>
      </w:pPr>
      <w:hyperlink w:anchor="_Toc11558" w:history="1">
        <w:r>
          <w:rPr>
            <w:rFonts w:ascii="仿宋" w:eastAsia="仿宋" w:hAnsi="仿宋" w:cs="仿宋" w:hint="eastAsia"/>
            <w:lang w:eastAsia="zh-CN"/>
          </w:rPr>
          <w:t>(一)、压缩式城市垃圾收集车行业分析</w:t>
        </w:r>
        <w:r>
          <w:tab/>
        </w:r>
        <w:r>
          <w:fldChar w:fldCharType="begin"/>
        </w:r>
        <w:r>
          <w:instrText xml:space="preserve"> PAGEREF _Toc11558 \h </w:instrText>
        </w:r>
        <w:r>
          <w:fldChar w:fldCharType="separate"/>
        </w:r>
        <w:r>
          <w:t>12</w:t>
        </w:r>
        <w:r>
          <w:fldChar w:fldCharType="end"/>
        </w:r>
      </w:hyperlink>
    </w:p>
    <w:p>
      <w:pPr>
        <w:pStyle w:val="TOC2"/>
        <w:tabs>
          <w:tab w:val="right" w:leader="dot" w:pos="8306"/>
        </w:tabs>
      </w:pPr>
      <w:hyperlink w:anchor="_Toc11660" w:history="1">
        <w:r>
          <w:rPr>
            <w:rFonts w:ascii="仿宋" w:eastAsia="仿宋" w:hAnsi="仿宋" w:cs="仿宋" w:hint="eastAsia"/>
            <w:lang w:eastAsia="zh-CN"/>
          </w:rPr>
          <w:t>(二)、压缩式城市垃圾收集车市场分析预测</w:t>
        </w:r>
        <w:r>
          <w:tab/>
        </w:r>
        <w:r>
          <w:fldChar w:fldCharType="begin"/>
        </w:r>
        <w:r>
          <w:instrText xml:space="preserve"> PAGEREF _Toc11660 \h </w:instrText>
        </w:r>
        <w:r>
          <w:fldChar w:fldCharType="separate"/>
        </w:r>
        <w:r>
          <w:t>13</w:t>
        </w:r>
        <w:r>
          <w:fldChar w:fldCharType="end"/>
        </w:r>
      </w:hyperlink>
    </w:p>
    <w:p>
      <w:pPr>
        <w:pStyle w:val="TOC1"/>
        <w:tabs>
          <w:tab w:val="right" w:leader="dot" w:pos="8306"/>
        </w:tabs>
      </w:pPr>
      <w:hyperlink w:anchor="_Toc30400" w:history="1">
        <w:r>
          <w:rPr>
            <w:rFonts w:ascii="仿宋" w:eastAsia="仿宋" w:hAnsi="仿宋" w:cs="仿宋" w:hint="eastAsia"/>
            <w:lang w:eastAsia="zh-CN"/>
          </w:rPr>
          <w:t>五、产品规划分析</w:t>
        </w:r>
        <w:r>
          <w:tab/>
        </w:r>
        <w:r>
          <w:fldChar w:fldCharType="begin"/>
        </w:r>
        <w:r>
          <w:instrText xml:space="preserve"> PAGEREF _Toc30400 \h </w:instrText>
        </w:r>
        <w:r>
          <w:fldChar w:fldCharType="separate"/>
        </w:r>
        <w:r>
          <w:t>14</w:t>
        </w:r>
        <w:r>
          <w:fldChar w:fldCharType="end"/>
        </w:r>
      </w:hyperlink>
    </w:p>
    <w:p>
      <w:pPr>
        <w:pStyle w:val="TOC2"/>
        <w:tabs>
          <w:tab w:val="right" w:leader="dot" w:pos="8306"/>
        </w:tabs>
      </w:pPr>
      <w:hyperlink w:anchor="_Toc26848" w:history="1">
        <w:r>
          <w:rPr>
            <w:rFonts w:ascii="仿宋" w:eastAsia="仿宋" w:hAnsi="仿宋" w:cs="仿宋" w:hint="eastAsia"/>
            <w:lang w:eastAsia="zh-CN"/>
          </w:rPr>
          <w:t>(一)、产品规划</w:t>
        </w:r>
        <w:r>
          <w:tab/>
        </w:r>
        <w:r>
          <w:fldChar w:fldCharType="begin"/>
        </w:r>
        <w:r>
          <w:instrText xml:space="preserve"> PAGEREF _Toc26848 \h </w:instrText>
        </w:r>
        <w:r>
          <w:fldChar w:fldCharType="separate"/>
        </w:r>
        <w:r>
          <w:t>14</w:t>
        </w:r>
        <w:r>
          <w:fldChar w:fldCharType="end"/>
        </w:r>
      </w:hyperlink>
    </w:p>
    <w:p>
      <w:pPr>
        <w:pStyle w:val="TOC2"/>
        <w:tabs>
          <w:tab w:val="right" w:leader="dot" w:pos="8306"/>
        </w:tabs>
      </w:pPr>
      <w:hyperlink w:anchor="_Toc25211" w:history="1">
        <w:r>
          <w:rPr>
            <w:rFonts w:ascii="仿宋" w:eastAsia="仿宋" w:hAnsi="仿宋" w:cs="仿宋" w:hint="eastAsia"/>
            <w:lang w:eastAsia="zh-CN"/>
          </w:rPr>
          <w:t>(二)、建设规模</w:t>
        </w:r>
        <w:r>
          <w:tab/>
        </w:r>
        <w:r>
          <w:fldChar w:fldCharType="begin"/>
        </w:r>
        <w:r>
          <w:instrText xml:space="preserve"> PAGEREF _Toc25211 \h </w:instrText>
        </w:r>
        <w:r>
          <w:fldChar w:fldCharType="separate"/>
        </w:r>
        <w:r>
          <w:t>14</w:t>
        </w:r>
        <w:r>
          <w:fldChar w:fldCharType="end"/>
        </w:r>
      </w:hyperlink>
    </w:p>
    <w:p>
      <w:pPr>
        <w:pStyle w:val="TOC1"/>
        <w:tabs>
          <w:tab w:val="right" w:leader="dot" w:pos="8306"/>
        </w:tabs>
      </w:pPr>
      <w:hyperlink w:anchor="_Toc6698" w:history="1">
        <w:r>
          <w:rPr>
            <w:rFonts w:ascii="仿宋" w:eastAsia="仿宋" w:hAnsi="仿宋" w:cs="仿宋" w:hint="eastAsia"/>
            <w:lang w:eastAsia="zh-CN"/>
          </w:rPr>
          <w:t>六、工艺说明</w:t>
        </w:r>
        <w:r>
          <w:tab/>
        </w:r>
        <w:r>
          <w:fldChar w:fldCharType="begin"/>
        </w:r>
        <w:r>
          <w:instrText xml:space="preserve"> PAGEREF _Toc6698 \h </w:instrText>
        </w:r>
        <w:r>
          <w:fldChar w:fldCharType="separate"/>
        </w:r>
        <w:r>
          <w:t>16</w:t>
        </w:r>
        <w:r>
          <w:fldChar w:fldCharType="end"/>
        </w:r>
      </w:hyperlink>
    </w:p>
    <w:p>
      <w:pPr>
        <w:pStyle w:val="TOC2"/>
        <w:tabs>
          <w:tab w:val="right" w:leader="dot" w:pos="8306"/>
        </w:tabs>
      </w:pPr>
      <w:hyperlink w:anchor="_Toc2123" w:history="1">
        <w:r>
          <w:rPr>
            <w:rFonts w:ascii="仿宋" w:eastAsia="仿宋" w:hAnsi="仿宋" w:cs="仿宋" w:hint="eastAsia"/>
            <w:lang w:eastAsia="zh-CN"/>
          </w:rPr>
          <w:t>(一)、技术管理特点</w:t>
        </w:r>
        <w:r>
          <w:tab/>
        </w:r>
        <w:r>
          <w:fldChar w:fldCharType="begin"/>
        </w:r>
        <w:r>
          <w:instrText xml:space="preserve"> PAGEREF _Toc2123 \h </w:instrText>
        </w:r>
        <w:r>
          <w:fldChar w:fldCharType="separate"/>
        </w:r>
        <w:r>
          <w:t>16</w:t>
        </w:r>
        <w:r>
          <w:fldChar w:fldCharType="end"/>
        </w:r>
      </w:hyperlink>
    </w:p>
    <w:p>
      <w:pPr>
        <w:pStyle w:val="TOC2"/>
        <w:tabs>
          <w:tab w:val="right" w:leader="dot" w:pos="8306"/>
        </w:tabs>
      </w:pPr>
      <w:hyperlink w:anchor="_Toc13903" w:history="1">
        <w:r>
          <w:rPr>
            <w:rFonts w:ascii="仿宋" w:eastAsia="仿宋" w:hAnsi="仿宋" w:cs="仿宋" w:hint="eastAsia"/>
            <w:lang w:eastAsia="zh-CN"/>
          </w:rPr>
          <w:t>(二)、压缩式城市垃圾收集车项目工艺技术设计方案</w:t>
        </w:r>
        <w:r>
          <w:tab/>
        </w:r>
        <w:r>
          <w:fldChar w:fldCharType="begin"/>
        </w:r>
        <w:r>
          <w:instrText xml:space="preserve"> PAGEREF _Toc13903 \h </w:instrText>
        </w:r>
        <w:r>
          <w:fldChar w:fldCharType="separate"/>
        </w:r>
        <w:r>
          <w:t>17</w:t>
        </w:r>
        <w:r>
          <w:fldChar w:fldCharType="end"/>
        </w:r>
      </w:hyperlink>
    </w:p>
    <w:p>
      <w:pPr>
        <w:pStyle w:val="TOC2"/>
        <w:tabs>
          <w:tab w:val="right" w:leader="dot" w:pos="8306"/>
        </w:tabs>
      </w:pPr>
      <w:hyperlink w:anchor="_Toc23355" w:history="1">
        <w:r>
          <w:rPr>
            <w:rFonts w:ascii="仿宋" w:eastAsia="仿宋" w:hAnsi="仿宋" w:cs="仿宋" w:hint="eastAsia"/>
            <w:lang w:eastAsia="zh-CN"/>
          </w:rPr>
          <w:t>(三)、设备选型方案</w:t>
        </w:r>
        <w:r>
          <w:tab/>
        </w:r>
        <w:r>
          <w:fldChar w:fldCharType="begin"/>
        </w:r>
        <w:r>
          <w:instrText xml:space="preserve"> PAGEREF _Toc23355 \h </w:instrText>
        </w:r>
        <w:r>
          <w:fldChar w:fldCharType="separate"/>
        </w:r>
        <w:r>
          <w:t>18</w:t>
        </w:r>
        <w:r>
          <w:fldChar w:fldCharType="end"/>
        </w:r>
      </w:hyperlink>
    </w:p>
    <w:p>
      <w:pPr>
        <w:pStyle w:val="TOC1"/>
        <w:tabs>
          <w:tab w:val="right" w:leader="dot" w:pos="8306"/>
        </w:tabs>
      </w:pPr>
      <w:hyperlink w:anchor="_Toc22274" w:history="1">
        <w:r>
          <w:rPr>
            <w:rFonts w:ascii="仿宋" w:eastAsia="仿宋" w:hAnsi="仿宋" w:cs="仿宋" w:hint="eastAsia"/>
            <w:lang w:eastAsia="zh-CN"/>
          </w:rPr>
          <w:t>七、生产安全保护</w:t>
        </w:r>
        <w:r>
          <w:tab/>
        </w:r>
        <w:r>
          <w:fldChar w:fldCharType="begin"/>
        </w:r>
        <w:r>
          <w:instrText xml:space="preserve"> PAGEREF _Toc22274 \h </w:instrText>
        </w:r>
        <w:r>
          <w:fldChar w:fldCharType="separate"/>
        </w:r>
        <w:r>
          <w:t>20</w:t>
        </w:r>
        <w:r>
          <w:fldChar w:fldCharType="end"/>
        </w:r>
      </w:hyperlink>
    </w:p>
    <w:p>
      <w:pPr>
        <w:pStyle w:val="TOC2"/>
        <w:tabs>
          <w:tab w:val="right" w:leader="dot" w:pos="8306"/>
        </w:tabs>
      </w:pPr>
      <w:hyperlink w:anchor="_Toc32189" w:history="1">
        <w:r>
          <w:rPr>
            <w:rFonts w:ascii="仿宋" w:eastAsia="仿宋" w:hAnsi="仿宋" w:cs="仿宋" w:hint="eastAsia"/>
            <w:lang w:eastAsia="zh-CN"/>
          </w:rPr>
          <w:t>(一)、消防安全</w:t>
        </w:r>
        <w:r>
          <w:tab/>
        </w:r>
        <w:r>
          <w:fldChar w:fldCharType="begin"/>
        </w:r>
        <w:r>
          <w:instrText xml:space="preserve"> PAGEREF _Toc32189 \h </w:instrText>
        </w:r>
        <w:r>
          <w:fldChar w:fldCharType="separate"/>
        </w:r>
        <w:r>
          <w:t>20</w:t>
        </w:r>
        <w:r>
          <w:fldChar w:fldCharType="end"/>
        </w:r>
      </w:hyperlink>
    </w:p>
    <w:p>
      <w:pPr>
        <w:pStyle w:val="TOC2"/>
        <w:tabs>
          <w:tab w:val="right" w:leader="dot" w:pos="8306"/>
        </w:tabs>
      </w:pPr>
      <w:hyperlink w:anchor="_Toc28235" w:history="1">
        <w:r>
          <w:rPr>
            <w:rFonts w:ascii="仿宋" w:eastAsia="仿宋" w:hAnsi="仿宋" w:cs="仿宋" w:hint="eastAsia"/>
            <w:lang w:eastAsia="zh-CN"/>
          </w:rPr>
          <w:t>(二)、防火防爆总图布置措施</w:t>
        </w:r>
        <w:r>
          <w:tab/>
        </w:r>
        <w:r>
          <w:fldChar w:fldCharType="begin"/>
        </w:r>
        <w:r>
          <w:instrText xml:space="preserve"> PAGEREF _Toc28235 \h </w:instrText>
        </w:r>
        <w:r>
          <w:fldChar w:fldCharType="separate"/>
        </w:r>
        <w:r>
          <w:t>21</w:t>
        </w:r>
        <w:r>
          <w:fldChar w:fldCharType="end"/>
        </w:r>
      </w:hyperlink>
    </w:p>
    <w:p>
      <w:pPr>
        <w:pStyle w:val="TOC2"/>
        <w:tabs>
          <w:tab w:val="right" w:leader="dot" w:pos="8306"/>
        </w:tabs>
      </w:pPr>
      <w:hyperlink w:anchor="_Toc5520" w:history="1">
        <w:r>
          <w:rPr>
            <w:rFonts w:ascii="仿宋" w:eastAsia="仿宋" w:hAnsi="仿宋" w:cs="仿宋" w:hint="eastAsia"/>
            <w:lang w:eastAsia="zh-CN"/>
          </w:rPr>
          <w:t>(三)、自然灾害防范措施</w:t>
        </w:r>
        <w:r>
          <w:tab/>
        </w:r>
        <w:r>
          <w:fldChar w:fldCharType="begin"/>
        </w:r>
        <w:r>
          <w:instrText xml:space="preserve"> PAGEREF _Toc5520 \h </w:instrText>
        </w:r>
        <w:r>
          <w:fldChar w:fldCharType="separate"/>
        </w:r>
        <w:r>
          <w:t>22</w:t>
        </w:r>
        <w:r>
          <w:fldChar w:fldCharType="end"/>
        </w:r>
      </w:hyperlink>
    </w:p>
    <w:p>
      <w:pPr>
        <w:pStyle w:val="TOC2"/>
        <w:tabs>
          <w:tab w:val="right" w:leader="dot" w:pos="8306"/>
        </w:tabs>
      </w:pPr>
      <w:hyperlink w:anchor="_Toc32610" w:history="1">
        <w:r>
          <w:rPr>
            <w:rFonts w:ascii="仿宋" w:eastAsia="仿宋" w:hAnsi="仿宋" w:cs="仿宋" w:hint="eastAsia"/>
            <w:lang w:eastAsia="zh-CN"/>
          </w:rPr>
          <w:t>(四)、安全色及安全标志使用要求</w:t>
        </w:r>
        <w:r>
          <w:tab/>
        </w:r>
        <w:r>
          <w:fldChar w:fldCharType="begin"/>
        </w:r>
        <w:r>
          <w:instrText xml:space="preserve"> PAGEREF _Toc32610 \h </w:instrText>
        </w:r>
        <w:r>
          <w:fldChar w:fldCharType="separate"/>
        </w:r>
        <w:r>
          <w:t>23</w:t>
        </w:r>
        <w:r>
          <w:fldChar w:fldCharType="end"/>
        </w:r>
      </w:hyperlink>
    </w:p>
    <w:p>
      <w:pPr>
        <w:pStyle w:val="TOC2"/>
        <w:tabs>
          <w:tab w:val="right" w:leader="dot" w:pos="8306"/>
        </w:tabs>
      </w:pPr>
      <w:hyperlink w:anchor="_Toc954" w:history="1">
        <w:r>
          <w:rPr>
            <w:rFonts w:ascii="仿宋" w:eastAsia="仿宋" w:hAnsi="仿宋" w:cs="仿宋" w:hint="eastAsia"/>
            <w:lang w:eastAsia="zh-CN"/>
          </w:rPr>
          <w:t>(五)、防尘防毒措施</w:t>
        </w:r>
        <w:r>
          <w:tab/>
        </w:r>
        <w:r>
          <w:fldChar w:fldCharType="begin"/>
        </w:r>
        <w:r>
          <w:instrText xml:space="preserve"> PAGEREF _Toc954 \h </w:instrText>
        </w:r>
        <w:r>
          <w:fldChar w:fldCharType="separate"/>
        </w:r>
        <w:r>
          <w:t>24</w:t>
        </w:r>
        <w:r>
          <w:fldChar w:fldCharType="end"/>
        </w:r>
      </w:hyperlink>
    </w:p>
    <w:p>
      <w:pPr>
        <w:pStyle w:val="TOC2"/>
        <w:tabs>
          <w:tab w:val="right" w:leader="dot" w:pos="8306"/>
        </w:tabs>
      </w:pPr>
      <w:hyperlink w:anchor="_Toc20278" w:history="1">
        <w:r>
          <w:rPr>
            <w:rFonts w:ascii="仿宋" w:eastAsia="仿宋" w:hAnsi="仿宋" w:cs="仿宋" w:hint="eastAsia"/>
            <w:lang w:eastAsia="zh-CN"/>
          </w:rPr>
          <w:t>(六)、防静电、触电防护及防雷措施</w:t>
        </w:r>
        <w:r>
          <w:tab/>
        </w:r>
        <w:r>
          <w:fldChar w:fldCharType="begin"/>
        </w:r>
        <w:r>
          <w:instrText xml:space="preserve"> PAGEREF _Toc20278 \h </w:instrText>
        </w:r>
        <w:r>
          <w:fldChar w:fldCharType="separate"/>
        </w:r>
        <w:r>
          <w:t>25</w:t>
        </w:r>
        <w:r>
          <w:fldChar w:fldCharType="end"/>
        </w:r>
      </w:hyperlink>
    </w:p>
    <w:p>
      <w:pPr>
        <w:pStyle w:val="TOC2"/>
        <w:tabs>
          <w:tab w:val="right" w:leader="dot" w:pos="8306"/>
        </w:tabs>
      </w:pPr>
      <w:hyperlink w:anchor="_Toc18790" w:history="1">
        <w:r>
          <w:rPr>
            <w:rFonts w:ascii="仿宋" w:eastAsia="仿宋" w:hAnsi="仿宋" w:cs="仿宋" w:hint="eastAsia"/>
            <w:lang w:eastAsia="zh-CN"/>
          </w:rPr>
          <w:t>(七)、机械设备安全保障措施</w:t>
        </w:r>
        <w:r>
          <w:tab/>
        </w:r>
        <w:r>
          <w:fldChar w:fldCharType="begin"/>
        </w:r>
        <w:r>
          <w:instrText xml:space="preserve"> PAGEREF _Toc18790 \h </w:instrText>
        </w:r>
        <w:r>
          <w:fldChar w:fldCharType="separate"/>
        </w:r>
        <w:r>
          <w:t>27</w:t>
        </w:r>
        <w:r>
          <w:fldChar w:fldCharType="end"/>
        </w:r>
      </w:hyperlink>
    </w:p>
    <w:p>
      <w:pPr>
        <w:pStyle w:val="TOC1"/>
        <w:tabs>
          <w:tab w:val="right" w:leader="dot" w:pos="8306"/>
        </w:tabs>
      </w:pPr>
      <w:hyperlink w:anchor="_Toc21081" w:history="1">
        <w:r>
          <w:rPr>
            <w:rFonts w:ascii="仿宋" w:eastAsia="仿宋" w:hAnsi="仿宋" w:cs="仿宋" w:hint="eastAsia"/>
            <w:lang w:eastAsia="zh-CN"/>
          </w:rPr>
          <w:t>八、压缩式城市垃圾收集车项目人力资源培养与发展</w:t>
        </w:r>
        <w:r>
          <w:tab/>
        </w:r>
        <w:r>
          <w:fldChar w:fldCharType="begin"/>
        </w:r>
        <w:r>
          <w:instrText xml:space="preserve"> PAGEREF _Toc21081 \h </w:instrText>
        </w:r>
        <w:r>
          <w:fldChar w:fldCharType="separate"/>
        </w:r>
        <w:r>
          <w:t>28</w:t>
        </w:r>
        <w:r>
          <w:fldChar w:fldCharType="end"/>
        </w:r>
      </w:hyperlink>
    </w:p>
    <w:p>
      <w:pPr>
        <w:pStyle w:val="TOC2"/>
        <w:tabs>
          <w:tab w:val="right" w:leader="dot" w:pos="8306"/>
        </w:tabs>
      </w:pPr>
      <w:hyperlink w:anchor="_Toc26794" w:history="1">
        <w:r>
          <w:rPr>
            <w:rFonts w:ascii="仿宋" w:eastAsia="仿宋" w:hAnsi="仿宋" w:cs="仿宋" w:hint="eastAsia"/>
            <w:lang w:eastAsia="zh-CN"/>
          </w:rPr>
          <w:t>(一)、人才需求与规划</w:t>
        </w:r>
        <w:r>
          <w:tab/>
        </w:r>
        <w:r>
          <w:fldChar w:fldCharType="begin"/>
        </w:r>
        <w:r>
          <w:instrText xml:space="preserve"> PAGEREF _Toc26794 \h </w:instrText>
        </w:r>
        <w:r>
          <w:fldChar w:fldCharType="separate"/>
        </w:r>
        <w:r>
          <w:t>28</w:t>
        </w:r>
        <w:r>
          <w:fldChar w:fldCharType="end"/>
        </w:r>
      </w:hyperlink>
    </w:p>
    <w:p>
      <w:pPr>
        <w:pStyle w:val="TOC2"/>
        <w:tabs>
          <w:tab w:val="right" w:leader="dot" w:pos="8306"/>
        </w:tabs>
      </w:pPr>
      <w:hyperlink w:anchor="_Toc2859" w:history="1">
        <w:r>
          <w:rPr>
            <w:rFonts w:ascii="仿宋" w:eastAsia="仿宋" w:hAnsi="仿宋" w:cs="仿宋" w:hint="eastAsia"/>
            <w:lang w:eastAsia="zh-CN"/>
          </w:rPr>
          <w:t>(二)、培训与发展计划</w:t>
        </w:r>
        <w:r>
          <w:tab/>
        </w:r>
        <w:r>
          <w:fldChar w:fldCharType="begin"/>
        </w:r>
        <w:r>
          <w:instrText xml:space="preserve"> PAGEREF _Toc2859 \h </w:instrText>
        </w:r>
        <w:r>
          <w:fldChar w:fldCharType="separate"/>
        </w:r>
        <w:r>
          <w:t>29</w:t>
        </w:r>
        <w:r>
          <w:fldChar w:fldCharType="end"/>
        </w:r>
      </w:hyperlink>
    </w:p>
    <w:p>
      <w:pPr>
        <w:pStyle w:val="TOC1"/>
        <w:tabs>
          <w:tab w:val="right" w:leader="dot" w:pos="8306"/>
        </w:tabs>
      </w:pPr>
      <w:hyperlink w:anchor="_Toc18557" w:history="1">
        <w:r>
          <w:rPr>
            <w:rFonts w:ascii="仿宋" w:eastAsia="仿宋" w:hAnsi="仿宋" w:cs="仿宋" w:hint="eastAsia"/>
            <w:lang w:eastAsia="zh-CN"/>
          </w:rPr>
          <w:t>九、压缩式城市垃圾收集车项目人力资源管理</w:t>
        </w:r>
        <w:r>
          <w:tab/>
        </w:r>
        <w:r>
          <w:fldChar w:fldCharType="begin"/>
        </w:r>
        <w:r>
          <w:instrText xml:space="preserve"> PAGEREF _Toc18557 \h </w:instrText>
        </w:r>
        <w:r>
          <w:fldChar w:fldCharType="separate"/>
        </w:r>
        <w:r>
          <w:t>29</w:t>
        </w:r>
        <w:r>
          <w:fldChar w:fldCharType="end"/>
        </w:r>
      </w:hyperlink>
    </w:p>
    <w:p>
      <w:pPr>
        <w:pStyle w:val="TOC2"/>
        <w:tabs>
          <w:tab w:val="right" w:leader="dot" w:pos="8306"/>
        </w:tabs>
      </w:pPr>
      <w:hyperlink w:anchor="_Toc25207" w:history="1">
        <w:r>
          <w:rPr>
            <w:rFonts w:ascii="仿宋" w:eastAsia="仿宋" w:hAnsi="仿宋" w:cs="仿宋" w:hint="eastAsia"/>
            <w:lang w:eastAsia="zh-CN"/>
          </w:rPr>
          <w:t>(一)、建立健全的预算管理制度</w:t>
        </w:r>
        <w:r>
          <w:tab/>
        </w:r>
        <w:r>
          <w:fldChar w:fldCharType="begin"/>
        </w:r>
        <w:r>
          <w:instrText xml:space="preserve"> PAGEREF _Toc25207 \h </w:instrText>
        </w:r>
        <w:r>
          <w:fldChar w:fldCharType="separate"/>
        </w:r>
        <w:r>
          <w:t>29</w:t>
        </w:r>
        <w:r>
          <w:fldChar w:fldCharType="end"/>
        </w:r>
      </w:hyperlink>
    </w:p>
    <w:p>
      <w:pPr>
        <w:pStyle w:val="TOC2"/>
        <w:tabs>
          <w:tab w:val="right" w:leader="dot" w:pos="8306"/>
        </w:tabs>
      </w:pPr>
      <w:hyperlink w:anchor="_Toc7529" w:history="1">
        <w:r>
          <w:rPr>
            <w:rFonts w:ascii="仿宋" w:eastAsia="仿宋" w:hAnsi="仿宋" w:cs="仿宋" w:hint="eastAsia"/>
            <w:lang w:eastAsia="zh-CN"/>
          </w:rPr>
          <w:t>(二)、加强资金流动监控</w:t>
        </w:r>
        <w:r>
          <w:tab/>
        </w:r>
        <w:r>
          <w:fldChar w:fldCharType="begin"/>
        </w:r>
        <w:r>
          <w:instrText xml:space="preserve"> PAGEREF _Toc7529 \h </w:instrText>
        </w:r>
        <w:r>
          <w:fldChar w:fldCharType="separate"/>
        </w:r>
        <w:r>
          <w:t>31</w:t>
        </w:r>
        <w:r>
          <w:fldChar w:fldCharType="end"/>
        </w:r>
      </w:hyperlink>
    </w:p>
    <w:p>
      <w:pPr>
        <w:pStyle w:val="TOC2"/>
        <w:tabs>
          <w:tab w:val="right" w:leader="dot" w:pos="8306"/>
        </w:tabs>
      </w:pPr>
      <w:hyperlink w:anchor="_Toc5601" w:history="1">
        <w:r>
          <w:rPr>
            <w:rFonts w:ascii="仿宋" w:eastAsia="仿宋" w:hAnsi="仿宋" w:cs="仿宋" w:hint="eastAsia"/>
            <w:lang w:eastAsia="zh-CN"/>
          </w:rPr>
          <w:t>(三)、制定完善的风险控制机制</w:t>
        </w:r>
        <w:r>
          <w:tab/>
        </w:r>
        <w:r>
          <w:fldChar w:fldCharType="begin"/>
        </w:r>
        <w:r>
          <w:instrText xml:space="preserve"> PAGEREF _Toc5601 \h </w:instrText>
        </w:r>
        <w:r>
          <w:fldChar w:fldCharType="separate"/>
        </w:r>
        <w:r>
          <w:t>32</w:t>
        </w:r>
        <w:r>
          <w:fldChar w:fldCharType="end"/>
        </w:r>
      </w:hyperlink>
    </w:p>
    <w:p>
      <w:pPr>
        <w:pStyle w:val="TOC2"/>
        <w:tabs>
          <w:tab w:val="right" w:leader="dot" w:pos="8306"/>
        </w:tabs>
      </w:pPr>
      <w:hyperlink w:anchor="_Toc9404" w:history="1">
        <w:r>
          <w:rPr>
            <w:rFonts w:ascii="仿宋" w:eastAsia="仿宋" w:hAnsi="仿宋" w:cs="仿宋" w:hint="eastAsia"/>
            <w:lang w:eastAsia="zh-CN"/>
          </w:rPr>
          <w:t>(四)、优化成本管理</w:t>
        </w:r>
        <w:r>
          <w:tab/>
        </w:r>
        <w:r>
          <w:fldChar w:fldCharType="begin"/>
        </w:r>
        <w:r>
          <w:instrText xml:space="preserve"> PAGEREF _Toc9404 \h </w:instrText>
        </w:r>
        <w:r>
          <w:fldChar w:fldCharType="separate"/>
        </w:r>
        <w:r>
          <w:t>34</w:t>
        </w:r>
        <w:r>
          <w:fldChar w:fldCharType="end"/>
        </w:r>
      </w:hyperlink>
    </w:p>
    <w:p>
      <w:pPr>
        <w:pStyle w:val="TOC1"/>
        <w:tabs>
          <w:tab w:val="right" w:leader="dot" w:pos="8306"/>
        </w:tabs>
      </w:pPr>
      <w:hyperlink w:anchor="_Toc29396" w:history="1">
        <w:r>
          <w:rPr>
            <w:rFonts w:ascii="仿宋" w:eastAsia="仿宋" w:hAnsi="仿宋" w:cs="仿宋" w:hint="eastAsia"/>
            <w:lang w:eastAsia="zh-CN"/>
          </w:rPr>
          <w:t>十、压缩式城市垃圾收集车项目创新与研发</w:t>
        </w:r>
        <w:r>
          <w:tab/>
        </w:r>
        <w:r>
          <w:fldChar w:fldCharType="begin"/>
        </w:r>
        <w:r>
          <w:instrText xml:space="preserve"> PAGEREF _Toc29396 \h </w:instrText>
        </w:r>
        <w:r>
          <w:fldChar w:fldCharType="separate"/>
        </w:r>
        <w:r>
          <w:t>36</w:t>
        </w:r>
        <w:r>
          <w:fldChar w:fldCharType="end"/>
        </w:r>
      </w:hyperlink>
    </w:p>
    <w:p>
      <w:pPr>
        <w:pStyle w:val="TOC2"/>
        <w:tabs>
          <w:tab w:val="right" w:leader="dot" w:pos="8306"/>
        </w:tabs>
      </w:pPr>
      <w:hyperlink w:anchor="_Toc11840" w:history="1">
        <w:r>
          <w:rPr>
            <w:rFonts w:ascii="仿宋" w:eastAsia="仿宋" w:hAnsi="仿宋" w:cs="仿宋" w:hint="eastAsia"/>
            <w:lang w:eastAsia="zh-CN"/>
          </w:rPr>
          <w:t>(一)、创新策略与方向</w:t>
        </w:r>
        <w:r>
          <w:tab/>
        </w:r>
        <w:r>
          <w:fldChar w:fldCharType="begin"/>
        </w:r>
        <w:r>
          <w:instrText xml:space="preserve"> PAGEREF _Toc11840 \h </w:instrText>
        </w:r>
        <w:r>
          <w:fldChar w:fldCharType="separate"/>
        </w:r>
        <w:r>
          <w:t>36</w:t>
        </w:r>
        <w:r>
          <w:fldChar w:fldCharType="end"/>
        </w:r>
      </w:hyperlink>
    </w:p>
    <w:p>
      <w:pPr>
        <w:pStyle w:val="TOC2"/>
        <w:tabs>
          <w:tab w:val="right" w:leader="dot" w:pos="8306"/>
        </w:tabs>
      </w:pPr>
      <w:hyperlink w:anchor="_Toc2514" w:history="1">
        <w:r>
          <w:rPr>
            <w:rFonts w:ascii="仿宋" w:eastAsia="仿宋" w:hAnsi="仿宋" w:cs="仿宋" w:hint="eastAsia"/>
            <w:lang w:eastAsia="zh-CN"/>
          </w:rPr>
          <w:t>(二)、研发规划与投入</w:t>
        </w:r>
        <w:r>
          <w:tab/>
        </w:r>
        <w:r>
          <w:fldChar w:fldCharType="begin"/>
        </w:r>
        <w:r>
          <w:instrText xml:space="preserve"> PAGEREF _Toc2514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7" w:history="1">
        <w:r>
          <w:rPr>
            <w:rFonts w:ascii="仿宋" w:eastAsia="仿宋" w:hAnsi="仿宋" w:cs="仿宋" w:hint="eastAsia"/>
            <w:lang w:eastAsia="zh-CN"/>
          </w:rPr>
          <w:t>十一、压缩式城市垃圾收集车项目财务管理</w:t>
        </w:r>
        <w:r>
          <w:tab/>
        </w:r>
        <w:r>
          <w:fldChar w:fldCharType="begin"/>
        </w:r>
        <w:r>
          <w:instrText xml:space="preserve"> PAGEREF _Toc4297 \h </w:instrText>
        </w:r>
        <w:r>
          <w:fldChar w:fldCharType="separate"/>
        </w:r>
        <w:r>
          <w:t>39</w:t>
        </w:r>
        <w:r>
          <w:fldChar w:fldCharType="end"/>
        </w:r>
      </w:hyperlink>
    </w:p>
    <w:p>
      <w:pPr>
        <w:pStyle w:val="TOC2"/>
        <w:tabs>
          <w:tab w:val="right" w:leader="dot" w:pos="8306"/>
        </w:tabs>
      </w:pPr>
      <w:hyperlink w:anchor="_Toc9555" w:history="1">
        <w:r>
          <w:rPr>
            <w:rFonts w:ascii="仿宋" w:eastAsia="仿宋" w:hAnsi="仿宋" w:cs="仿宋" w:hint="eastAsia"/>
            <w:lang w:eastAsia="zh-CN"/>
          </w:rPr>
          <w:t>(一)、资金需求大</w:t>
        </w:r>
        <w:r>
          <w:tab/>
        </w:r>
        <w:r>
          <w:fldChar w:fldCharType="begin"/>
        </w:r>
        <w:r>
          <w:instrText xml:space="preserve"> PAGEREF _Toc9555 \h </w:instrText>
        </w:r>
        <w:r>
          <w:fldChar w:fldCharType="separate"/>
        </w:r>
        <w:r>
          <w:t>39</w:t>
        </w:r>
        <w:r>
          <w:fldChar w:fldCharType="end"/>
        </w:r>
      </w:hyperlink>
    </w:p>
    <w:p>
      <w:pPr>
        <w:pStyle w:val="TOC2"/>
        <w:tabs>
          <w:tab w:val="right" w:leader="dot" w:pos="8306"/>
        </w:tabs>
      </w:pPr>
      <w:hyperlink w:anchor="_Toc18453" w:history="1">
        <w:r>
          <w:rPr>
            <w:rFonts w:ascii="仿宋" w:eastAsia="仿宋" w:hAnsi="仿宋" w:cs="仿宋" w:hint="eastAsia"/>
            <w:lang w:eastAsia="zh-CN"/>
          </w:rPr>
          <w:t>(二)、研发周期长</w:t>
        </w:r>
        <w:r>
          <w:tab/>
        </w:r>
        <w:r>
          <w:fldChar w:fldCharType="begin"/>
        </w:r>
        <w:r>
          <w:instrText xml:space="preserve"> PAGEREF _Toc18453 \h </w:instrText>
        </w:r>
        <w:r>
          <w:fldChar w:fldCharType="separate"/>
        </w:r>
        <w:r>
          <w:t>40</w:t>
        </w:r>
        <w:r>
          <w:fldChar w:fldCharType="end"/>
        </w:r>
      </w:hyperlink>
    </w:p>
    <w:p>
      <w:pPr>
        <w:pStyle w:val="TOC2"/>
        <w:tabs>
          <w:tab w:val="right" w:leader="dot" w:pos="8306"/>
        </w:tabs>
      </w:pPr>
      <w:hyperlink w:anchor="_Toc26780" w:history="1">
        <w:r>
          <w:rPr>
            <w:rFonts w:ascii="仿宋" w:eastAsia="仿宋" w:hAnsi="仿宋" w:cs="仿宋" w:hint="eastAsia"/>
            <w:lang w:eastAsia="zh-CN"/>
          </w:rPr>
          <w:t>(三)、市场风险大</w:t>
        </w:r>
        <w:r>
          <w:tab/>
        </w:r>
        <w:r>
          <w:fldChar w:fldCharType="begin"/>
        </w:r>
        <w:r>
          <w:instrText xml:space="preserve"> PAGEREF _Toc26780 \h </w:instrText>
        </w:r>
        <w:r>
          <w:fldChar w:fldCharType="separate"/>
        </w:r>
        <w:r>
          <w:t>41</w:t>
        </w:r>
        <w:r>
          <w:fldChar w:fldCharType="end"/>
        </w:r>
      </w:hyperlink>
    </w:p>
    <w:p>
      <w:pPr>
        <w:pStyle w:val="TOC2"/>
        <w:tabs>
          <w:tab w:val="right" w:leader="dot" w:pos="8306"/>
        </w:tabs>
      </w:pPr>
      <w:hyperlink w:anchor="_Toc11990" w:history="1">
        <w:r>
          <w:rPr>
            <w:rFonts w:ascii="仿宋" w:eastAsia="仿宋" w:hAnsi="仿宋" w:cs="仿宋" w:hint="eastAsia"/>
            <w:lang w:eastAsia="zh-CN"/>
          </w:rPr>
          <w:t>(四)、利润率高</w:t>
        </w:r>
        <w:r>
          <w:tab/>
        </w:r>
        <w:r>
          <w:fldChar w:fldCharType="begin"/>
        </w:r>
        <w:r>
          <w:instrText xml:space="preserve"> PAGEREF _Toc11990 \h </w:instrText>
        </w:r>
        <w:r>
          <w:fldChar w:fldCharType="separate"/>
        </w:r>
        <w:r>
          <w:t>44</w:t>
        </w:r>
        <w:r>
          <w:fldChar w:fldCharType="end"/>
        </w:r>
      </w:hyperlink>
    </w:p>
    <w:p>
      <w:pPr>
        <w:pStyle w:val="TOC1"/>
        <w:tabs>
          <w:tab w:val="right" w:leader="dot" w:pos="8306"/>
        </w:tabs>
      </w:pPr>
      <w:hyperlink w:anchor="_Toc24104" w:history="1">
        <w:r>
          <w:rPr>
            <w:rFonts w:ascii="仿宋" w:eastAsia="仿宋" w:hAnsi="仿宋" w:cs="仿宋" w:hint="eastAsia"/>
            <w:lang w:eastAsia="zh-CN"/>
          </w:rPr>
          <w:t>十二、压缩式城市垃圾收集车项目计划安排</w:t>
        </w:r>
        <w:r>
          <w:tab/>
        </w:r>
        <w:r>
          <w:fldChar w:fldCharType="begin"/>
        </w:r>
        <w:r>
          <w:instrText xml:space="preserve"> PAGEREF _Toc24104 \h </w:instrText>
        </w:r>
        <w:r>
          <w:fldChar w:fldCharType="separate"/>
        </w:r>
        <w:r>
          <w:t>46</w:t>
        </w:r>
        <w:r>
          <w:fldChar w:fldCharType="end"/>
        </w:r>
      </w:hyperlink>
    </w:p>
    <w:p>
      <w:pPr>
        <w:pStyle w:val="TOC2"/>
        <w:tabs>
          <w:tab w:val="right" w:leader="dot" w:pos="8306"/>
        </w:tabs>
      </w:pPr>
      <w:hyperlink w:anchor="_Toc7646" w:history="1">
        <w:r>
          <w:rPr>
            <w:rFonts w:ascii="仿宋" w:eastAsia="仿宋" w:hAnsi="仿宋" w:cs="仿宋" w:hint="eastAsia"/>
            <w:lang w:eastAsia="zh-CN"/>
          </w:rPr>
          <w:t>(一)、建设周期</w:t>
        </w:r>
        <w:r>
          <w:tab/>
        </w:r>
        <w:r>
          <w:fldChar w:fldCharType="begin"/>
        </w:r>
        <w:r>
          <w:instrText xml:space="preserve"> PAGEREF _Toc7646 \h </w:instrText>
        </w:r>
        <w:r>
          <w:fldChar w:fldCharType="separate"/>
        </w:r>
        <w:r>
          <w:t>46</w:t>
        </w:r>
        <w:r>
          <w:fldChar w:fldCharType="end"/>
        </w:r>
      </w:hyperlink>
    </w:p>
    <w:p>
      <w:pPr>
        <w:pStyle w:val="TOC2"/>
        <w:tabs>
          <w:tab w:val="right" w:leader="dot" w:pos="8306"/>
        </w:tabs>
      </w:pPr>
      <w:hyperlink w:anchor="_Toc15015" w:history="1">
        <w:r>
          <w:rPr>
            <w:rFonts w:ascii="仿宋" w:eastAsia="仿宋" w:hAnsi="仿宋" w:cs="仿宋" w:hint="eastAsia"/>
            <w:lang w:eastAsia="zh-CN"/>
          </w:rPr>
          <w:t>(二)、建设进度</w:t>
        </w:r>
        <w:r>
          <w:tab/>
        </w:r>
        <w:r>
          <w:fldChar w:fldCharType="begin"/>
        </w:r>
        <w:r>
          <w:instrText xml:space="preserve"> PAGEREF _Toc15015 \h </w:instrText>
        </w:r>
        <w:r>
          <w:fldChar w:fldCharType="separate"/>
        </w:r>
        <w:r>
          <w:t>47</w:t>
        </w:r>
        <w:r>
          <w:fldChar w:fldCharType="end"/>
        </w:r>
      </w:hyperlink>
    </w:p>
    <w:p>
      <w:pPr>
        <w:pStyle w:val="TOC2"/>
        <w:tabs>
          <w:tab w:val="right" w:leader="dot" w:pos="8306"/>
        </w:tabs>
      </w:pPr>
      <w:hyperlink w:anchor="_Toc16830" w:history="1">
        <w:r>
          <w:rPr>
            <w:rFonts w:ascii="仿宋" w:eastAsia="仿宋" w:hAnsi="仿宋" w:cs="仿宋" w:hint="eastAsia"/>
            <w:lang w:eastAsia="zh-CN"/>
          </w:rPr>
          <w:t>(三)、进度安排注意事项</w:t>
        </w:r>
        <w:r>
          <w:tab/>
        </w:r>
        <w:r>
          <w:fldChar w:fldCharType="begin"/>
        </w:r>
        <w:r>
          <w:instrText xml:space="preserve"> PAGEREF _Toc16830 \h </w:instrText>
        </w:r>
        <w:r>
          <w:fldChar w:fldCharType="separate"/>
        </w:r>
        <w:r>
          <w:t>48</w:t>
        </w:r>
        <w:r>
          <w:fldChar w:fldCharType="end"/>
        </w:r>
      </w:hyperlink>
    </w:p>
    <w:p>
      <w:pPr>
        <w:pStyle w:val="TOC2"/>
        <w:tabs>
          <w:tab w:val="right" w:leader="dot" w:pos="8306"/>
        </w:tabs>
      </w:pPr>
      <w:hyperlink w:anchor="_Toc152" w:history="1">
        <w:r>
          <w:rPr>
            <w:rFonts w:ascii="仿宋" w:eastAsia="仿宋" w:hAnsi="仿宋" w:cs="仿宋" w:hint="eastAsia"/>
            <w:lang w:eastAsia="zh-CN"/>
          </w:rPr>
          <w:t>(四)、人力资源配置</w:t>
        </w:r>
        <w:r>
          <w:tab/>
        </w:r>
        <w:r>
          <w:fldChar w:fldCharType="begin"/>
        </w:r>
        <w:r>
          <w:instrText xml:space="preserve"> PAGEREF _Toc152 \h </w:instrText>
        </w:r>
        <w:r>
          <w:fldChar w:fldCharType="separate"/>
        </w:r>
        <w:r>
          <w:t>50</w:t>
        </w:r>
        <w:r>
          <w:fldChar w:fldCharType="end"/>
        </w:r>
      </w:hyperlink>
    </w:p>
    <w:p>
      <w:pPr>
        <w:pStyle w:val="TOC1"/>
        <w:tabs>
          <w:tab w:val="right" w:leader="dot" w:pos="8306"/>
        </w:tabs>
      </w:pPr>
      <w:hyperlink w:anchor="_Toc16988" w:history="1">
        <w:r>
          <w:rPr>
            <w:rFonts w:ascii="仿宋" w:eastAsia="仿宋" w:hAnsi="仿宋" w:cs="仿宋" w:hint="eastAsia"/>
            <w:lang w:eastAsia="zh-CN"/>
          </w:rPr>
          <w:t>十三、压缩式城市垃圾收集车项目治理与监督</w:t>
        </w:r>
        <w:r>
          <w:tab/>
        </w:r>
        <w:r>
          <w:fldChar w:fldCharType="begin"/>
        </w:r>
        <w:r>
          <w:instrText xml:space="preserve"> PAGEREF _Toc16988 \h </w:instrText>
        </w:r>
        <w:r>
          <w:fldChar w:fldCharType="separate"/>
        </w:r>
        <w:r>
          <w:t>51</w:t>
        </w:r>
        <w:r>
          <w:fldChar w:fldCharType="end"/>
        </w:r>
      </w:hyperlink>
    </w:p>
    <w:p>
      <w:pPr>
        <w:pStyle w:val="TOC2"/>
        <w:tabs>
          <w:tab w:val="right" w:leader="dot" w:pos="8306"/>
        </w:tabs>
      </w:pPr>
      <w:hyperlink w:anchor="_Toc21000" w:history="1">
        <w:r>
          <w:rPr>
            <w:rFonts w:ascii="仿宋" w:eastAsia="仿宋" w:hAnsi="仿宋" w:cs="仿宋" w:hint="eastAsia"/>
            <w:lang w:eastAsia="zh-CN"/>
          </w:rPr>
          <w:t>(一)、压缩式城市垃圾收集车项目治理结构</w:t>
        </w:r>
        <w:r>
          <w:tab/>
        </w:r>
        <w:r>
          <w:fldChar w:fldCharType="begin"/>
        </w:r>
        <w:r>
          <w:instrText xml:space="preserve"> PAGEREF _Toc21000 \h </w:instrText>
        </w:r>
        <w:r>
          <w:fldChar w:fldCharType="separate"/>
        </w:r>
        <w:r>
          <w:t>51</w:t>
        </w:r>
        <w:r>
          <w:fldChar w:fldCharType="end"/>
        </w:r>
      </w:hyperlink>
    </w:p>
    <w:p>
      <w:pPr>
        <w:pStyle w:val="TOC2"/>
        <w:tabs>
          <w:tab w:val="right" w:leader="dot" w:pos="8306"/>
        </w:tabs>
      </w:pPr>
      <w:hyperlink w:anchor="_Toc29776" w:history="1">
        <w:r>
          <w:rPr>
            <w:rFonts w:ascii="仿宋" w:eastAsia="仿宋" w:hAnsi="仿宋" w:cs="仿宋" w:hint="eastAsia"/>
            <w:lang w:eastAsia="zh-CN"/>
          </w:rPr>
          <w:t>(二)、监督与审计</w:t>
        </w:r>
        <w:r>
          <w:tab/>
        </w:r>
        <w:r>
          <w:fldChar w:fldCharType="begin"/>
        </w:r>
        <w:r>
          <w:instrText xml:space="preserve"> PAGEREF _Toc29776 \h </w:instrText>
        </w:r>
        <w:r>
          <w:fldChar w:fldCharType="separate"/>
        </w:r>
        <w:r>
          <w:t>52</w:t>
        </w:r>
        <w:r>
          <w:fldChar w:fldCharType="end"/>
        </w:r>
      </w:hyperlink>
    </w:p>
    <w:p>
      <w:pPr>
        <w:pStyle w:val="TOC1"/>
        <w:tabs>
          <w:tab w:val="right" w:leader="dot" w:pos="8306"/>
        </w:tabs>
      </w:pPr>
      <w:hyperlink w:anchor="_Toc26880" w:history="1">
        <w:r>
          <w:rPr>
            <w:rFonts w:ascii="仿宋" w:eastAsia="仿宋" w:hAnsi="仿宋" w:cs="仿宋" w:hint="eastAsia"/>
            <w:lang w:eastAsia="zh-CN"/>
          </w:rPr>
          <w:t>十四、质量管理体系</w:t>
        </w:r>
        <w:r>
          <w:tab/>
        </w:r>
        <w:r>
          <w:fldChar w:fldCharType="begin"/>
        </w:r>
        <w:r>
          <w:instrText xml:space="preserve"> PAGEREF _Toc26880 \h </w:instrText>
        </w:r>
        <w:r>
          <w:fldChar w:fldCharType="separate"/>
        </w:r>
        <w:r>
          <w:t>54</w:t>
        </w:r>
        <w:r>
          <w:fldChar w:fldCharType="end"/>
        </w:r>
      </w:hyperlink>
    </w:p>
    <w:p>
      <w:pPr>
        <w:pStyle w:val="TOC2"/>
        <w:tabs>
          <w:tab w:val="right" w:leader="dot" w:pos="8306"/>
        </w:tabs>
      </w:pPr>
      <w:hyperlink w:anchor="_Toc18949" w:history="1">
        <w:r>
          <w:rPr>
            <w:rFonts w:ascii="仿宋" w:eastAsia="仿宋" w:hAnsi="仿宋" w:cs="仿宋" w:hint="eastAsia"/>
            <w:lang w:eastAsia="zh-CN"/>
          </w:rPr>
          <w:t>(一)、质量目标与方针</w:t>
        </w:r>
        <w:r>
          <w:tab/>
        </w:r>
        <w:r>
          <w:fldChar w:fldCharType="begin"/>
        </w:r>
        <w:r>
          <w:instrText xml:space="preserve"> PAGEREF _Toc18949 \h </w:instrText>
        </w:r>
        <w:r>
          <w:fldChar w:fldCharType="separate"/>
        </w:r>
        <w:r>
          <w:t>54</w:t>
        </w:r>
        <w:r>
          <w:fldChar w:fldCharType="end"/>
        </w:r>
      </w:hyperlink>
    </w:p>
    <w:p>
      <w:pPr>
        <w:pStyle w:val="TOC2"/>
        <w:tabs>
          <w:tab w:val="right" w:leader="dot" w:pos="8306"/>
        </w:tabs>
      </w:pPr>
      <w:hyperlink w:anchor="_Toc13477" w:history="1">
        <w:r>
          <w:rPr>
            <w:rFonts w:ascii="仿宋" w:eastAsia="仿宋" w:hAnsi="仿宋" w:cs="仿宋" w:hint="eastAsia"/>
            <w:lang w:eastAsia="zh-CN"/>
          </w:rPr>
          <w:t>(二)、质量管理责任</w:t>
        </w:r>
        <w:r>
          <w:tab/>
        </w:r>
        <w:r>
          <w:fldChar w:fldCharType="begin"/>
        </w:r>
        <w:r>
          <w:instrText xml:space="preserve"> PAGEREF _Toc13477 \h </w:instrText>
        </w:r>
        <w:r>
          <w:fldChar w:fldCharType="separate"/>
        </w:r>
        <w:r>
          <w:t>55</w:t>
        </w:r>
        <w:r>
          <w:fldChar w:fldCharType="end"/>
        </w:r>
      </w:hyperlink>
    </w:p>
    <w:p>
      <w:pPr>
        <w:pStyle w:val="TOC2"/>
        <w:tabs>
          <w:tab w:val="right" w:leader="dot" w:pos="8306"/>
        </w:tabs>
      </w:pPr>
      <w:hyperlink w:anchor="_Toc10986" w:history="1">
        <w:r>
          <w:rPr>
            <w:rFonts w:ascii="仿宋" w:eastAsia="仿宋" w:hAnsi="仿宋" w:cs="仿宋" w:hint="eastAsia"/>
            <w:lang w:eastAsia="zh-CN"/>
          </w:rPr>
          <w:t>(三)、质量管理体系文件</w:t>
        </w:r>
        <w:r>
          <w:tab/>
        </w:r>
        <w:r>
          <w:fldChar w:fldCharType="begin"/>
        </w:r>
        <w:r>
          <w:instrText xml:space="preserve"> PAGEREF _Toc10986 \h </w:instrText>
        </w:r>
        <w:r>
          <w:fldChar w:fldCharType="separate"/>
        </w:r>
        <w:r>
          <w:t>57</w:t>
        </w:r>
        <w:r>
          <w:fldChar w:fldCharType="end"/>
        </w:r>
      </w:hyperlink>
    </w:p>
    <w:p>
      <w:pPr>
        <w:pStyle w:val="TOC2"/>
        <w:tabs>
          <w:tab w:val="right" w:leader="dot" w:pos="8306"/>
        </w:tabs>
      </w:pPr>
      <w:hyperlink w:anchor="_Toc18457" w:history="1">
        <w:r>
          <w:rPr>
            <w:rFonts w:ascii="仿宋" w:eastAsia="仿宋" w:hAnsi="仿宋" w:cs="仿宋" w:hint="eastAsia"/>
            <w:lang w:eastAsia="zh-CN"/>
          </w:rPr>
          <w:t>(四)、质量培训与教育</w:t>
        </w:r>
        <w:r>
          <w:tab/>
        </w:r>
        <w:r>
          <w:fldChar w:fldCharType="begin"/>
        </w:r>
        <w:r>
          <w:instrText xml:space="preserve"> PAGEREF _Toc18457 \h </w:instrText>
        </w:r>
        <w:r>
          <w:fldChar w:fldCharType="separate"/>
        </w:r>
        <w:r>
          <w:t>59</w:t>
        </w:r>
        <w:r>
          <w:fldChar w:fldCharType="end"/>
        </w:r>
      </w:hyperlink>
    </w:p>
    <w:p>
      <w:pPr>
        <w:pStyle w:val="TOC2"/>
        <w:tabs>
          <w:tab w:val="right" w:leader="dot" w:pos="8306"/>
        </w:tabs>
      </w:pPr>
      <w:hyperlink w:anchor="_Toc18754" w:history="1">
        <w:r>
          <w:rPr>
            <w:rFonts w:ascii="仿宋" w:eastAsia="仿宋" w:hAnsi="仿宋" w:cs="仿宋" w:hint="eastAsia"/>
            <w:lang w:eastAsia="zh-CN"/>
          </w:rPr>
          <w:t>(五)、质量审核与评价</w:t>
        </w:r>
        <w:r>
          <w:tab/>
        </w:r>
        <w:r>
          <w:fldChar w:fldCharType="begin"/>
        </w:r>
        <w:r>
          <w:instrText xml:space="preserve"> PAGEREF _Toc18754 \h </w:instrText>
        </w:r>
        <w:r>
          <w:fldChar w:fldCharType="separate"/>
        </w:r>
        <w:r>
          <w:t>60</w:t>
        </w:r>
        <w:r>
          <w:fldChar w:fldCharType="end"/>
        </w:r>
      </w:hyperlink>
    </w:p>
    <w:p>
      <w:pPr>
        <w:pStyle w:val="TOC2"/>
        <w:tabs>
          <w:tab w:val="right" w:leader="dot" w:pos="8306"/>
        </w:tabs>
      </w:pPr>
      <w:hyperlink w:anchor="_Toc29082" w:history="1">
        <w:r>
          <w:rPr>
            <w:rFonts w:ascii="仿宋" w:eastAsia="仿宋" w:hAnsi="仿宋" w:cs="仿宋" w:hint="eastAsia"/>
            <w:lang w:eastAsia="zh-CN"/>
          </w:rPr>
          <w:t>(六)、不符合与纠正措施</w:t>
        </w:r>
        <w:r>
          <w:tab/>
        </w:r>
        <w:r>
          <w:fldChar w:fldCharType="begin"/>
        </w:r>
        <w:r>
          <w:instrText xml:space="preserve"> PAGEREF _Toc29082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95"/>
      <w:r>
        <w:rPr>
          <w:rFonts w:ascii="仿宋" w:eastAsia="仿宋" w:hAnsi="仿宋" w:cs="仿宋" w:hint="eastAsia"/>
          <w:sz w:val="28"/>
          <w:lang w:eastAsia="zh-CN"/>
        </w:rPr>
        <w:t>一、压缩式城市垃圾收集车项目建设背景及必要性分析</w:t>
      </w:r>
      <w:bookmarkEnd w:id="2"/>
    </w:p>
    <w:p>
      <w:pPr>
        <w:pStyle w:val="Heading2"/>
        <w:rPr>
          <w:rFonts w:ascii="仿宋" w:eastAsia="仿宋" w:hAnsi="仿宋" w:cs="仿宋" w:hint="eastAsia"/>
          <w:lang w:eastAsia="zh-CN"/>
        </w:rPr>
      </w:pPr>
      <w:bookmarkStart w:id="3" w:name="_Toc2079"/>
      <w:r>
        <w:rPr>
          <w:rFonts w:ascii="仿宋" w:eastAsia="仿宋" w:hAnsi="仿宋" w:cs="仿宋" w:hint="eastAsia"/>
          <w:lang w:eastAsia="zh-CN"/>
        </w:rPr>
        <w:t>(一)、压缩式城市垃圾收集车项目背景分析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缩式城市垃圾收集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缩式城市垃圾收集车项目在这个潮流中的定位。同时，我们将关注行业内涌现的新兴机遇，以便压缩式城市垃圾收集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缩式城市垃圾收集车项目提供了强大的发展动力。我们将聚焦于行业内最新的技术发展趋势，包括但不限于人工智能、大数据分析、物联网等领域。通过深度的技术研究，我们将确保压缩式城市垃圾收集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缩式城市垃圾收集车项目发展的源泉。我们将投入更多的精力对市场需求进行深入剖析，超越表面的需求，深入挖掘潜在的市场痛点和机遇。通过对市场需求的细致了解，压缩式城市垃圾收集车项目将更有针对性地设计解决方案，满足市场的多样化需求，从而更好地促进压缩式城市垃圾收集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缩式城市垃圾收集车项目战略至关重要。我们将对竞争态势进行更为深入的分析，包括但不限于市场份额、产品特点、客户满意度等多个维度。通过深度的竞争分析，压缩式城市垃圾收集车项目将能够更准确地把握市场脉搏，制定具有竞争力的压缩式城市垃圾收集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压缩式城市垃圾收集车项目的发展具有直接的影响。我们将进行更为全面的法规和政策分析，了解行业发展中的潜在法律风险和合规挑战。通过充分了解和遵守相关法规，压缩式城市垃圾收集车项目将确保在法律框架内合法合规运营，为压缩式城市垃圾收集车项目的稳健发展提供有力支持。</w:t>
      </w:r>
    </w:p>
    <w:p>
      <w:pPr>
        <w:pStyle w:val="Heading2"/>
        <w:ind w:firstLine="560" w:firstLineChars="200"/>
        <w:rPr>
          <w:rFonts w:ascii="仿宋" w:eastAsia="仿宋" w:hAnsi="仿宋" w:cs="仿宋" w:hint="eastAsia"/>
          <w:sz w:val="28"/>
          <w:lang w:eastAsia="zh-CN"/>
        </w:rPr>
      </w:pPr>
      <w:bookmarkStart w:id="4" w:name="_Toc23987"/>
      <w:r>
        <w:rPr>
          <w:rFonts w:ascii="仿宋" w:eastAsia="仿宋" w:hAnsi="仿宋" w:cs="仿宋" w:hint="eastAsia"/>
          <w:sz w:val="28"/>
          <w:lang w:eastAsia="zh-CN"/>
        </w:rPr>
        <w:t>(二)、压缩式城市垃圾收集车项目建设必要性分析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的迫切性源于对行业发展趋势的深刻洞察。我们正处于一个行业变革的时代，科技创新、数字化转型成为企业发展的关键动力。压缩式城市垃圾收集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不仅仅是为了跟上潮流，更是为了通过技术创新推动企业的持续发展。通过引入先进的技术和解决方案，压缩式城市垃圾收集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缩式城市垃圾收集车项目的建设成为必然选择，通过提高产品质量、拓展服务领域，从而在竞争中获得更多的机会。压缩式城市垃圾收集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缩式城市垃圾收集车项目建设的必要性体现在对客户需求更精准的满足。通过压缩式城市垃圾收集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的背后是对企业持续创新的追求。只有通过不断创新，企业才能在竞争中立于不败之地。压缩式城市垃圾收集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088"/>
      <w:r>
        <w:rPr>
          <w:rFonts w:ascii="仿宋" w:eastAsia="仿宋" w:hAnsi="仿宋" w:cs="仿宋" w:hint="eastAsia"/>
          <w:sz w:val="28"/>
          <w:lang w:eastAsia="zh-CN"/>
        </w:rPr>
        <w:t>二、压缩式城市垃圾收集车项目危机管理</w:t>
      </w:r>
      <w:bookmarkEnd w:id="5"/>
    </w:p>
    <w:p>
      <w:pPr>
        <w:pStyle w:val="Heading2"/>
        <w:rPr>
          <w:rFonts w:ascii="仿宋" w:eastAsia="仿宋" w:hAnsi="仿宋" w:cs="仿宋" w:hint="eastAsia"/>
          <w:lang w:eastAsia="zh-CN"/>
        </w:rPr>
      </w:pPr>
      <w:bookmarkStart w:id="6" w:name="_Toc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危机管理中，危机预警与识别是确保压缩式城市垃圾收集车项目稳健运行的核心步骤。通过建立全面的监测机制，压缩式城市垃圾收集车项目团队旨在及时发现和理解潜在的风险和危机因素，以便采取及时的预防和应对措施，确保压缩式城市垃圾收集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缩式城市垃圾收集车项目团队全面分析了整个压缩式城市垃圾收集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缩式城市垃圾收集车项目团队着重于明确定义压缩式城市垃圾收集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缩式城市垃圾收集车项目进展的持续监控，团队能够及时发现潜在问题并作出迅速反应。压缩式城市垃圾收集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缩式城市垃圾收集车项目得以更有序、可控地推进。</w:t>
      </w:r>
    </w:p>
    <w:p>
      <w:pPr>
        <w:pStyle w:val="Heading2"/>
        <w:ind w:firstLine="560" w:firstLineChars="200"/>
        <w:rPr>
          <w:rFonts w:ascii="仿宋" w:eastAsia="仿宋" w:hAnsi="仿宋" w:cs="仿宋" w:hint="eastAsia"/>
          <w:sz w:val="28"/>
          <w:lang w:eastAsia="zh-CN"/>
        </w:rPr>
      </w:pPr>
      <w:bookmarkStart w:id="7" w:name="_Toc186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在危机发生时，压缩式城市垃圾收集车项目团队立即行动，成立了应急小组。该小组的任务是迅速制定并实施紧急应对措施，以最小化潜在损失。以下是采取的主要措施：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暂停压缩式城市垃圾收集车项目进度：为遏制危机蔓延，压缩式城市垃圾收集车项目暂时停止进行，以便全面评估当前状况。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资源重新分配：重新评估压缩式城市垃圾收集车项目资源的分配，确保最大限度地减小损失。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实时沟通：与关键利益相关者建立实时沟通机制，向他们传递压缩式城市垃圾收集车项目危机的实际状况，保障压缩式城市垃圾收集车项目核心利益。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在紧急应对的同时，压缩式城市垃圾收集车项目团队强调了团队协作和有效沟通的重要性。以下是团队协作的关键举措：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信息共享机制：建立了信息共享平台，确保团队成员能够及时获取压缩式城市垃圾收集车项目危机的实时信息。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领导者沟通：压缩式城市垃圾收集车项目领导者通过定期会议和即时沟通工具，指导团队应对危机，保持团队稳定运行。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随着危机得到初步控制，压缩式城市垃圾收集车项目团队转向制定恢复计划，以确保压缩式城市垃圾收集车项目能够从中迅速恢复。主要恢复计划包括：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修复受损的进度计划：重新评估压缩式城市垃圾收集车项目进度，制定修复计划，确保压缩式城市垃圾收集车项目尽快回归正常进程。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重新调整资源分配：优化资源分配，确保压缩式城市垃圾收集车项目在有限资源下高效运转。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风险管理机制加强：对压缩式城市垃圾收集车项目风险进行全面评估，制定更强化的风险管理策略，以预防未来可能的危机。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325"/>
      <w:r>
        <w:rPr>
          <w:rFonts w:ascii="仿宋" w:eastAsia="仿宋" w:hAnsi="仿宋" w:cs="仿宋" w:hint="eastAsia"/>
          <w:sz w:val="28"/>
          <w:lang w:eastAsia="zh-CN"/>
        </w:rPr>
        <w:t>三、压缩式城市垃圾收集车项目土建工程</w:t>
      </w:r>
      <w:bookmarkEnd w:id="8"/>
    </w:p>
    <w:p>
      <w:pPr>
        <w:pStyle w:val="Heading2"/>
        <w:rPr>
          <w:rFonts w:ascii="仿宋" w:eastAsia="仿宋" w:hAnsi="仿宋" w:cs="仿宋" w:hint="eastAsia"/>
          <w:lang w:eastAsia="zh-CN"/>
        </w:rPr>
      </w:pPr>
      <w:bookmarkStart w:id="9" w:name="_Toc179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在压缩式城市垃圾收集车项目的建筑工程设计中，我们将秉承一系列重要的设计原则，以确保压缩式城市垃圾收集车项目建筑在功能、美观、可持续性等方面达到最佳效果。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首要原则是确保建筑的功能性得到最大化的发挥。我们将充分理解压缩式城市垃圾收集车项目的实际需求，合理布局各个功能区域，保证建筑在满足业务需求的同时，提供高效的工作环境。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在建筑设计中，我们将综合考虑建设和运营成本。通过精细的经济效益分析，确保设计方案在高效利用资源的同时，对压缩式城市垃圾收集车项目的长期盈利能力有积极的贡献。</w:t>
      </w:r>
    </w:p>
    <w:p>
      <w:pPr>
        <w:pStyle w:val="Heading2"/>
        <w:ind w:firstLine="560" w:firstLineChars="200"/>
        <w:rPr>
          <w:rFonts w:ascii="仿宋" w:eastAsia="仿宋" w:hAnsi="仿宋" w:cs="仿宋" w:hint="eastAsia"/>
          <w:sz w:val="28"/>
          <w:lang w:eastAsia="zh-CN"/>
        </w:rPr>
      </w:pPr>
      <w:bookmarkStart w:id="10" w:name="_Toc104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的土建工程设计中，我们将精准设定设计年限，结合压缩式城市垃圾收集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缩式城市垃圾收集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0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压缩式城市垃圾收集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缩式城市垃圾收集车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缩式城市垃圾收集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0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本期工程压缩式城市垃圾收集车项目预计总建筑面积XXX平方米，其中：计容建筑面积XXX平方米，计划建筑工程投资XX万元，占压缩式城市垃圾收集车项目总投资的XX%。</w:t>
      </w:r>
    </w:p>
    <w:p>
      <w:pPr>
        <w:pStyle w:val="Heading1"/>
        <w:ind w:firstLine="560" w:firstLineChars="200"/>
        <w:rPr>
          <w:rFonts w:ascii="仿宋" w:eastAsia="仿宋" w:hAnsi="仿宋" w:cs="仿宋" w:hint="eastAsia"/>
          <w:sz w:val="28"/>
          <w:lang w:eastAsia="zh-CN"/>
        </w:rPr>
      </w:pPr>
      <w:bookmarkStart w:id="13" w:name="_Toc17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1558"/>
      <w:r>
        <w:rPr>
          <w:rFonts w:ascii="仿宋" w:eastAsia="仿宋" w:hAnsi="仿宋" w:cs="仿宋" w:hint="eastAsia"/>
          <w:lang w:eastAsia="zh-CN"/>
        </w:rPr>
        <w:t>(一)、压缩式城市垃圾收集车行业分析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行业一直以来都是市场的关注焦点。行业内的发展趋势、竞争态势以及潜在机会都对压缩式城市垃圾收集车项目的推进产生深远的影响。通过深入研究行业的整体概貌，我们将更好地理解行业的核心特征，为压缩式城市垃圾收集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压缩式城市垃圾收集车行业，技术一直是推动创新和发展的关键因素。我们将对当前技术趋势进行详尽分析，包括但不限于人工智能、大数据应用、先进制造技术等。这有助于压缩式城市垃圾收集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缩式城市垃圾收集车项目成功的基础。我们将对主要竞争对手进行深入研究，包括其市场份额、产品特点、市场定位等。通过全面了解竞争对手的优势和劣势，压缩式城市垃圾收集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660"/>
      <w:r>
        <w:rPr>
          <w:rFonts w:ascii="仿宋" w:eastAsia="仿宋" w:hAnsi="仿宋" w:cs="仿宋" w:hint="eastAsia"/>
          <w:sz w:val="28"/>
          <w:lang w:eastAsia="zh-CN"/>
        </w:rPr>
        <w:t>(二)、压缩式城市垃圾收集车市场分析预测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缩式城市垃圾收集车市场未来的增长趋势。这包括市场的整体规模、各细分领域的发展趋势等。压缩式城市垃圾收集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缩式城市垃圾收集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缩式城市垃圾收集车项目实施过程中需要充分考虑的因素。我们将对市场风险进行全面评估，包括但不限于政策法规风险、市场竞争风险、技术变革风险等。通过对潜在风险的深入分析，压缩式城市垃圾收集车项目可以制定相应的风险缓解策略，降低不确定性对压缩式城市垃圾收集车项目的影响。</w:t>
      </w:r>
    </w:p>
    <w:p>
      <w:pPr>
        <w:pStyle w:val="Heading1"/>
        <w:ind w:firstLine="560" w:firstLineChars="200"/>
        <w:rPr>
          <w:rFonts w:ascii="仿宋" w:eastAsia="仿宋" w:hAnsi="仿宋" w:cs="仿宋" w:hint="eastAsia"/>
          <w:sz w:val="28"/>
          <w:lang w:eastAsia="zh-CN"/>
        </w:rPr>
      </w:pPr>
      <w:bookmarkStart w:id="16" w:name="_Toc3040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84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压缩式城市垃圾收集车项目的主要产品是XXXX，预计年产值为XXX万元。这一产品在市场中占据着重要的地位，其广泛的应用范围使得该压缩式城市垃圾收集车项目的市场前景非常广阔。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缩式城市垃圾收集车项目的xxx产品作为重要的原材料之一，将在多个领域发挥关键作用。其在建筑、交通、能源等方面的广泛应用将为整个产业链提供强大的支持，形成产业协同效应。压缩式城市垃圾收集车项目的年产值XXX万XXX万XXX万万元不仅反映了其在市场上的巨大潜力，更预示着它对国民经济的积极贡献。这种关联度高、涉及面广的产业关系，使得该压缩式城市垃圾收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21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总征地面积为XXXX平方米，相当于约XX.XX亩，其中净用地面积为XXXX平方米，红线范围内相当于约XX.XX亩。这一用地规模充分考虑了压缩式城市垃圾收集车项目的建设需求，保障了压缩式城市垃圾收集车项目在合适的空间内得以充分发展。压缩式城市垃圾收集车项目规划的总建筑面积为XXXX平方米，其中主体工程建设占XXXX平方米，计容建筑面积达XXXX平方米。预计建筑工程的投资将达到XXXX万元，为压缩式城市垃圾收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购置的设备共计XXXX台（套），设备购置费用为XXXX万元。这一设备购置计划充分考虑到压缩式城市垃圾收集车项目的生产需求和技术要求，确保了压缩式城市垃圾收集车项目在生产运营中具备先进的技术装备和高效的生产能力。设备的合理配置将为压缩式城市垃圾收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总投资为XXXX万元，预计年实现营业收入为XXXX万元。这一产能规模的设定旨在确保压缩式城市垃圾收集车项目能够在投资与回报之间取得平衡，实现长期可持续的发展。压缩式城市垃圾收集车项目的总投资充分考虑到各个方面的需求，包括用地建设、设备购置等多个环节，以确保压缩式城市垃圾收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69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12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的技术管理特点体现在其创新导向。通过引入最先进的技术趋势和解决方案，压缩式城市垃圾收集车项目致力于提升科技含量、提高质量和效率水平。这意味着我们将采用最新的工具和方法，确保压缩式城市垃圾收集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缩式城市垃圾收集车项目技术管理的显著特征。通过整合不同领域的技术资源，我们实现了跨学科的协同工作。这有助于优化技术架构，提高整体效能。此外，整合性策略还促进了不同技术团队之间的紧密沟通和高效合作，确保压缩式城市垃圾收集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缩式城市垃圾收集车项目所采用的技术。通过不断优化技术方案，压缩式城市垃圾收集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https://d.book118.com/676042035010010103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13D97"/>
    <w:rsid w:val="1B013D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420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2024-03-03T04:12:00Z</dcterms:created>
  <dcterms:modified xsi:type="dcterms:W3CDTF">2024-03-03T04:12:39Z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F8B30F2C50414D52AF3B267DB8244BAD_11</vt:lpwstr>
  </property>
  <property fmtid="{D5CDD505-2E9C-101B-9397-08002B2CF9AE}" pid="3" name="KSOProductBuildVer">
    <vt:lpwstr>2052-12.1.0.16388</vt:lpwstr>
  </property>
</Properties>
</file>