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23"/>
        </w:rPr>
      </w:pPr>
    </w:p>
    <w:p>
      <w:pPr>
        <w:pStyle w:val="Heading1"/>
        <w:spacing w:before="42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大肠癌早诊早治项目技术方案</w:t>
      </w:r>
    </w:p>
    <w:p>
      <w:pPr>
        <w:pStyle w:val="BodyText"/>
        <w:spacing w:before="2"/>
        <w:rPr>
          <w:rFonts w:ascii="华文中宋"/>
          <w:b/>
          <w:sz w:val="79"/>
        </w:rPr>
      </w:pPr>
    </w:p>
    <w:p>
      <w:pPr>
        <w:spacing w:before="0" w:line="338" w:lineRule="auto"/>
        <w:ind w:left="2580" w:right="2556" w:firstLine="719"/>
        <w:jc w:val="both"/>
        <w:rPr>
          <w:sz w:val="36"/>
        </w:rPr>
      </w:pPr>
      <w:r>
        <w:rPr>
          <w:spacing w:val="-8"/>
          <w:sz w:val="36"/>
        </w:rPr>
        <w:t>本项目在大肠癌高发区浙江嘉善、海宁开展大肠癌的筛查和早诊早治，筛查</w:t>
      </w:r>
      <w:r>
        <w:rPr>
          <w:spacing w:val="-11"/>
          <w:sz w:val="36"/>
        </w:rPr>
        <w:t xml:space="preserve">对象为 </w:t>
      </w:r>
      <w:r>
        <w:rPr>
          <w:sz w:val="36"/>
        </w:rPr>
        <w:t>40－74</w:t>
      </w:r>
      <w:r>
        <w:rPr>
          <w:spacing w:val="-4"/>
          <w:sz w:val="36"/>
        </w:rPr>
        <w:t xml:space="preserve"> 岁的当地居民</w:t>
      </w:r>
      <w:r>
        <w:rPr>
          <w:sz w:val="36"/>
        </w:rPr>
        <w:t>（</w:t>
      </w:r>
      <w:r>
        <w:rPr>
          <w:spacing w:val="-12"/>
          <w:sz w:val="36"/>
        </w:rPr>
        <w:t xml:space="preserve">包括 </w:t>
      </w:r>
      <w:r>
        <w:rPr>
          <w:sz w:val="36"/>
        </w:rPr>
        <w:t>40</w:t>
      </w:r>
      <w:r>
        <w:rPr>
          <w:spacing w:val="-11"/>
          <w:sz w:val="36"/>
        </w:rPr>
        <w:t xml:space="preserve"> 和 </w:t>
      </w:r>
      <w:r>
        <w:rPr>
          <w:sz w:val="36"/>
        </w:rPr>
        <w:t>74</w:t>
      </w:r>
      <w:r>
        <w:rPr>
          <w:spacing w:val="-9"/>
          <w:sz w:val="36"/>
        </w:rPr>
        <w:t xml:space="preserve"> 岁</w:t>
      </w:r>
      <w:r>
        <w:rPr>
          <w:spacing w:val="-180"/>
          <w:sz w:val="36"/>
        </w:rPr>
        <w:t>）</w:t>
      </w:r>
      <w:r>
        <w:rPr>
          <w:sz w:val="36"/>
        </w:rPr>
        <w:t>。采用危险因素数学模型评估问卷调查及粪便潜血（FOBT）检测做为初筛，结肠镜检查作为进一步检查的筛</w:t>
      </w:r>
      <w:r>
        <w:rPr>
          <w:spacing w:val="-12"/>
          <w:sz w:val="36"/>
        </w:rPr>
        <w:t>查方案进行大肠癌筛查。所有病变的诊断及转归的判定以内镜检查和病理检查结</w:t>
      </w:r>
      <w:r>
        <w:rPr>
          <w:spacing w:val="-15"/>
          <w:sz w:val="36"/>
        </w:rPr>
        <w:t>果为依据。以早诊率，死亡率为最终评价指标进行筛查效果的评价，同时进行卫</w:t>
      </w:r>
      <w:r>
        <w:rPr>
          <w:spacing w:val="-16"/>
          <w:sz w:val="36"/>
        </w:rPr>
        <w:t xml:space="preserve">生经济学评价，以对大肠癌的筛查方案作一全面评价，并进一步完善筛查方案， </w:t>
      </w:r>
      <w:r>
        <w:rPr>
          <w:sz w:val="36"/>
        </w:rPr>
        <w:t>提高早诊率，降低死亡率。</w:t>
      </w:r>
    </w:p>
    <w:p>
      <w:pPr>
        <w:spacing w:before="4" w:line="338" w:lineRule="auto"/>
        <w:ind w:left="2580" w:right="2673" w:firstLine="719"/>
        <w:jc w:val="both"/>
        <w:rPr>
          <w:sz w:val="36"/>
        </w:rPr>
      </w:pPr>
      <w:r>
        <w:rPr>
          <w:sz w:val="36"/>
        </w:rPr>
        <w:t>具体筛查人数：浙江嘉善 6000 人; 浙江海宁 6000 人，连续筛查 3 年，累计筛查人次共计 36000。</w:t>
      </w:r>
    </w:p>
    <w:p>
      <w:pPr>
        <w:spacing w:before="1"/>
        <w:ind w:left="3300" w:right="0" w:firstLine="0"/>
        <w:jc w:val="left"/>
        <w:rPr>
          <w:b/>
          <w:sz w:val="36"/>
        </w:rPr>
      </w:pPr>
      <w:r>
        <w:rPr>
          <w:b/>
          <w:sz w:val="36"/>
        </w:rPr>
        <w:t>一、人群的选择</w:t>
      </w:r>
    </w:p>
    <w:p>
      <w:pPr>
        <w:spacing w:before="272"/>
        <w:ind w:left="3300" w:right="0" w:firstLine="0"/>
        <w:jc w:val="left"/>
        <w:rPr>
          <w:sz w:val="36"/>
        </w:rPr>
      </w:pPr>
      <w:r>
        <w:rPr>
          <w:sz w:val="36"/>
        </w:rPr>
        <w:t>（一）队列的建立</w:t>
      </w:r>
    </w:p>
    <w:p>
      <w:pPr>
        <w:spacing w:before="273" w:line="338" w:lineRule="auto"/>
        <w:ind w:left="2580" w:right="2556" w:firstLine="719"/>
        <w:jc w:val="both"/>
        <w:rPr>
          <w:sz w:val="36"/>
        </w:rPr>
      </w:pPr>
      <w:r>
        <w:rPr>
          <w:spacing w:val="-8"/>
          <w:sz w:val="36"/>
        </w:rPr>
        <w:t>本项目是以人群为基础的早诊早治工作，要求项目开展前就要明确筛查人群</w:t>
      </w:r>
      <w:r>
        <w:rPr>
          <w:spacing w:val="-15"/>
          <w:sz w:val="36"/>
        </w:rPr>
        <w:t>以及对照人群。建议从当地公安机关户籍部门获得目标人群、对照人群的总人口并建立数据库，并随之开展项目覆盖县（区，乡）</w:t>
      </w:r>
      <w:r>
        <w:rPr>
          <w:spacing w:val="-16"/>
          <w:sz w:val="36"/>
        </w:rPr>
        <w:t>全人群的全死因监测。在全死</w:t>
      </w:r>
      <w:r>
        <w:rPr>
          <w:spacing w:val="-11"/>
          <w:sz w:val="36"/>
        </w:rPr>
        <w:t>因监测的基础上，重点做好肿瘤发病及死亡登记，肿瘤的发病及死亡登记质量按照《中国肿瘤登记工作指导手册》各项标准进行。</w:t>
      </w:r>
    </w:p>
    <w:p>
      <w:pPr>
        <w:spacing w:before="3"/>
        <w:ind w:left="3300" w:right="0" w:firstLine="0"/>
        <w:jc w:val="left"/>
        <w:rPr>
          <w:sz w:val="36"/>
        </w:rPr>
      </w:pPr>
      <w:r>
        <w:rPr>
          <w:sz w:val="36"/>
        </w:rPr>
        <w:t>（二）筛查人群的选择</w:t>
      </w:r>
    </w:p>
    <w:p>
      <w:pPr>
        <w:spacing w:before="272"/>
        <w:ind w:left="3300" w:right="0" w:firstLine="0"/>
        <w:jc w:val="left"/>
        <w:rPr>
          <w:sz w:val="36"/>
        </w:rPr>
      </w:pPr>
      <w:r>
        <w:rPr>
          <w:spacing w:val="-3"/>
          <w:sz w:val="36"/>
        </w:rPr>
        <w:t xml:space="preserve">在参加筛查的 </w:t>
      </w:r>
      <w:r>
        <w:rPr>
          <w:sz w:val="36"/>
        </w:rPr>
        <w:t>2</w:t>
      </w:r>
      <w:r>
        <w:rPr>
          <w:spacing w:val="-15"/>
          <w:sz w:val="36"/>
        </w:rPr>
        <w:t xml:space="preserve"> 个地区采用整群抽样的方法，各选取发病率和死亡率较高的</w:t>
      </w:r>
    </w:p>
    <w:p>
      <w:pPr>
        <w:spacing w:before="272"/>
        <w:ind w:left="2580" w:right="0" w:firstLine="0"/>
        <w:jc w:val="left"/>
        <w:rPr>
          <w:sz w:val="36"/>
        </w:rPr>
      </w:pPr>
      <w:r>
        <w:rPr>
          <w:sz w:val="36"/>
        </w:rPr>
        <w:t>区（乡）</w:t>
      </w:r>
      <w:r>
        <w:rPr>
          <w:spacing w:val="2"/>
          <w:sz w:val="36"/>
        </w:rPr>
        <w:t xml:space="preserve">和街道作为目标人群。筛查对象为 </w:t>
      </w:r>
      <w:r>
        <w:rPr>
          <w:sz w:val="36"/>
        </w:rPr>
        <w:t>40-74</w:t>
      </w:r>
      <w:r>
        <w:rPr>
          <w:spacing w:val="3"/>
          <w:sz w:val="36"/>
        </w:rPr>
        <w:t xml:space="preserve"> 岁的当地常住居民</w:t>
      </w:r>
      <w:r>
        <w:rPr>
          <w:sz w:val="36"/>
        </w:rPr>
        <w:t>（入选条</w:t>
      </w:r>
    </w:p>
    <w:p>
      <w:pPr>
        <w:spacing w:after="0"/>
        <w:jc w:val="left"/>
        <w:rPr>
          <w:sz w:val="36"/>
        </w:rPr>
        <w:sectPr>
          <w:footerReference w:type="default" r:id="rId4"/>
          <w:type w:val="continuous"/>
          <w:pgSz w:w="17860" w:h="25260"/>
          <w:pgMar w:top="2420" w:right="0" w:bottom="1980" w:left="120" w:header="708" w:footer="1795"/>
          <w:pgNumType w:start="34"/>
          <w:cols w:space="708"/>
        </w:sectPr>
      </w:pPr>
    </w:p>
    <w:p>
      <w:pPr>
        <w:spacing w:before="0" w:line="643" w:lineRule="exact"/>
        <w:ind w:left="2580" w:right="0" w:firstLine="0"/>
        <w:jc w:val="left"/>
        <w:rPr>
          <w:sz w:val="36"/>
        </w:rPr>
      </w:pPr>
      <w:r>
        <w:rPr>
          <w:sz w:val="36"/>
        </w:rPr>
        <w:t>件：无其他严重疾病，自愿参加并且能接受检查者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before="272" w:line="338" w:lineRule="auto"/>
        <w:ind w:left="2580" w:right="2516" w:firstLine="719"/>
        <w:jc w:val="left"/>
        <w:rPr>
          <w:sz w:val="36"/>
        </w:rPr>
      </w:pPr>
      <w:r>
        <w:rPr>
          <w:spacing w:val="-16"/>
          <w:sz w:val="36"/>
        </w:rPr>
        <w:t xml:space="preserve">一般 </w:t>
      </w:r>
      <w:r>
        <w:rPr>
          <w:sz w:val="36"/>
        </w:rPr>
        <w:t>40-74</w:t>
      </w:r>
      <w:r>
        <w:rPr>
          <w:spacing w:val="-2"/>
          <w:sz w:val="36"/>
        </w:rPr>
        <w:t xml:space="preserve"> 岁居民约占该地区总人口的</w:t>
      </w:r>
      <w:r>
        <w:rPr>
          <w:sz w:val="36"/>
        </w:rPr>
        <w:t>32%</w:t>
      </w:r>
      <w:r>
        <w:rPr>
          <w:spacing w:val="-24"/>
          <w:sz w:val="36"/>
        </w:rPr>
        <w:t xml:space="preserve">左右，按人群参与率 </w:t>
      </w:r>
      <w:r>
        <w:rPr>
          <w:sz w:val="36"/>
        </w:rPr>
        <w:t xml:space="preserve">70%计算， </w:t>
      </w:r>
      <w:r>
        <w:rPr>
          <w:spacing w:val="-2"/>
          <w:sz w:val="36"/>
        </w:rPr>
        <w:t xml:space="preserve">该筛查应覆盖人群数为 </w:t>
      </w:r>
      <w:r>
        <w:rPr>
          <w:sz w:val="36"/>
        </w:rPr>
        <w:t>26800</w:t>
      </w:r>
      <w:r>
        <w:rPr>
          <w:spacing w:val="-9"/>
          <w:sz w:val="36"/>
        </w:rPr>
        <w:t xml:space="preserve"> 人。两地区筛查覆盖人群合计 </w:t>
      </w:r>
      <w:r>
        <w:rPr>
          <w:sz w:val="36"/>
        </w:rPr>
        <w:t>53600</w:t>
      </w:r>
      <w:r>
        <w:rPr>
          <w:spacing w:val="-31"/>
          <w:sz w:val="36"/>
        </w:rPr>
        <w:t xml:space="preserve"> 人</w:t>
      </w:r>
      <w:r>
        <w:rPr>
          <w:sz w:val="36"/>
        </w:rPr>
        <w:t>（估算过</w:t>
      </w:r>
      <w:r>
        <w:rPr>
          <w:spacing w:val="-5"/>
          <w:sz w:val="36"/>
        </w:rPr>
        <w:t xml:space="preserve">程见图 </w:t>
      </w:r>
      <w:r>
        <w:rPr>
          <w:spacing w:val="1"/>
          <w:sz w:val="36"/>
        </w:rPr>
        <w:t>1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before="2" w:line="240" w:lineRule="auto"/>
        <w:rPr>
          <w:sz w:val="13"/>
        </w:rPr>
      </w:pPr>
      <w:r>
        <w:pict>
          <v:group id="_x0000_s1025" style="width:366pt;height:36pt;margin-top:14.04pt;margin-left:292pt;mso-position-horizontal-relative:page;mso-wrap-distance-left:0;mso-wrap-distance-right:0;position:absolute;z-index:-251658240" coordorigin="5840,281" coordsize="7320,7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320;height:720;left:5840;position:absolute;top:28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320;height:720;left:5840;position:absolute;top:280" filled="f" stroked="f">
              <v:textbox inset="0,0,0,0">
                <w:txbxContent>
                  <w:p>
                    <w:pPr>
                      <w:spacing w:before="141"/>
                      <w:ind w:left="1015" w:right="1028" w:firstLine="0"/>
                      <w:jc w:val="center"/>
                      <w:rPr>
                        <w:rFonts w:ascii="宋体" w:eastAsia="宋体" w:hint="eastAsia"/>
                        <w:b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b/>
                        <w:spacing w:val="-40"/>
                        <w:sz w:val="34"/>
                      </w:rPr>
                      <w:t xml:space="preserve">图 </w:t>
                    </w:r>
                    <w:r>
                      <w:rPr>
                        <w:rFonts w:ascii="Arial" w:eastAsia="Arial"/>
                        <w:b/>
                        <w:sz w:val="34"/>
                      </w:rPr>
                      <w:t>1</w:t>
                    </w:r>
                    <w:r>
                      <w:rPr>
                        <w:rFonts w:ascii="Arial" w:eastAsia="Arial"/>
                        <w:b/>
                        <w:spacing w:val="83"/>
                        <w:sz w:val="34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b/>
                        <w:sz w:val="34"/>
                      </w:rPr>
                      <w:t>筛查覆盖人群样本估算流程图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13"/>
        </w:rPr>
      </w:pPr>
      <w:r>
        <w:pict>
          <v:group id="_x0000_s1028" style="width:488pt;height:341pt;margin-top:14.12pt;margin-left:238pt;mso-position-horizontal-relative:page;mso-wrap-distance-left:0;mso-wrap-distance-right:0;position:absolute;z-index:-251657216" coordorigin="4760,282" coordsize="9760,6820">
            <v:shape id="_x0000_s1029" type="#_x0000_t75" style="width:9760;height:6820;left:4760;position:absolute;top:282" stroked="f">
              <v:imagedata r:id="rId6" o:title=""/>
            </v:shape>
            <v:shape id="_x0000_s1030" type="#_x0000_t202" style="width:654;height:317;left:5127;position:absolute;top:48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6000</w:t>
                    </w:r>
                  </w:p>
                </w:txbxContent>
              </v:textbox>
            </v:shape>
            <v:shape id="_x0000_s1031" type="#_x0000_t202" style="width:7683;height:357;left:6661;position:absolute;top:48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．拟接受初筛对象数（危险因素数学模型评估</w:t>
                    </w:r>
                    <w:r>
                      <w:rPr>
                        <w:rFonts w:ascii="Arial" w:eastAsia="Arial"/>
                        <w:sz w:val="31"/>
                      </w:rPr>
                      <w:t>FOBT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32" type="#_x0000_t202" style="width:3524;height:357;left:5580;position:absolute;top:142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17"/>
                        <w:sz w:val="31"/>
                      </w:rPr>
                      <w:t xml:space="preserve">按人群 </w:t>
                    </w:r>
                    <w:r>
                      <w:rPr>
                        <w:rFonts w:ascii="Arial" w:eastAsia="Arial"/>
                        <w:sz w:val="31"/>
                      </w:rPr>
                      <w:t>70%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的依从性估计</w:t>
                    </w:r>
                  </w:p>
                </w:txbxContent>
              </v:textbox>
            </v:shape>
            <v:shape id="_x0000_s1033" type="#_x0000_t202" style="width:654;height:317;left:5127;position:absolute;top:240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8600</w:t>
                    </w:r>
                  </w:p>
                </w:txbxContent>
              </v:textbox>
            </v:shape>
            <v:shape id="_x0000_s1034" type="#_x0000_t202" style="width:3030;height:357;left:6661;position:absolute;top:259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．拟动员初筛对象数</w:t>
                    </w:r>
                  </w:p>
                </w:txbxContent>
              </v:textbox>
            </v:shape>
            <v:shape id="_x0000_s1035" type="#_x0000_t202" style="width:5670;height:357;left:5580;position:absolute;top:3530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40"/>
                        <w:sz w:val="31"/>
                      </w:rPr>
                      <w:t xml:space="preserve">按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40-74 </w:t>
                    </w:r>
                    <w:r>
                      <w:rPr>
                        <w:rFonts w:ascii="宋体" w:eastAsia="宋体" w:hint="eastAsia"/>
                        <w:spacing w:val="-9"/>
                        <w:sz w:val="31"/>
                      </w:rPr>
                      <w:t xml:space="preserve">岁居民年龄别构成比为 </w:t>
                    </w:r>
                    <w:r>
                      <w:rPr>
                        <w:rFonts w:ascii="Arial" w:eastAsia="Arial"/>
                        <w:sz w:val="31"/>
                      </w:rPr>
                      <w:t>32%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计算</w:t>
                    </w:r>
                  </w:p>
                </w:txbxContent>
              </v:textbox>
            </v:shape>
            <v:shape id="_x0000_s1036" type="#_x0000_t202" style="width:812;height:317;left:5047;position:absolute;top:432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26800</w:t>
                    </w:r>
                  </w:p>
                </w:txbxContent>
              </v:textbox>
            </v:shape>
            <v:shape id="_x0000_s1037" type="#_x0000_t202" style="width:4931;height:357;left:6661;position:absolute;top:44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．每个地区项目拟最终覆盖人群数</w:t>
                    </w:r>
                  </w:p>
                </w:txbxContent>
              </v:textbox>
            </v:shape>
            <v:shape id="_x0000_s1038" type="#_x0000_t202" style="width:1209;height:357;left:5580;position:absolute;top:5510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2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个地区</w:t>
                    </w:r>
                  </w:p>
                </w:txbxContent>
              </v:textbox>
            </v:shape>
            <v:shape id="_x0000_s1039" type="#_x0000_t202" style="width:812;height:317;left:5047;position:absolute;top:6310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53600</w:t>
                    </w:r>
                  </w:p>
                </w:txbxContent>
              </v:textbox>
            </v:shape>
            <v:shape id="_x0000_s1040" type="#_x0000_t202" style="width:4297;height:357;left:6661;position:absolute;top:644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．两个地区项目总覆盖人群数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16" w:line="240" w:lineRule="auto"/>
        <w:rPr>
          <w:sz w:val="24"/>
        </w:rPr>
      </w:pPr>
    </w:p>
    <w:p>
      <w:pPr>
        <w:spacing w:before="6"/>
        <w:ind w:left="3300" w:right="0" w:firstLine="0"/>
        <w:jc w:val="left"/>
        <w:rPr>
          <w:sz w:val="36"/>
        </w:rPr>
      </w:pPr>
      <w:r>
        <w:rPr>
          <w:sz w:val="36"/>
        </w:rPr>
        <w:t>（三）对照人群的选择</w:t>
      </w:r>
    </w:p>
    <w:p>
      <w:pPr>
        <w:spacing w:before="272" w:line="338" w:lineRule="auto"/>
        <w:ind w:left="2580" w:right="2556" w:firstLine="719"/>
        <w:jc w:val="both"/>
        <w:rPr>
          <w:sz w:val="36"/>
        </w:rPr>
      </w:pPr>
      <w:r>
        <w:rPr>
          <w:spacing w:val="-6"/>
          <w:sz w:val="36"/>
        </w:rPr>
        <w:t>对该地区全人口进行以肿瘤发病及死亡登记为主的全死因监测，以便最终评</w:t>
      </w:r>
      <w:r>
        <w:rPr>
          <w:spacing w:val="-13"/>
          <w:sz w:val="36"/>
        </w:rPr>
        <w:t>价筛查的绩效。同时在各筛查点分别选择一与筛查人数相当的对照区人群，以死亡率为最终评价指标与筛查区进行对比分析，以评价筛查效果。 对照人群的各种情况（饮食习惯、社会经济状况等）</w:t>
      </w:r>
      <w:r>
        <w:rPr>
          <w:spacing w:val="-14"/>
          <w:sz w:val="36"/>
        </w:rPr>
        <w:t>应尽可能与目标人群一致。对照人群应该</w:t>
      </w:r>
      <w:r>
        <w:rPr>
          <w:spacing w:val="-7"/>
          <w:sz w:val="36"/>
        </w:rPr>
        <w:t>与干预人群同时开展基线调查和危险因素的监测。对照人群中的基本信息</w:t>
      </w:r>
      <w:r>
        <w:rPr>
          <w:sz w:val="36"/>
        </w:rPr>
        <w:t>（包括人群的基本特征以及常见危险因素等）</w:t>
      </w:r>
      <w:r>
        <w:rPr>
          <w:spacing w:val="-5"/>
          <w:sz w:val="36"/>
        </w:rPr>
        <w:t xml:space="preserve">见附件 </w:t>
      </w:r>
      <w:r>
        <w:rPr>
          <w:sz w:val="36"/>
        </w:rPr>
        <w:t>4-9</w:t>
      </w:r>
      <w:r>
        <w:rPr>
          <w:spacing w:val="-2"/>
          <w:sz w:val="36"/>
        </w:rPr>
        <w:t xml:space="preserve">，健康知识调查见附件 </w:t>
      </w:r>
      <w:r>
        <w:rPr>
          <w:sz w:val="36"/>
        </w:rPr>
        <w:t>4-3。对照人群的选取可按镇或街道进行整群抽样。 对照人群和目标人群在地理上要</w:t>
      </w:r>
    </w:p>
    <w:p>
      <w:pPr>
        <w:spacing w:after="0" w:line="338" w:lineRule="auto"/>
        <w:jc w:val="both"/>
        <w:rPr>
          <w:sz w:val="36"/>
        </w:rPr>
        <w:sectPr>
          <w:footerReference w:type="default" r:id="rId7"/>
          <w:pgSz w:w="17860" w:h="25260"/>
          <w:pgMar w:top="1920" w:right="0" w:bottom="2020" w:left="120" w:header="0" w:footer="1795"/>
          <w:pgNumType w:start="35"/>
          <w:cols w:space="708"/>
        </w:sectPr>
      </w:pPr>
    </w:p>
    <w:p>
      <w:pPr>
        <w:spacing w:before="0" w:line="643" w:lineRule="exact"/>
        <w:ind w:left="351" w:right="329" w:firstLine="0"/>
        <w:jc w:val="center"/>
        <w:rPr>
          <w:sz w:val="36"/>
        </w:rPr>
      </w:pPr>
      <w:r>
        <w:rPr>
          <w:sz w:val="36"/>
        </w:rPr>
        <w:t>有一定的缓冲区，以避免对照人群中的某些人参加早诊早治项目而造成的偏倚。</w:t>
      </w:r>
    </w:p>
    <w:p>
      <w:pPr>
        <w:spacing w:after="0" w:line="643" w:lineRule="exact"/>
        <w:jc w:val="center"/>
        <w:rPr>
          <w:sz w:val="36"/>
        </w:rPr>
        <w:sectPr>
          <w:footerReference w:type="default" r:id="rId8"/>
          <w:pgSz w:w="17860" w:h="25260"/>
          <w:pgMar w:top="1920" w:right="0" w:bottom="2020" w:left="120" w:header="0" w:footer="1795"/>
          <w:pgNumType w:start="36"/>
          <w:cols w:space="708"/>
        </w:sectPr>
      </w:pPr>
    </w:p>
    <w:p>
      <w:pPr>
        <w:pStyle w:val="Heading3"/>
        <w:spacing w:line="644" w:lineRule="exact"/>
        <w:ind w:left="3300"/>
      </w:pPr>
      <w:r>
        <w:t>二、筛查及早诊早治流程图</w:t>
      </w:r>
    </w:p>
    <w:p>
      <w:pPr>
        <w:spacing w:before="0" w:line="240" w:lineRule="auto"/>
        <w:rPr>
          <w:b/>
          <w:sz w:val="20"/>
        </w:rPr>
      </w:pPr>
    </w:p>
    <w:p>
      <w:pPr>
        <w:spacing w:before="15" w:line="240" w:lineRule="auto"/>
        <w:rPr>
          <w:b/>
          <w:sz w:val="29"/>
        </w:rPr>
      </w:pPr>
      <w:r>
        <w:pict>
          <v:group id="_x0000_s1041" style="width:470pt;height:36pt;margin-top:29.48pt;margin-left:198pt;mso-position-horizontal-relative:page;mso-wrap-distance-left:0;mso-wrap-distance-right:0;position:absolute;z-index:-251656192" coordorigin="3960,590" coordsize="9400,720">
            <v:shape id="_x0000_s1042" type="#_x0000_t75" style="width:9400;height:720;left:3960;position:absolute;top:589" stroked="f">
              <v:imagedata r:id="rId9" o:title=""/>
            </v:shape>
            <v:shape id="_x0000_s1043" type="#_x0000_t202" style="width:9400;height:720;left:3960;position:absolute;top:589" filled="f" stroked="f">
              <v:textbox inset="0,0,0,0">
                <w:txbxContent>
                  <w:p>
                    <w:pPr>
                      <w:tabs>
                        <w:tab w:val="left" w:pos="953"/>
                      </w:tabs>
                      <w:spacing w:before="141"/>
                      <w:ind w:left="0" w:right="306" w:firstLine="0"/>
                      <w:jc w:val="center"/>
                      <w:rPr>
                        <w:rFonts w:ascii="宋体" w:eastAsia="宋体" w:hint="eastAsia"/>
                        <w:b/>
                        <w:sz w:val="34"/>
                      </w:rPr>
                    </w:pPr>
                    <w:r>
                      <w:rPr>
                        <w:rFonts w:ascii="宋体" w:eastAsia="宋体" w:hint="eastAsia"/>
                        <w:b/>
                        <w:sz w:val="34"/>
                      </w:rPr>
                      <w:t>图</w:t>
                    </w:r>
                    <w:r>
                      <w:rPr>
                        <w:rFonts w:ascii="宋体" w:eastAsia="宋体" w:hint="eastAsia"/>
                        <w:b/>
                        <w:spacing w:val="-86"/>
                        <w:sz w:val="34"/>
                      </w:rPr>
                      <w:t xml:space="preserve"> </w:t>
                    </w:r>
                    <w:r>
                      <w:rPr>
                        <w:rFonts w:ascii="Arial" w:eastAsia="Arial"/>
                        <w:b/>
                        <w:i/>
                        <w:sz w:val="34"/>
                      </w:rPr>
                      <w:t>2</w:t>
                      <w:tab/>
                    </w:r>
                    <w:r>
                      <w:rPr>
                        <w:rFonts w:ascii="宋体" w:eastAsia="宋体" w:hint="eastAsia"/>
                        <w:b/>
                        <w:sz w:val="34"/>
                      </w:rPr>
                      <w:t>筛查及早诊早治流程图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4" style="width:636pt;height:638pt;margin-top:88.48pt;margin-left:148pt;mso-position-horizontal-relative:page;mso-wrap-distance-left:0;mso-wrap-distance-right:0;position:absolute;z-index:-251655168" coordorigin="2960,1770" coordsize="12720,12760">
            <v:shape id="_x0000_s1045" type="#_x0000_t75" style="width:12720;height:12760;left:2960;position:absolute;top:1769" stroked="f">
              <v:imagedata r:id="rId10" o:title=""/>
            </v:shape>
            <v:shape id="_x0000_s1046" type="#_x0000_t202" style="width:5863;height:357;left:5736;position:absolute;top:196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8"/>
                        <w:sz w:val="31"/>
                      </w:rPr>
                      <w:t xml:space="preserve">注册登记筛查区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4</w:t>
                    </w:r>
                    <w:r>
                      <w:rPr>
                        <w:rFonts w:ascii="Arial" w:eastAsia="Arial"/>
                        <w:sz w:val="31"/>
                      </w:rPr>
                      <w:t>0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－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74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的符合条件的个体</w:t>
                    </w:r>
                  </w:p>
                </w:txbxContent>
              </v:textbox>
            </v:shape>
            <v:shape id="_x0000_s1047" type="#_x0000_t202" style="width:6040;height:317;left:5822;position:absolute;top:33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宣传教育，签署知情同意书，基本信息调查</w:t>
                    </w:r>
                  </w:p>
                </w:txbxContent>
              </v:textbox>
            </v:shape>
            <v:shape id="_x0000_s1048" type="#_x0000_t202" style="width:3188;height:317;left:7741;position:absolute;top:47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危险因素数学模型评估</w:t>
                    </w:r>
                  </w:p>
                </w:txbxContent>
              </v:textbox>
            </v:shape>
            <v:shape id="_x0000_s1049" type="#_x0000_t202" style="width:654;height:317;left:6539;position:absolute;top:5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阴性</w:t>
                    </w:r>
                  </w:p>
                </w:txbxContent>
              </v:textbox>
            </v:shape>
            <v:shape id="_x0000_s1050" type="#_x0000_t202" style="width:654;height:317;left:10665;position:absolute;top:5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阳性</w:t>
                    </w:r>
                  </w:p>
                </w:txbxContent>
              </v:textbox>
            </v:shape>
            <v:shape id="_x0000_s1051" type="#_x0000_t202" style="width:4286;height:317;left:3197;position:absolute;top:61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25"/>
                        <w:sz w:val="31"/>
                      </w:rPr>
                      <w:t>免疫法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FOBT</w:t>
                    </w:r>
                    <w:r>
                      <w:rPr>
                        <w:rFonts w:ascii="宋体" w:eastAsia="宋体" w:hint="eastAsia"/>
                        <w:spacing w:val="56"/>
                        <w:sz w:val="31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30"/>
                        <w:sz w:val="31"/>
                      </w:rPr>
                      <w:t xml:space="preserve"> 次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（间隔一周）</w:t>
                    </w:r>
                  </w:p>
                </w:txbxContent>
              </v:textbox>
            </v:shape>
            <v:shape id="_x0000_s1052" type="#_x0000_t202" style="width:654;height:317;left:3521;position:absolute;top:70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阴性</w:t>
                    </w:r>
                  </w:p>
                </w:txbxContent>
              </v:textbox>
            </v:shape>
            <v:shape id="_x0000_s1053" type="#_x0000_t202" style="width:654;height:317;left:6863;position:absolute;top:70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阳性</w:t>
                    </w:r>
                  </w:p>
                </w:txbxContent>
              </v:textbox>
            </v:shape>
            <v:shape id="_x0000_s1054" type="#_x0000_t202" style="width:1288;height:317;left:8854;position:absolute;top:76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直肠指检</w:t>
                    </w:r>
                  </w:p>
                </w:txbxContent>
              </v:textbox>
            </v:shape>
            <v:shape id="_x0000_s1055" type="#_x0000_t202" style="width:654;height:317;left:6874;position:absolute;top:83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阴性</w:t>
                    </w:r>
                  </w:p>
                </w:txbxContent>
              </v:textbox>
            </v:shape>
            <v:shape id="_x0000_s1056" type="#_x0000_t202" style="width:654;height:317;left:11000;position:absolute;top:84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阳性</w:t>
                    </w:r>
                  </w:p>
                </w:txbxContent>
              </v:textbox>
            </v:shape>
            <v:shape id="_x0000_s1057" type="#_x0000_t202" style="width:1604;height:317;left:6856;position:absolute;top:90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结肠镜检查</w:t>
                    </w:r>
                  </w:p>
                </w:txbxContent>
              </v:textbox>
            </v:shape>
            <v:shape id="_x0000_s1058" type="#_x0000_t202" style="width:654;height:317;left:5141;position:absolute;top:99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阴性</w:t>
                    </w:r>
                  </w:p>
                </w:txbxContent>
              </v:textbox>
            </v:shape>
            <v:shape id="_x0000_s1059" type="#_x0000_t202" style="width:654;height:317;left:8864;position:absolute;top:99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阳性</w:t>
                    </w:r>
                  </w:p>
                </w:txbxContent>
              </v:textbox>
            </v:shape>
            <v:shape id="_x0000_s1060" type="#_x0000_t202" style="width:1288;height:317;left:9693;position:absolute;top:10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临床诊治</w:t>
                    </w:r>
                  </w:p>
                </w:txbxContent>
              </v:textbox>
            </v:shape>
            <v:shape id="_x0000_s1061" type="#_x0000_t202" style="width:1921;height:317;left:7036;position:absolute;top:126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非肿瘤性息肉</w:t>
                    </w:r>
                  </w:p>
                </w:txbxContent>
              </v:textbox>
            </v:shape>
            <v:shape id="_x0000_s1062" type="#_x0000_t202" style="width:1604;height:317;left:10866;position:absolute;top:126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肿瘤性息肉</w:t>
                    </w:r>
                  </w:p>
                </w:txbxContent>
              </v:textbox>
            </v:shape>
            <v:shape id="_x0000_s1063" type="#_x0000_t202" style="width:337;height:317;left:14503;position:absolute;top:126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癌</w:t>
                    </w:r>
                  </w:p>
                </w:txbxContent>
              </v:textbox>
            </v:shape>
            <v:shape id="_x0000_s1064" type="#_x0000_t202" style="width:1288;height:317;left:4446;position:absolute;top:139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每年复查</w:t>
                    </w:r>
                  </w:p>
                </w:txbxContent>
              </v:textbox>
            </v:shape>
            <v:shape id="_x0000_s1065" type="#_x0000_t202" style="width:1442;height:357;left:7439;position:absolute;top:13940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随访（</w:t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66" type="#_x0000_t202" style="width:1442;height:357;left:10776;position:absolute;top:1400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随访（</w:t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67" type="#_x0000_t202" style="width:1442;height:357;left:13953;position:absolute;top:14004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随访（</w:t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4" w:line="240" w:lineRule="auto"/>
        <w:rPr>
          <w:b/>
          <w:sz w:val="21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9" w:line="240" w:lineRule="auto"/>
        <w:rPr>
          <w:b/>
          <w:sz w:val="18"/>
        </w:rPr>
      </w:pPr>
    </w:p>
    <w:p>
      <w:pPr>
        <w:spacing w:before="6"/>
        <w:ind w:left="2580" w:right="0" w:firstLine="0"/>
        <w:jc w:val="left"/>
        <w:rPr>
          <w:sz w:val="36"/>
        </w:rPr>
      </w:pPr>
      <w:r>
        <w:rPr>
          <w:sz w:val="36"/>
        </w:rPr>
        <w:t>注：1.调查表见筛查表格一，其阳性判断标准为符合以下任何一项或以上者：</w:t>
      </w:r>
    </w:p>
    <w:p>
      <w:pPr>
        <w:pStyle w:val="ListParagraph"/>
        <w:numPr>
          <w:ilvl w:val="0"/>
          <w:numId w:val="30"/>
        </w:numPr>
        <w:tabs>
          <w:tab w:val="left" w:pos="4774"/>
        </w:tabs>
        <w:spacing w:before="266" w:after="0" w:line="240" w:lineRule="auto"/>
        <w:ind w:left="4774" w:right="0" w:hanging="934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一级亲属患大肠癌史；</w:t>
      </w:r>
    </w:p>
    <w:p>
      <w:pPr>
        <w:pStyle w:val="ListParagraph"/>
        <w:numPr>
          <w:ilvl w:val="0"/>
          <w:numId w:val="30"/>
        </w:numPr>
        <w:tabs>
          <w:tab w:val="left" w:pos="4774"/>
        </w:tabs>
        <w:spacing w:before="261" w:after="0" w:line="240" w:lineRule="auto"/>
        <w:ind w:left="4774" w:right="0" w:hanging="934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本人有癌症史或肠息肉史；</w:t>
      </w:r>
    </w:p>
    <w:p>
      <w:pPr>
        <w:pStyle w:val="ListParagraph"/>
        <w:numPr>
          <w:ilvl w:val="0"/>
          <w:numId w:val="30"/>
        </w:numPr>
        <w:tabs>
          <w:tab w:val="left" w:pos="4774"/>
        </w:tabs>
        <w:spacing w:before="262" w:after="0" w:line="336" w:lineRule="auto"/>
        <w:ind w:left="4560" w:right="2513" w:hanging="72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15"/>
          <w:sz w:val="36"/>
        </w:rPr>
        <w:t>同时具有以下两项及两项以上者：慢性便秘、慢性腹泻、粘液血便</w:t>
      </w:r>
      <w:r>
        <w:rPr>
          <w:rFonts w:ascii="微软雅黑" w:eastAsia="微软雅黑" w:hint="eastAsia"/>
          <w:spacing w:val="-10"/>
          <w:sz w:val="36"/>
        </w:rPr>
        <w:t>、不良生活事件史</w:t>
      </w:r>
      <w:r>
        <w:rPr>
          <w:rFonts w:ascii="微软雅黑" w:eastAsia="微软雅黑" w:hint="eastAsia"/>
          <w:sz w:val="36"/>
        </w:rPr>
        <w:t>（</w:t>
      </w:r>
      <w:r>
        <w:rPr>
          <w:rFonts w:ascii="微软雅黑" w:eastAsia="微软雅黑" w:hint="eastAsia"/>
          <w:spacing w:val="-7"/>
          <w:sz w:val="36"/>
        </w:rPr>
        <w:t>如离婚、近亲属死亡等</w:t>
      </w:r>
      <w:r>
        <w:rPr>
          <w:rFonts w:ascii="微软雅黑" w:eastAsia="微软雅黑" w:hint="eastAsia"/>
          <w:spacing w:val="-180"/>
          <w:sz w:val="36"/>
        </w:rPr>
        <w:t>）</w:t>
      </w:r>
      <w:r>
        <w:rPr>
          <w:rFonts w:ascii="微软雅黑" w:eastAsia="微软雅黑" w:hint="eastAsia"/>
          <w:spacing w:val="-7"/>
          <w:sz w:val="36"/>
        </w:rPr>
        <w:t>、慢性阑尾炎或阑尾切除</w:t>
      </w:r>
    </w:p>
    <w:p>
      <w:pPr>
        <w:spacing w:after="0" w:line="336" w:lineRule="auto"/>
        <w:jc w:val="left"/>
        <w:rPr>
          <w:rFonts w:hint="eastAsia"/>
          <w:sz w:val="36"/>
        </w:rPr>
        <w:sectPr>
          <w:footerReference w:type="default" r:id="rId11"/>
          <w:pgSz w:w="17860" w:h="25260"/>
          <w:pgMar w:top="1940" w:right="0" w:bottom="2020" w:left="120" w:header="0" w:footer="1795"/>
          <w:pgNumType w:start="37"/>
          <w:cols w:space="708"/>
        </w:sectPr>
      </w:pPr>
    </w:p>
    <w:p>
      <w:pPr>
        <w:spacing w:before="0" w:line="644" w:lineRule="exact"/>
        <w:ind w:left="4560" w:right="0" w:firstLine="0"/>
        <w:jc w:val="left"/>
        <w:rPr>
          <w:sz w:val="36"/>
        </w:rPr>
      </w:pPr>
      <w:r>
        <w:rPr>
          <w:sz w:val="36"/>
        </w:rPr>
        <w:t>史、慢性胆囊炎或胆结石史。</w:t>
      </w:r>
    </w:p>
    <w:p>
      <w:pPr>
        <w:pStyle w:val="ListParagraph"/>
        <w:numPr>
          <w:ilvl w:val="0"/>
          <w:numId w:val="28"/>
        </w:numPr>
        <w:tabs>
          <w:tab w:val="left" w:pos="3600"/>
        </w:tabs>
        <w:spacing w:before="262" w:after="0" w:line="240" w:lineRule="auto"/>
        <w:ind w:left="359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FOBT</w:t>
      </w:r>
      <w:r>
        <w:rPr>
          <w:rFonts w:ascii="微软雅黑" w:eastAsia="微软雅黑" w:hint="eastAsia"/>
          <w:spacing w:val="-7"/>
          <w:sz w:val="36"/>
        </w:rPr>
        <w:t xml:space="preserve"> 检查用免疫法，检查 </w:t>
      </w:r>
      <w:r>
        <w:rPr>
          <w:rFonts w:ascii="微软雅黑" w:eastAsia="微软雅黑" w:hint="eastAsia"/>
          <w:sz w:val="36"/>
        </w:rPr>
        <w:t>2</w:t>
      </w:r>
      <w:r>
        <w:rPr>
          <w:rFonts w:ascii="微软雅黑" w:eastAsia="微软雅黑" w:hint="eastAsia"/>
          <w:spacing w:val="-4"/>
          <w:sz w:val="36"/>
        </w:rPr>
        <w:t xml:space="preserve"> 次，间隔一周。</w:t>
      </w:r>
    </w:p>
    <w:p>
      <w:pPr>
        <w:pStyle w:val="ListParagraph"/>
        <w:numPr>
          <w:ilvl w:val="0"/>
          <w:numId w:val="28"/>
        </w:numPr>
        <w:tabs>
          <w:tab w:val="left" w:pos="3510"/>
        </w:tabs>
        <w:spacing w:before="265" w:after="0" w:line="240" w:lineRule="auto"/>
        <w:ind w:left="350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结肠镜检查为全结肠镜检查。</w:t>
      </w:r>
    </w:p>
    <w:p>
      <w:pPr>
        <w:pStyle w:val="ListParagraph"/>
        <w:numPr>
          <w:ilvl w:val="0"/>
          <w:numId w:val="28"/>
        </w:numPr>
        <w:tabs>
          <w:tab w:val="left" w:pos="3510"/>
        </w:tabs>
        <w:spacing w:before="262" w:after="0" w:line="240" w:lineRule="auto"/>
        <w:ind w:left="350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行肠镜检查前作直肠指检。</w:t>
      </w:r>
    </w:p>
    <w:p>
      <w:pPr>
        <w:pStyle w:val="ListParagraph"/>
        <w:numPr>
          <w:ilvl w:val="0"/>
          <w:numId w:val="28"/>
        </w:numPr>
        <w:tabs>
          <w:tab w:val="left" w:pos="3510"/>
        </w:tabs>
        <w:spacing w:before="261" w:after="0" w:line="333" w:lineRule="auto"/>
        <w:ind w:left="3750" w:right="2678" w:hanging="54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3"/>
          <w:sz w:val="36"/>
        </w:rPr>
        <w:t xml:space="preserve">对初筛检查阳性但进一步检查未发现肿瘤的高危人群，需每年参加 </w:t>
      </w:r>
      <w:r>
        <w:rPr>
          <w:rFonts w:ascii="微软雅黑" w:eastAsia="微软雅黑" w:hint="eastAsia"/>
          <w:spacing w:val="-5"/>
          <w:sz w:val="36"/>
        </w:rPr>
        <w:t xml:space="preserve">FOBT </w:t>
      </w:r>
      <w:r>
        <w:rPr>
          <w:rFonts w:ascii="微软雅黑" w:eastAsia="微软雅黑" w:hint="eastAsia"/>
          <w:sz w:val="36"/>
        </w:rPr>
        <w:t>复筛.</w:t>
      </w:r>
    </w:p>
    <w:p>
      <w:pPr>
        <w:pStyle w:val="ListParagraph"/>
        <w:numPr>
          <w:ilvl w:val="0"/>
          <w:numId w:val="28"/>
        </w:numPr>
        <w:tabs>
          <w:tab w:val="left" w:pos="3510"/>
        </w:tabs>
        <w:spacing w:before="10" w:after="0" w:line="240" w:lineRule="auto"/>
        <w:ind w:left="350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初筛阴性人群应每年复初筛至项目结束。</w:t>
      </w:r>
    </w:p>
    <w:p>
      <w:pPr>
        <w:pStyle w:val="ListParagraph"/>
        <w:numPr>
          <w:ilvl w:val="0"/>
          <w:numId w:val="28"/>
        </w:numPr>
        <w:tabs>
          <w:tab w:val="left" w:pos="3510"/>
        </w:tabs>
        <w:spacing w:before="258" w:after="0" w:line="240" w:lineRule="auto"/>
        <w:ind w:left="3509" w:right="0" w:hanging="300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z w:val="31"/>
        </w:rPr>
        <w:t>随访：</w:t>
      </w:r>
    </w:p>
    <w:p>
      <w:pPr>
        <w:pStyle w:val="ListParagraph"/>
        <w:numPr>
          <w:ilvl w:val="1"/>
          <w:numId w:val="28"/>
        </w:numPr>
        <w:tabs>
          <w:tab w:val="left" w:pos="4774"/>
        </w:tabs>
        <w:spacing w:before="242" w:after="0" w:line="240" w:lineRule="auto"/>
        <w:ind w:left="4774" w:right="0" w:hanging="934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2"/>
          <w:sz w:val="36"/>
        </w:rPr>
        <w:t xml:space="preserve">非肿瘤性息肉摘除后的随访为每 </w:t>
      </w:r>
      <w:r>
        <w:rPr>
          <w:rFonts w:ascii="微软雅黑" w:eastAsia="微软雅黑" w:hint="eastAsia"/>
          <w:sz w:val="36"/>
        </w:rPr>
        <w:t>3-5</w:t>
      </w:r>
      <w:r>
        <w:rPr>
          <w:rFonts w:ascii="微软雅黑" w:eastAsia="微软雅黑" w:hint="eastAsia"/>
          <w:spacing w:val="-4"/>
          <w:sz w:val="36"/>
        </w:rPr>
        <w:t xml:space="preserve"> 年肠镜随访一次；</w:t>
      </w:r>
    </w:p>
    <w:p>
      <w:pPr>
        <w:pStyle w:val="ListParagraph"/>
        <w:numPr>
          <w:ilvl w:val="1"/>
          <w:numId w:val="28"/>
        </w:numPr>
        <w:tabs>
          <w:tab w:val="left" w:pos="4774"/>
        </w:tabs>
        <w:spacing w:before="265" w:after="0" w:line="333" w:lineRule="auto"/>
        <w:ind w:left="3930" w:right="2697" w:hanging="9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9"/>
          <w:sz w:val="36"/>
        </w:rPr>
        <w:t>腺瘤性息肉切除后，高级别瘤变者随访应每年复查结肠镜；低级</w:t>
      </w:r>
      <w:r>
        <w:rPr>
          <w:rFonts w:ascii="微软雅黑" w:eastAsia="微软雅黑" w:hint="eastAsia"/>
          <w:spacing w:val="-6"/>
          <w:sz w:val="36"/>
        </w:rPr>
        <w:t xml:space="preserve">别者可每年复查 </w:t>
      </w:r>
      <w:r>
        <w:rPr>
          <w:rFonts w:ascii="微软雅黑" w:eastAsia="微软雅黑" w:hint="eastAsia"/>
          <w:spacing w:val="-10"/>
          <w:sz w:val="36"/>
        </w:rPr>
        <w:t>FOBT</w:t>
      </w:r>
      <w:r>
        <w:rPr>
          <w:rFonts w:ascii="微软雅黑" w:eastAsia="微软雅黑" w:hint="eastAsia"/>
          <w:spacing w:val="-3"/>
          <w:sz w:val="36"/>
        </w:rPr>
        <w:t>,每三年复查结肠镜。</w:t>
      </w:r>
    </w:p>
    <w:p>
      <w:pPr>
        <w:pStyle w:val="ListParagraph"/>
        <w:numPr>
          <w:ilvl w:val="1"/>
          <w:numId w:val="28"/>
        </w:numPr>
        <w:tabs>
          <w:tab w:val="left" w:pos="4774"/>
        </w:tabs>
        <w:spacing w:before="6" w:after="0" w:line="240" w:lineRule="auto"/>
        <w:ind w:left="4774" w:right="0" w:hanging="934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3"/>
          <w:sz w:val="36"/>
        </w:rPr>
        <w:t>肠道恶性肿瘤治疗后的随访每</w:t>
      </w:r>
      <w:r>
        <w:rPr>
          <w:rFonts w:ascii="微软雅黑" w:eastAsia="微软雅黑" w:hint="eastAsia"/>
          <w:sz w:val="36"/>
        </w:rPr>
        <w:t>6</w:t>
      </w:r>
      <w:r>
        <w:rPr>
          <w:rFonts w:ascii="微软雅黑" w:eastAsia="微软雅黑" w:hint="eastAsia"/>
          <w:spacing w:val="-4"/>
          <w:sz w:val="36"/>
        </w:rPr>
        <w:t xml:space="preserve"> 个月至</w:t>
      </w:r>
      <w:r>
        <w:rPr>
          <w:rFonts w:ascii="微软雅黑" w:eastAsia="微软雅黑" w:hint="eastAsia"/>
          <w:sz w:val="36"/>
        </w:rPr>
        <w:t>1</w:t>
      </w:r>
      <w:r>
        <w:rPr>
          <w:rFonts w:ascii="微软雅黑" w:eastAsia="微软雅黑" w:hint="eastAsia"/>
          <w:spacing w:val="-3"/>
          <w:sz w:val="36"/>
        </w:rPr>
        <w:t xml:space="preserve"> 年复查一次</w:t>
      </w:r>
      <w:r>
        <w:rPr>
          <w:rFonts w:ascii="微软雅黑" w:eastAsia="微软雅黑" w:hint="eastAsia"/>
          <w:sz w:val="36"/>
        </w:rPr>
        <w:t>CEA</w:t>
      </w:r>
      <w:r>
        <w:rPr>
          <w:rFonts w:ascii="微软雅黑" w:eastAsia="微软雅黑" w:hint="eastAsia"/>
          <w:spacing w:val="-5"/>
          <w:sz w:val="36"/>
        </w:rPr>
        <w:t xml:space="preserve"> 和FOBT</w:t>
      </w:r>
      <w:r>
        <w:rPr>
          <w:rFonts w:ascii="微软雅黑" w:eastAsia="微软雅黑" w:hint="eastAsia"/>
          <w:sz w:val="36"/>
        </w:rPr>
        <w:t>。</w:t>
      </w:r>
    </w:p>
    <w:p>
      <w:pPr>
        <w:pStyle w:val="Heading3"/>
        <w:spacing w:before="424"/>
        <w:ind w:left="3448"/>
      </w:pPr>
      <w:r>
        <w:t>三、筛查程序</w:t>
      </w:r>
    </w:p>
    <w:p>
      <w:pPr>
        <w:spacing w:before="272"/>
        <w:ind w:left="3300" w:right="0" w:firstLine="0"/>
        <w:jc w:val="left"/>
        <w:rPr>
          <w:sz w:val="36"/>
        </w:rPr>
      </w:pPr>
      <w:r>
        <w:rPr>
          <w:sz w:val="36"/>
        </w:rPr>
        <w:t>（一）知情同意</w:t>
      </w:r>
    </w:p>
    <w:p>
      <w:pPr>
        <w:spacing w:before="273" w:line="338" w:lineRule="auto"/>
        <w:ind w:left="2580" w:right="2697" w:firstLine="719"/>
        <w:jc w:val="both"/>
        <w:rPr>
          <w:sz w:val="36"/>
        </w:rPr>
      </w:pPr>
      <w:r>
        <w:rPr>
          <w:spacing w:val="-8"/>
          <w:sz w:val="36"/>
        </w:rPr>
        <w:t>所有参加筛查的群众都必须签署知情同意书。该程序包括两部分：首先，召</w:t>
      </w:r>
      <w:r>
        <w:rPr>
          <w:spacing w:val="-10"/>
          <w:sz w:val="36"/>
        </w:rPr>
        <w:t>集或入户访问参加筛查的对象，集中或分别宣讲筛查的目的、意义以及参加筛查</w:t>
      </w:r>
      <w:r>
        <w:rPr>
          <w:spacing w:val="-11"/>
          <w:sz w:val="36"/>
        </w:rPr>
        <w:t>的获益和可能的危险，告知知情同意书内容，回答群众的问题。最后在自愿的原</w:t>
      </w:r>
      <w:r>
        <w:rPr>
          <w:sz w:val="36"/>
        </w:rPr>
        <w:t>则下签署知情同意书（</w:t>
      </w:r>
      <w:r>
        <w:rPr>
          <w:spacing w:val="-4"/>
          <w:sz w:val="36"/>
        </w:rPr>
        <w:t xml:space="preserve">见附件 </w:t>
      </w:r>
      <w:r>
        <w:rPr>
          <w:spacing w:val="-1"/>
          <w:sz w:val="36"/>
        </w:rPr>
        <w:t>4-</w:t>
      </w:r>
      <w:r>
        <w:rPr>
          <w:spacing w:val="1"/>
          <w:sz w:val="36"/>
        </w:rPr>
        <w:t>1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before="2"/>
        <w:ind w:left="3300" w:right="0" w:firstLine="0"/>
        <w:jc w:val="left"/>
        <w:rPr>
          <w:sz w:val="36"/>
        </w:rPr>
      </w:pPr>
      <w:r>
        <w:rPr>
          <w:sz w:val="36"/>
        </w:rPr>
        <w:t>（二）问卷调查</w:t>
      </w:r>
    </w:p>
    <w:p>
      <w:pPr>
        <w:spacing w:before="273" w:line="338" w:lineRule="auto"/>
        <w:ind w:left="2580" w:right="2556" w:firstLine="719"/>
        <w:jc w:val="both"/>
        <w:rPr>
          <w:sz w:val="36"/>
        </w:rPr>
      </w:pPr>
      <w:r>
        <w:rPr>
          <w:sz w:val="36"/>
        </w:rPr>
        <w:t>包括危险因素数学模型评估问卷（见附件4-2）的调查和癌症知晓率（见附件 4-3）调查。知晓率调查包括对癌症综合知识和大肠癌防治知识调查两部分。知晓率调查应该在大肠癌筛查开始前就完成，可以在登记适龄人群时同时进行，</w:t>
      </w:r>
    </w:p>
    <w:p>
      <w:pPr>
        <w:spacing w:after="0" w:line="338" w:lineRule="auto"/>
        <w:jc w:val="both"/>
        <w:rPr>
          <w:sz w:val="36"/>
        </w:rPr>
        <w:sectPr>
          <w:footerReference w:type="default" r:id="rId12"/>
          <w:pgSz w:w="17860" w:h="25260"/>
          <w:pgMar w:top="1760" w:right="0" w:bottom="2020" w:left="120" w:header="0" w:footer="1795"/>
          <w:pgNumType w:start="38"/>
          <w:cols w:space="708"/>
        </w:sectPr>
      </w:pPr>
    </w:p>
    <w:p>
      <w:pPr>
        <w:spacing w:before="0" w:line="643" w:lineRule="exact"/>
        <w:ind w:left="2580" w:right="0" w:firstLine="0"/>
        <w:jc w:val="left"/>
        <w:rPr>
          <w:sz w:val="36"/>
        </w:rPr>
      </w:pPr>
      <w:r>
        <w:rPr>
          <w:sz w:val="36"/>
        </w:rPr>
        <w:t>以便准确了解开展早诊早治前当地群众的健康知识情况。危险因素数学模型评估</w:t>
      </w:r>
    </w:p>
    <w:p>
      <w:pPr>
        <w:spacing w:before="272" w:line="338" w:lineRule="auto"/>
        <w:ind w:left="2580" w:right="2697" w:firstLine="0"/>
        <w:jc w:val="left"/>
        <w:rPr>
          <w:sz w:val="36"/>
        </w:rPr>
      </w:pPr>
      <w:r>
        <w:rPr>
          <w:spacing w:val="-12"/>
          <w:sz w:val="36"/>
        </w:rPr>
        <w:t>问卷调查在正式筛查时进行，内容主要包括被调查者的基本个人信息和九个大肠</w:t>
      </w:r>
      <w:r>
        <w:rPr>
          <w:sz w:val="36"/>
        </w:rPr>
        <w:t>癌的高危因素。应保证调查的隐秘性和真实性。</w:t>
      </w:r>
    </w:p>
    <w:p>
      <w:pPr>
        <w:spacing w:before="1"/>
        <w:ind w:left="3300" w:right="0" w:firstLine="0"/>
        <w:jc w:val="left"/>
        <w:rPr>
          <w:sz w:val="36"/>
        </w:rPr>
      </w:pPr>
      <w:r>
        <w:rPr>
          <w:sz w:val="36"/>
        </w:rPr>
        <w:t>（三）粪便潜血试验（FOBT）</w:t>
      </w:r>
    </w:p>
    <w:p>
      <w:pPr>
        <w:spacing w:before="272" w:line="338" w:lineRule="auto"/>
        <w:ind w:left="2580" w:right="2692" w:firstLine="719"/>
        <w:jc w:val="both"/>
        <w:rPr>
          <w:sz w:val="36"/>
        </w:rPr>
      </w:pPr>
      <w:r>
        <w:rPr>
          <w:spacing w:val="2"/>
          <w:sz w:val="36"/>
        </w:rPr>
        <w:t xml:space="preserve">粪便潜血是最为常见的结直肠癌早期指标之一，但仅有 </w:t>
      </w:r>
      <w:r>
        <w:rPr>
          <w:sz w:val="36"/>
        </w:rPr>
        <w:t>50</w:t>
      </w:r>
      <w:r>
        <w:rPr>
          <w:spacing w:val="-2"/>
          <w:sz w:val="36"/>
        </w:rPr>
        <w:t>％的结直肠癌和</w:t>
      </w:r>
      <w:r>
        <w:rPr>
          <w:sz w:val="36"/>
        </w:rPr>
        <w:t>30％腺瘤隐血试验阳性，粪便潜血试验免疫法特异性高，阳性率较低，是一种比较简单、经济、无创、行之有效的检查方法， 对结直肠癌的筛选和早期诊断</w:t>
      </w:r>
      <w:r>
        <w:rPr>
          <w:spacing w:val="-9"/>
          <w:sz w:val="36"/>
        </w:rPr>
        <w:t xml:space="preserve">有不可替代的作用。为提高 </w:t>
      </w:r>
      <w:r>
        <w:rPr>
          <w:sz w:val="36"/>
        </w:rPr>
        <w:t>FOBT</w:t>
      </w:r>
      <w:r>
        <w:rPr>
          <w:spacing w:val="-12"/>
          <w:sz w:val="36"/>
        </w:rPr>
        <w:t xml:space="preserve"> 的准确性和阳性检出率，应在粪便各处多点采</w:t>
      </w:r>
      <w:r>
        <w:rPr>
          <w:spacing w:val="-13"/>
          <w:sz w:val="36"/>
        </w:rPr>
        <w:t xml:space="preserve">样后统一由化验人员进行免疫法 </w:t>
      </w:r>
      <w:r>
        <w:rPr>
          <w:sz w:val="36"/>
        </w:rPr>
        <w:t>FOBT</w:t>
      </w:r>
      <w:r>
        <w:rPr>
          <w:spacing w:val="-7"/>
          <w:sz w:val="36"/>
        </w:rPr>
        <w:t xml:space="preserve"> 检测，共检测 </w:t>
      </w:r>
      <w:r>
        <w:rPr>
          <w:sz w:val="36"/>
        </w:rPr>
        <w:t>2</w:t>
      </w:r>
      <w:r>
        <w:rPr>
          <w:spacing w:val="-4"/>
          <w:sz w:val="36"/>
        </w:rPr>
        <w:t xml:space="preserve"> 次，每次间隔一周。</w:t>
      </w:r>
    </w:p>
    <w:p>
      <w:pPr>
        <w:spacing w:before="3"/>
        <w:ind w:left="3300" w:right="0" w:firstLine="0"/>
        <w:jc w:val="left"/>
        <w:rPr>
          <w:sz w:val="36"/>
        </w:rPr>
      </w:pPr>
      <w:r>
        <w:rPr>
          <w:sz w:val="36"/>
        </w:rPr>
        <w:t>（四）直肠指检</w:t>
      </w:r>
    </w:p>
    <w:p>
      <w:pPr>
        <w:spacing w:before="272" w:line="338" w:lineRule="auto"/>
        <w:ind w:left="2580" w:right="2516" w:firstLine="719"/>
        <w:jc w:val="left"/>
        <w:rPr>
          <w:sz w:val="36"/>
        </w:rPr>
      </w:pPr>
      <w:r>
        <w:rPr>
          <w:spacing w:val="6"/>
          <w:sz w:val="36"/>
        </w:rPr>
        <w:t xml:space="preserve">危险因素数学模型评估阳性或 </w:t>
      </w:r>
      <w:r>
        <w:rPr>
          <w:sz w:val="36"/>
        </w:rPr>
        <w:t>FOBT 检测阳性的对象应作为大肠癌高危人</w:t>
      </w:r>
      <w:r>
        <w:rPr>
          <w:spacing w:val="-19"/>
          <w:sz w:val="36"/>
        </w:rPr>
        <w:t xml:space="preserve">群在肠镜检查前进行直肠指检。在我国，直肠癌占结直肠癌的 </w:t>
      </w:r>
      <w:r>
        <w:rPr>
          <w:sz w:val="36"/>
        </w:rPr>
        <w:t>50%～</w:t>
      </w:r>
      <w:r>
        <w:rPr>
          <w:spacing w:val="72"/>
          <w:sz w:val="36"/>
        </w:rPr>
        <w:t xml:space="preserve"> </w:t>
      </w:r>
      <w:r>
        <w:rPr>
          <w:sz w:val="36"/>
        </w:rPr>
        <w:t>60</w:t>
      </w:r>
      <w:r>
        <w:rPr>
          <w:spacing w:val="-4"/>
          <w:sz w:val="36"/>
        </w:rPr>
        <w:t xml:space="preserve">％左右， </w:t>
      </w:r>
      <w:r>
        <w:rPr>
          <w:spacing w:val="-9"/>
          <w:sz w:val="36"/>
        </w:rPr>
        <w:t xml:space="preserve">约 </w:t>
      </w:r>
      <w:r>
        <w:rPr>
          <w:sz w:val="36"/>
        </w:rPr>
        <w:t>70％～</w:t>
      </w:r>
      <w:r>
        <w:rPr>
          <w:spacing w:val="73"/>
          <w:sz w:val="36"/>
        </w:rPr>
        <w:t xml:space="preserve"> </w:t>
      </w:r>
      <w:r>
        <w:rPr>
          <w:sz w:val="36"/>
        </w:rPr>
        <w:t>80</w:t>
      </w:r>
      <w:r>
        <w:rPr>
          <w:spacing w:val="-11"/>
          <w:sz w:val="36"/>
        </w:rPr>
        <w:t>％的直肠癌可经直肠指诊发现。直肠指检简单易行，用来判断中下</w:t>
      </w:r>
      <w:r>
        <w:rPr>
          <w:spacing w:val="-18"/>
          <w:sz w:val="36"/>
        </w:rPr>
        <w:t>段直肠癌的周围组织侵犯情况和可切除性。直肠指检时根据检查需要受检者可取不同体位，如侧卧、仰卧截石位、膝胸位及蹲位。将全部食指伸入直肠，指尖依次按左右前后触诊，尤要警惕注意高位小的息肉。</w:t>
      </w:r>
    </w:p>
    <w:p>
      <w:pPr>
        <w:spacing w:before="3"/>
        <w:ind w:left="3300" w:right="0" w:firstLine="0"/>
        <w:jc w:val="left"/>
        <w:rPr>
          <w:sz w:val="36"/>
        </w:rPr>
      </w:pPr>
      <w:r>
        <w:rPr>
          <w:sz w:val="36"/>
        </w:rPr>
        <w:t>（五）肠镜检查</w:t>
      </w:r>
    </w:p>
    <w:p>
      <w:pPr>
        <w:spacing w:before="272" w:line="338" w:lineRule="auto"/>
        <w:ind w:left="2580" w:right="2697" w:firstLine="719"/>
        <w:jc w:val="left"/>
        <w:rPr>
          <w:sz w:val="36"/>
        </w:rPr>
      </w:pPr>
      <w:r>
        <w:rPr>
          <w:spacing w:val="-11"/>
          <w:sz w:val="36"/>
        </w:rPr>
        <w:t>对直肠指检阴性的对象，需要进行进一步的肠镜检查以明确诊断，检查按临</w:t>
      </w:r>
      <w:r>
        <w:rPr>
          <w:spacing w:val="-10"/>
          <w:sz w:val="36"/>
        </w:rPr>
        <w:t>床肠镜检查的处理程序进行，包括知情同意，家属陪同等，肠镜检查结果如实并</w:t>
      </w:r>
      <w:r>
        <w:rPr>
          <w:sz w:val="36"/>
        </w:rPr>
        <w:t>详细登记（肠镜检查的知情同意书，肠镜检查注意事项和结果登记表详见附件</w:t>
      </w:r>
      <w:r>
        <w:rPr>
          <w:spacing w:val="-1"/>
          <w:sz w:val="36"/>
        </w:rPr>
        <w:t>4-</w:t>
      </w:r>
      <w:r>
        <w:rPr>
          <w:sz w:val="36"/>
        </w:rPr>
        <w:t>5</w:t>
      </w:r>
      <w:r>
        <w:rPr>
          <w:spacing w:val="-8"/>
          <w:sz w:val="36"/>
        </w:rPr>
        <w:t xml:space="preserve"> 和附件 </w:t>
      </w:r>
      <w:r>
        <w:rPr>
          <w:spacing w:val="-1"/>
          <w:sz w:val="36"/>
        </w:rPr>
        <w:t>4-</w:t>
      </w:r>
      <w:r>
        <w:rPr>
          <w:spacing w:val="1"/>
          <w:sz w:val="36"/>
        </w:rPr>
        <w:t>6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Heading3"/>
        <w:spacing w:before="3"/>
      </w:pPr>
      <w:r>
        <w:t>四、标本处理及病理诊断</w:t>
      </w:r>
    </w:p>
    <w:p>
      <w:pPr>
        <w:spacing w:after="0"/>
        <w:sectPr>
          <w:footerReference w:type="default" r:id="rId13"/>
          <w:pgSz w:w="17860" w:h="25260"/>
          <w:pgMar w:top="1920" w:right="0" w:bottom="2020" w:left="120" w:header="0" w:footer="1795"/>
          <w:pgNumType w:start="39"/>
          <w:cols w:space="708"/>
        </w:sectPr>
      </w:pPr>
    </w:p>
    <w:p>
      <w:pPr>
        <w:spacing w:before="0" w:line="643" w:lineRule="exact"/>
        <w:ind w:left="3300" w:right="0" w:firstLine="0"/>
        <w:jc w:val="left"/>
        <w:rPr>
          <w:sz w:val="36"/>
        </w:rPr>
      </w:pPr>
      <w:r>
        <w:rPr>
          <w:sz w:val="36"/>
        </w:rPr>
        <w:t>（一） 标本处理</w:t>
      </w:r>
    </w:p>
    <w:p>
      <w:pPr>
        <w:spacing w:before="272" w:line="338" w:lineRule="auto"/>
        <w:ind w:left="2580" w:right="2691" w:firstLine="719"/>
        <w:jc w:val="left"/>
        <w:rPr>
          <w:sz w:val="36"/>
        </w:rPr>
      </w:pPr>
      <w:r>
        <w:rPr>
          <w:spacing w:val="-18"/>
          <w:sz w:val="36"/>
        </w:rPr>
        <w:t xml:space="preserve">活检标本取出时，立即将活检组织展平，使标本平铺贴附在纸上，置入 </w:t>
      </w:r>
      <w:r>
        <w:rPr>
          <w:spacing w:val="-4"/>
          <w:sz w:val="36"/>
        </w:rPr>
        <w:t xml:space="preserve">10％ </w:t>
      </w:r>
      <w:r>
        <w:rPr>
          <w:spacing w:val="1"/>
          <w:sz w:val="36"/>
        </w:rPr>
        <w:t xml:space="preserve">福尔马林中固定 </w:t>
      </w:r>
      <w:r>
        <w:rPr>
          <w:sz w:val="36"/>
        </w:rPr>
        <w:t>16</w:t>
      </w:r>
      <w:r>
        <w:rPr>
          <w:spacing w:val="5"/>
          <w:sz w:val="36"/>
        </w:rPr>
        <w:t xml:space="preserve"> 到 </w:t>
      </w:r>
      <w:r>
        <w:rPr>
          <w:sz w:val="36"/>
        </w:rPr>
        <w:t>24 个小时，然后进行包埋、切片、着色处理及读片。病理观察不满意时，应作连续切片。</w:t>
      </w:r>
    </w:p>
    <w:p>
      <w:pPr>
        <w:spacing w:before="1"/>
        <w:ind w:left="3300" w:right="0" w:firstLine="0"/>
        <w:jc w:val="left"/>
        <w:rPr>
          <w:sz w:val="36"/>
        </w:rPr>
      </w:pPr>
      <w:r>
        <w:rPr>
          <w:sz w:val="36"/>
        </w:rPr>
        <w:t>（二）病理诊断</w:t>
      </w:r>
    </w:p>
    <w:p>
      <w:pPr>
        <w:pStyle w:val="ListParagraph"/>
        <w:numPr>
          <w:ilvl w:val="0"/>
          <w:numId w:val="27"/>
        </w:numPr>
        <w:tabs>
          <w:tab w:val="left" w:pos="3600"/>
        </w:tabs>
        <w:spacing w:before="273" w:after="0" w:line="240" w:lineRule="auto"/>
        <w:ind w:left="359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癌前病变：包括异常隐窝、腺瘤和增生性（化生性）息肉。</w:t>
      </w:r>
    </w:p>
    <w:p>
      <w:pPr>
        <w:pStyle w:val="ListParagraph"/>
        <w:numPr>
          <w:ilvl w:val="0"/>
          <w:numId w:val="27"/>
        </w:numPr>
        <w:tabs>
          <w:tab w:val="left" w:pos="3600"/>
        </w:tabs>
        <w:spacing w:before="273" w:after="0" w:line="240" w:lineRule="auto"/>
        <w:ind w:left="359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腺瘤：这种癌前病变被定义为存在上皮内肿瘤。</w:t>
      </w:r>
    </w:p>
    <w:p>
      <w:pPr>
        <w:pStyle w:val="ListParagraph"/>
        <w:numPr>
          <w:ilvl w:val="1"/>
          <w:numId w:val="27"/>
        </w:numPr>
        <w:tabs>
          <w:tab w:val="left" w:pos="4594"/>
        </w:tabs>
        <w:spacing w:before="272" w:after="0" w:line="338" w:lineRule="auto"/>
        <w:ind w:left="2580" w:right="2678" w:firstLine="1079"/>
        <w:jc w:val="both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4"/>
          <w:sz w:val="36"/>
        </w:rPr>
        <w:t xml:space="preserve">大体检查分 </w:t>
      </w:r>
      <w:r>
        <w:rPr>
          <w:rFonts w:ascii="微软雅黑" w:eastAsia="微软雅黑" w:hint="eastAsia"/>
          <w:sz w:val="36"/>
        </w:rPr>
        <w:t>3</w:t>
      </w:r>
      <w:r>
        <w:rPr>
          <w:rFonts w:ascii="微软雅黑" w:eastAsia="微软雅黑" w:hint="eastAsia"/>
          <w:spacing w:val="-5"/>
          <w:sz w:val="36"/>
        </w:rPr>
        <w:t xml:space="preserve"> 类：隆起型、扁平型和凹陷型。隆起型腺瘤包括有蒂</w:t>
      </w:r>
      <w:r>
        <w:rPr>
          <w:rFonts w:ascii="微软雅黑" w:eastAsia="微软雅黑" w:hint="eastAsia"/>
          <w:spacing w:val="-10"/>
          <w:sz w:val="36"/>
        </w:rPr>
        <w:t>息肉和无蒂腺瘤，扁平型或非突起性腺瘤有黏膜变红、纹理有细微变化。凹陷型腺瘤常比扁平型或隆起型腺瘤小，有形成腺瘤的趋向。</w:t>
      </w:r>
    </w:p>
    <w:p>
      <w:pPr>
        <w:pStyle w:val="ListParagraph"/>
        <w:numPr>
          <w:ilvl w:val="1"/>
          <w:numId w:val="27"/>
        </w:numPr>
        <w:tabs>
          <w:tab w:val="left" w:pos="4594"/>
        </w:tabs>
        <w:spacing w:before="1" w:after="0" w:line="338" w:lineRule="auto"/>
        <w:ind w:left="2580" w:right="2697" w:firstLine="1079"/>
        <w:jc w:val="both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组织病理学分管状、绒毛状、管状绒毛状以及锯齿状腺瘤：绒毛状</w:t>
      </w:r>
      <w:r>
        <w:rPr>
          <w:rFonts w:ascii="微软雅黑" w:eastAsia="微软雅黑" w:hint="eastAsia"/>
          <w:spacing w:val="-12"/>
          <w:sz w:val="36"/>
        </w:rPr>
        <w:t>腺瘤典型为无蒂性息肉，表面呈毛发样外观。管状绒毛状腺瘤是由管状和绒毛状</w:t>
      </w:r>
      <w:r>
        <w:rPr>
          <w:rFonts w:ascii="微软雅黑" w:eastAsia="微软雅黑" w:hint="eastAsia"/>
          <w:sz w:val="36"/>
        </w:rPr>
        <w:t>结构混合而成。锯齿状腺瘤呈锯形牙齿状形态。</w:t>
      </w:r>
    </w:p>
    <w:p>
      <w:pPr>
        <w:pStyle w:val="ListParagraph"/>
        <w:numPr>
          <w:ilvl w:val="0"/>
          <w:numId w:val="27"/>
        </w:numPr>
        <w:tabs>
          <w:tab w:val="left" w:pos="3510"/>
        </w:tabs>
        <w:spacing w:before="2" w:after="0" w:line="343" w:lineRule="auto"/>
        <w:ind w:left="2580" w:right="2556" w:firstLine="629"/>
        <w:jc w:val="both"/>
        <w:rPr>
          <w:rFonts w:ascii="Bookman Old Style" w:eastAsia="Bookman Old Style" w:hAnsi="Bookman Old Style"/>
          <w:b w:val="0"/>
          <w:sz w:val="36"/>
        </w:rPr>
      </w:pPr>
      <w:r>
        <w:rPr>
          <w:rFonts w:ascii="微软雅黑" w:eastAsia="微软雅黑" w:hAnsi="微软雅黑" w:hint="eastAsia"/>
          <w:sz w:val="36"/>
        </w:rPr>
        <w:t>大肠癌：是肿瘤侵过黏膜肌层进入黏膜下层。具有腺癌形态学特点的病变</w:t>
      </w:r>
      <w:r>
        <w:rPr>
          <w:rFonts w:ascii="微软雅黑" w:eastAsia="微软雅黑" w:hAnsi="微软雅黑" w:hint="eastAsia"/>
          <w:spacing w:val="-8"/>
          <w:sz w:val="36"/>
        </w:rPr>
        <w:t>如果局限在上皮或仅侵及固有层，未浸润黏膜肌层进入黏膜下层，肿瘤无转移的</w:t>
      </w:r>
      <w:r>
        <w:rPr>
          <w:rFonts w:ascii="微软雅黑" w:eastAsia="微软雅黑" w:hAnsi="微软雅黑" w:hint="eastAsia"/>
          <w:spacing w:val="-22"/>
          <w:sz w:val="36"/>
        </w:rPr>
        <w:t>危险。因此，“高级别上皮内肿瘤”比“原位癌”的提法更合适，“黏膜内肿瘤”</w:t>
      </w:r>
      <w:r>
        <w:rPr>
          <w:rFonts w:ascii="微软雅黑" w:eastAsia="微软雅黑" w:hAnsi="微软雅黑" w:hint="eastAsia"/>
          <w:spacing w:val="-1"/>
          <w:sz w:val="36"/>
        </w:rPr>
        <w:t>比“黏膜内腺癌更”合适，有助于避免过度治疗。大肠癌的组织病理学分为：黏液腺癌，印戒细胞癌，腺鳞癌，髓样癌，未分化癌以及其他亚型。镜下形态标准</w:t>
      </w:r>
      <w:r>
        <w:rPr>
          <w:rFonts w:ascii="微软雅黑" w:eastAsia="微软雅黑" w:hAnsi="微软雅黑" w:hint="eastAsia"/>
          <w:spacing w:val="18"/>
          <w:sz w:val="36"/>
        </w:rPr>
        <w:t xml:space="preserve">详见 </w:t>
      </w:r>
      <w:r>
        <w:rPr>
          <w:rFonts w:ascii="微软雅黑" w:eastAsia="微软雅黑" w:hAnsi="微软雅黑" w:hint="eastAsia"/>
          <w:spacing w:val="2"/>
          <w:sz w:val="36"/>
        </w:rPr>
        <w:t>WHO</w:t>
      </w:r>
      <w:r>
        <w:rPr>
          <w:rFonts w:ascii="微软雅黑" w:eastAsia="微软雅黑" w:hAnsi="微软雅黑" w:hint="eastAsia"/>
          <w:spacing w:val="1"/>
          <w:sz w:val="36"/>
        </w:rPr>
        <w:t>《消化系统肿瘤病理学和遗传学》结肠和直肠肿瘤部分 (</w:t>
      </w:r>
      <w:r>
        <w:rPr>
          <w:rFonts w:ascii="Bookman Old Style" w:eastAsia="Bookman Old Style" w:hAnsi="Bookman Old Style"/>
          <w:b w:val="0"/>
          <w:sz w:val="36"/>
        </w:rPr>
        <w:t>The</w:t>
      </w:r>
      <w:r>
        <w:rPr>
          <w:rFonts w:ascii="Bookman Old Style" w:eastAsia="Bookman Old Style" w:hAnsi="Bookman Old Style"/>
          <w:b w:val="0"/>
          <w:spacing w:val="3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 xml:space="preserve">WHO </w:t>
      </w:r>
      <w:r>
        <w:rPr>
          <w:rFonts w:ascii="Bookman Old Style" w:eastAsia="Bookman Old Style" w:hAnsi="Bookman Old Style"/>
          <w:b w:val="0"/>
          <w:w w:val="90"/>
          <w:sz w:val="36"/>
        </w:rPr>
        <w:t>Classification</w:t>
      </w:r>
      <w:r>
        <w:rPr>
          <w:rFonts w:ascii="Bookman Old Style" w:eastAsia="Bookman Old Style" w:hAnsi="Bookman Old Style"/>
          <w:b w:val="0"/>
          <w:spacing w:val="-74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of</w:t>
      </w:r>
      <w:r>
        <w:rPr>
          <w:rFonts w:ascii="Bookman Old Style" w:eastAsia="Bookman Old Style" w:hAnsi="Bookman Old Style"/>
          <w:b w:val="0"/>
          <w:spacing w:val="-73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tumours.</w:t>
      </w:r>
      <w:r>
        <w:rPr>
          <w:rFonts w:ascii="Bookman Old Style" w:eastAsia="Bookman Old Style" w:hAnsi="Bookman Old Style"/>
          <w:b w:val="0"/>
          <w:spacing w:val="-74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Pathology</w:t>
      </w:r>
      <w:r>
        <w:rPr>
          <w:rFonts w:ascii="Bookman Old Style" w:eastAsia="Bookman Old Style" w:hAnsi="Bookman Old Style"/>
          <w:b w:val="0"/>
          <w:spacing w:val="-73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&amp;</w:t>
      </w:r>
      <w:r>
        <w:rPr>
          <w:rFonts w:ascii="Bookman Old Style" w:eastAsia="Bookman Old Style" w:hAnsi="Bookman Old Style"/>
          <w:b w:val="0"/>
          <w:spacing w:val="-74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Genetics</w:t>
      </w:r>
      <w:r>
        <w:rPr>
          <w:rFonts w:ascii="Bookman Old Style" w:eastAsia="Bookman Old Style" w:hAnsi="Bookman Old Style"/>
          <w:b w:val="0"/>
          <w:spacing w:val="-73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of</w:t>
      </w:r>
      <w:r>
        <w:rPr>
          <w:rFonts w:ascii="Bookman Old Style" w:eastAsia="Bookman Old Style" w:hAnsi="Bookman Old Style"/>
          <w:b w:val="0"/>
          <w:spacing w:val="-74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tumours</w:t>
      </w:r>
      <w:r>
        <w:rPr>
          <w:rFonts w:ascii="Bookman Old Style" w:eastAsia="Bookman Old Style" w:hAnsi="Bookman Old Style"/>
          <w:b w:val="0"/>
          <w:spacing w:val="-73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of</w:t>
      </w:r>
      <w:r>
        <w:rPr>
          <w:rFonts w:ascii="Bookman Old Style" w:eastAsia="Bookman Old Style" w:hAnsi="Bookman Old Style"/>
          <w:b w:val="0"/>
          <w:spacing w:val="-73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the</w:t>
      </w:r>
      <w:r>
        <w:rPr>
          <w:rFonts w:ascii="Bookman Old Style" w:eastAsia="Bookman Old Style" w:hAnsi="Bookman Old Style"/>
          <w:b w:val="0"/>
          <w:spacing w:val="-74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Digestive</w:t>
      </w:r>
      <w:r>
        <w:rPr>
          <w:rFonts w:ascii="Bookman Old Style" w:eastAsia="Bookman Old Style" w:hAnsi="Bookman Old Style"/>
          <w:b w:val="0"/>
          <w:spacing w:val="-73"/>
          <w:w w:val="9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36"/>
        </w:rPr>
        <w:t>System.</w:t>
      </w:r>
    </w:p>
    <w:p>
      <w:pPr>
        <w:spacing w:before="93"/>
        <w:ind w:left="2580" w:right="0" w:firstLine="0"/>
        <w:jc w:val="left"/>
        <w:rPr>
          <w:sz w:val="36"/>
        </w:rPr>
      </w:pPr>
      <w:r>
        <w:rPr>
          <w:rFonts w:ascii="Bookman Old Style" w:eastAsia="Bookman Old Style"/>
          <w:b w:val="0"/>
          <w:w w:val="95"/>
          <w:sz w:val="36"/>
        </w:rPr>
        <w:t>Edited by Stanley R. Hamilton, Lauri A. Aaltonen. IARC Press, Lyon, 2000</w:t>
      </w:r>
      <w:r>
        <w:rPr>
          <w:w w:val="95"/>
          <w:sz w:val="36"/>
        </w:rPr>
        <w:t>)。</w:t>
      </w:r>
    </w:p>
    <w:p>
      <w:pPr>
        <w:pStyle w:val="Heading3"/>
        <w:spacing w:before="42"/>
      </w:pPr>
      <w:r>
        <w:t>五、早期治疗原则</w:t>
      </w:r>
    </w:p>
    <w:p>
      <w:pPr>
        <w:spacing w:after="0"/>
        <w:sectPr>
          <w:footerReference w:type="default" r:id="rId14"/>
          <w:pgSz w:w="17860" w:h="25260"/>
          <w:pgMar w:top="1920" w:right="0" w:bottom="2000" w:left="120" w:header="0" w:footer="1795"/>
          <w:pgNumType w:start="40"/>
          <w:cols w:space="708"/>
        </w:sectPr>
      </w:pPr>
    </w:p>
    <w:p>
      <w:pPr>
        <w:spacing w:before="0" w:line="644" w:lineRule="exact"/>
        <w:ind w:left="3286" w:right="0" w:firstLine="0"/>
        <w:jc w:val="left"/>
        <w:rPr>
          <w:sz w:val="36"/>
        </w:rPr>
      </w:pPr>
      <w:r>
        <w:rPr>
          <w:sz w:val="36"/>
        </w:rPr>
        <w:t>肠镜检查中，一旦发现大肠内腺瘤或息肉样新生物，应手术摘除或切取病变</w:t>
      </w:r>
    </w:p>
    <w:p>
      <w:pPr>
        <w:spacing w:before="262" w:line="336" w:lineRule="auto"/>
        <w:ind w:left="2580" w:right="2556" w:firstLine="0"/>
        <w:jc w:val="both"/>
        <w:rPr>
          <w:sz w:val="36"/>
        </w:rPr>
      </w:pPr>
      <w:r>
        <w:rPr>
          <w:spacing w:val="-1"/>
          <w:sz w:val="36"/>
        </w:rPr>
        <w:t>组织做病理诊断以判别其良、恶性。对于有蒂或小的广蒂病变，若条件许可，可</w:t>
      </w:r>
      <w:r>
        <w:rPr>
          <w:spacing w:val="-6"/>
          <w:sz w:val="36"/>
        </w:rPr>
        <w:t>行镜下圈套摘除或扁平型内镜下黏膜切除并送病理检查。息肉较大者，行肠段切</w:t>
      </w:r>
      <w:r>
        <w:rPr>
          <w:spacing w:val="-14"/>
          <w:sz w:val="36"/>
        </w:rPr>
        <w:t>开摘除或肠段切除等并及时送病理诊断。手术治疗是目前大肠癌早期治疗确切有效的方法。</w:t>
      </w:r>
    </w:p>
    <w:p>
      <w:pPr>
        <w:pStyle w:val="Heading3"/>
        <w:spacing w:line="652" w:lineRule="exact"/>
      </w:pPr>
      <w:r>
        <w:t>六、大肠癌病例的临床分期调查</w:t>
      </w:r>
    </w:p>
    <w:p>
      <w:pPr>
        <w:spacing w:before="266" w:line="336" w:lineRule="auto"/>
        <w:ind w:left="2580" w:right="2696" w:firstLine="719"/>
        <w:jc w:val="both"/>
        <w:rPr>
          <w:sz w:val="36"/>
        </w:rPr>
      </w:pPr>
      <w:r>
        <w:rPr>
          <w:sz w:val="36"/>
        </w:rPr>
        <w:t>为比较筛查和临床检出病例的大肠癌分期状况（即早诊率</w:t>
      </w:r>
      <w:r>
        <w:rPr>
          <w:spacing w:val="-158"/>
          <w:sz w:val="36"/>
        </w:rPr>
        <w:t>）</w:t>
      </w:r>
      <w:r>
        <w:rPr>
          <w:sz w:val="36"/>
        </w:rPr>
        <w:t>，应调查对照区和筛查区的所有新发大肠癌病例的临床分期状况（</w:t>
      </w:r>
      <w:r>
        <w:rPr>
          <w:spacing w:val="-4"/>
          <w:sz w:val="36"/>
        </w:rPr>
        <w:t xml:space="preserve">调查表见附件  </w:t>
      </w:r>
      <w:r>
        <w:rPr>
          <w:spacing w:val="-1"/>
          <w:sz w:val="36"/>
        </w:rPr>
        <w:t>4-</w:t>
      </w:r>
      <w:r>
        <w:rPr>
          <w:spacing w:val="2"/>
          <w:sz w:val="36"/>
        </w:rPr>
        <w:t>8</w:t>
      </w:r>
      <w:r>
        <w:rPr>
          <w:spacing w:val="-180"/>
          <w:sz w:val="36"/>
        </w:rPr>
        <w:t>）</w:t>
      </w:r>
      <w:r>
        <w:rPr>
          <w:spacing w:val="-4"/>
          <w:sz w:val="36"/>
        </w:rPr>
        <w:t>，由经过</w:t>
      </w:r>
      <w:r>
        <w:rPr>
          <w:spacing w:val="-7"/>
          <w:sz w:val="36"/>
        </w:rPr>
        <w:t xml:space="preserve">培训的调查员进行调查，分期采用 </w:t>
      </w:r>
      <w:r>
        <w:rPr>
          <w:sz w:val="36"/>
        </w:rPr>
        <w:t>TNM</w:t>
      </w:r>
      <w:r>
        <w:rPr>
          <w:spacing w:val="-7"/>
          <w:sz w:val="36"/>
        </w:rPr>
        <w:t xml:space="preserve"> 临床分期标准(见附件 </w:t>
      </w:r>
      <w:r>
        <w:rPr>
          <w:spacing w:val="-15"/>
          <w:sz w:val="36"/>
        </w:rPr>
        <w:t>4-7</w:t>
      </w:r>
      <w:r>
        <w:rPr>
          <w:spacing w:val="-9"/>
          <w:sz w:val="36"/>
        </w:rPr>
        <w:t xml:space="preserve">，附件 </w:t>
      </w:r>
      <w:r>
        <w:rPr>
          <w:sz w:val="36"/>
        </w:rPr>
        <w:t xml:space="preserve">4-9-1 </w:t>
      </w:r>
      <w:r>
        <w:rPr>
          <w:spacing w:val="-5"/>
          <w:sz w:val="36"/>
        </w:rPr>
        <w:t xml:space="preserve">和附件 </w:t>
      </w:r>
      <w:r>
        <w:rPr>
          <w:spacing w:val="-1"/>
          <w:sz w:val="36"/>
        </w:rPr>
        <w:t>4-9-2</w:t>
      </w:r>
      <w:r>
        <w:rPr>
          <w:sz w:val="36"/>
        </w:rPr>
        <w:t>)。同时对大肠癌的治疗情况作一调查（</w:t>
      </w:r>
      <w:r>
        <w:rPr>
          <w:spacing w:val="-3"/>
          <w:sz w:val="36"/>
        </w:rPr>
        <w:t xml:space="preserve">调查表见附件 </w:t>
      </w:r>
      <w:r>
        <w:rPr>
          <w:spacing w:val="-1"/>
          <w:sz w:val="36"/>
        </w:rPr>
        <w:t>4-1</w:t>
      </w:r>
      <w:r>
        <w:rPr>
          <w:spacing w:val="3"/>
          <w:sz w:val="36"/>
        </w:rPr>
        <w:t>0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Heading3"/>
        <w:spacing w:line="652" w:lineRule="exact"/>
      </w:pPr>
      <w:r>
        <w:t>七、队列随访</w:t>
      </w:r>
    </w:p>
    <w:p>
      <w:pPr>
        <w:spacing w:before="420" w:line="338" w:lineRule="auto"/>
        <w:ind w:left="2580" w:right="2696" w:firstLine="719"/>
        <w:jc w:val="both"/>
        <w:rPr>
          <w:sz w:val="36"/>
        </w:rPr>
      </w:pPr>
      <w:r>
        <w:rPr>
          <w:sz w:val="36"/>
        </w:rPr>
        <w:t>（一</w:t>
      </w:r>
      <w:r>
        <w:rPr>
          <w:spacing w:val="-72"/>
          <w:sz w:val="36"/>
        </w:rPr>
        <w:t>）</w:t>
      </w:r>
      <w:r>
        <w:rPr>
          <w:spacing w:val="-4"/>
          <w:sz w:val="36"/>
        </w:rPr>
        <w:t>队列的随访包括目标人群的随访和对照人群的监测两部分。随访的主</w:t>
      </w:r>
      <w:r>
        <w:rPr>
          <w:spacing w:val="-8"/>
          <w:sz w:val="36"/>
        </w:rPr>
        <w:t>要工作是做好两个人群的肿瘤发病及死亡登记报告，减少漏报和错报，特别是对</w:t>
      </w:r>
      <w:r>
        <w:rPr>
          <w:spacing w:val="-1"/>
          <w:sz w:val="36"/>
        </w:rPr>
        <w:t xml:space="preserve">照人群的漏报和错报。肿瘤发病及死亡的分类和编码应使用 </w:t>
      </w:r>
      <w:r>
        <w:rPr>
          <w:sz w:val="36"/>
        </w:rPr>
        <w:t>ICD-10</w:t>
      </w:r>
      <w:r>
        <w:rPr>
          <w:spacing w:val="-3"/>
          <w:sz w:val="36"/>
        </w:rPr>
        <w:t>；诊断依据</w:t>
      </w:r>
      <w:r>
        <w:rPr>
          <w:spacing w:val="-2"/>
          <w:sz w:val="36"/>
        </w:rPr>
        <w:t xml:space="preserve">中组织学诊断的比例不低于 </w:t>
      </w:r>
      <w:r>
        <w:rPr>
          <w:sz w:val="36"/>
        </w:rPr>
        <w:t>70</w:t>
      </w:r>
      <w:r>
        <w:rPr>
          <w:spacing w:val="-2"/>
          <w:sz w:val="36"/>
        </w:rPr>
        <w:t xml:space="preserve">%；死亡医学证明的比例不高于 </w:t>
      </w:r>
      <w:r>
        <w:rPr>
          <w:sz w:val="36"/>
        </w:rPr>
        <w:t>2%。</w:t>
      </w:r>
    </w:p>
    <w:p>
      <w:pPr>
        <w:spacing w:before="0" w:line="507" w:lineRule="exact"/>
        <w:ind w:left="3300" w:right="0" w:firstLine="0"/>
        <w:jc w:val="left"/>
        <w:rPr>
          <w:sz w:val="36"/>
        </w:rPr>
      </w:pPr>
      <w:r>
        <w:rPr>
          <w:sz w:val="36"/>
        </w:rPr>
        <w:t>（二）各点除计算大肠癌粗发病率、死亡率外，还应计算中国调整率和世界</w:t>
      </w:r>
    </w:p>
    <w:p>
      <w:pPr>
        <w:spacing w:before="265" w:line="333" w:lineRule="auto"/>
        <w:ind w:left="2580" w:right="2687" w:firstLine="0"/>
        <w:jc w:val="left"/>
        <w:rPr>
          <w:sz w:val="36"/>
        </w:rPr>
      </w:pPr>
      <w:r>
        <w:rPr>
          <w:spacing w:val="-3"/>
          <w:sz w:val="36"/>
        </w:rPr>
        <w:t xml:space="preserve">调整率。中调率统一使用中国 </w:t>
      </w:r>
      <w:r>
        <w:rPr>
          <w:sz w:val="36"/>
        </w:rPr>
        <w:t>1982</w:t>
      </w:r>
      <w:r>
        <w:rPr>
          <w:spacing w:val="-6"/>
          <w:sz w:val="36"/>
        </w:rPr>
        <w:t xml:space="preserve"> 年人口构成数据，世调率统一使用 </w:t>
      </w:r>
      <w:r>
        <w:rPr>
          <w:sz w:val="36"/>
        </w:rPr>
        <w:t>1985</w:t>
      </w:r>
      <w:r>
        <w:rPr>
          <w:spacing w:val="-6"/>
          <w:sz w:val="36"/>
        </w:rPr>
        <w:t xml:space="preserve"> 年</w:t>
      </w:r>
      <w:r>
        <w:rPr>
          <w:spacing w:val="-7"/>
          <w:sz w:val="36"/>
        </w:rPr>
        <w:t xml:space="preserve">世界卫生组织公布的世界人口年龄构成(附件 </w:t>
      </w:r>
      <w:r>
        <w:rPr>
          <w:sz w:val="36"/>
        </w:rPr>
        <w:t>4-4)。结果写入年终报告。</w:t>
      </w:r>
    </w:p>
    <w:p>
      <w:pPr>
        <w:pStyle w:val="Heading3"/>
        <w:spacing w:before="165"/>
      </w:pPr>
      <w:r>
        <w:t>八、质量控制</w:t>
      </w:r>
    </w:p>
    <w:p>
      <w:pPr>
        <w:spacing w:before="273"/>
        <w:ind w:left="3300" w:right="0" w:firstLine="0"/>
        <w:jc w:val="left"/>
        <w:rPr>
          <w:sz w:val="36"/>
        </w:rPr>
      </w:pPr>
      <w:r>
        <w:rPr>
          <w:sz w:val="36"/>
        </w:rPr>
        <w:t>（一）流行病学部分</w:t>
      </w:r>
    </w:p>
    <w:p>
      <w:pPr>
        <w:pStyle w:val="ListParagraph"/>
        <w:numPr>
          <w:ilvl w:val="0"/>
          <w:numId w:val="26"/>
        </w:numPr>
        <w:tabs>
          <w:tab w:val="left" w:pos="3600"/>
        </w:tabs>
        <w:spacing w:before="272" w:after="0" w:line="338" w:lineRule="auto"/>
        <w:ind w:left="2580" w:right="2618" w:firstLine="719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1"/>
          <w:sz w:val="36"/>
        </w:rPr>
        <w:t>调查表中的每一个项目，严格按照编码说明进行调查和填写。填写内容统</w:t>
      </w:r>
      <w:r>
        <w:rPr>
          <w:rFonts w:ascii="微软雅黑" w:eastAsia="微软雅黑" w:hint="eastAsia"/>
          <w:sz w:val="36"/>
        </w:rPr>
        <w:t>一使用正楷汉字填写，避免使用草写、简写代替。</w:t>
      </w:r>
    </w:p>
    <w:p>
      <w:pPr>
        <w:spacing w:after="0" w:line="338" w:lineRule="auto"/>
        <w:jc w:val="left"/>
        <w:rPr>
          <w:rFonts w:hint="eastAsia"/>
          <w:sz w:val="36"/>
        </w:rPr>
        <w:sectPr>
          <w:footerReference w:type="default" r:id="rId15"/>
          <w:pgSz w:w="17860" w:h="25260"/>
          <w:pgMar w:top="1760" w:right="0" w:bottom="2040" w:left="120" w:header="0" w:footer="1795"/>
          <w:pgNumType w:start="41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3600"/>
        </w:tabs>
        <w:spacing w:before="0" w:after="0" w:line="643" w:lineRule="exact"/>
        <w:ind w:left="359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正式调查进行之前，培训调查员，应该根据当地实际情况，进行预调查。</w:t>
      </w:r>
    </w:p>
    <w:p>
      <w:pPr>
        <w:pStyle w:val="ListParagraph"/>
        <w:numPr>
          <w:ilvl w:val="0"/>
          <w:numId w:val="26"/>
        </w:numPr>
        <w:tabs>
          <w:tab w:val="left" w:pos="3600"/>
        </w:tabs>
        <w:spacing w:before="272" w:after="0" w:line="338" w:lineRule="auto"/>
        <w:ind w:left="2580" w:right="2618" w:firstLine="719"/>
        <w:jc w:val="both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1"/>
          <w:sz w:val="36"/>
        </w:rPr>
        <w:t>每天完成的调查表，要求在调查现场完成表格的初步审核，主要检查基本</w:t>
      </w:r>
      <w:r>
        <w:rPr>
          <w:rFonts w:ascii="微软雅黑" w:eastAsia="微软雅黑" w:hint="eastAsia"/>
          <w:spacing w:val="-12"/>
          <w:sz w:val="36"/>
        </w:rPr>
        <w:t>信息是否完整，补充不应有的空项、漏项，初步检查有无明显的填写错误或逻辑错误。</w:t>
      </w:r>
    </w:p>
    <w:p>
      <w:pPr>
        <w:pStyle w:val="ListParagraph"/>
        <w:numPr>
          <w:ilvl w:val="0"/>
          <w:numId w:val="26"/>
        </w:numPr>
        <w:tabs>
          <w:tab w:val="left" w:pos="3600"/>
        </w:tabs>
        <w:spacing w:before="1" w:after="0" w:line="338" w:lineRule="auto"/>
        <w:ind w:left="2580" w:right="2692" w:firstLine="719"/>
        <w:jc w:val="both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每天完成的调查表，要求随机抽取 2</w:t>
      </w:r>
      <w:r>
        <w:rPr>
          <w:rFonts w:ascii="微软雅黑" w:eastAsia="微软雅黑" w:hint="eastAsia"/>
          <w:spacing w:val="-1"/>
          <w:sz w:val="36"/>
        </w:rPr>
        <w:t>%进行复查，复查后各项目的符合率</w:t>
      </w:r>
      <w:r>
        <w:rPr>
          <w:rFonts w:ascii="微软雅黑" w:eastAsia="微软雅黑" w:hint="eastAsia"/>
          <w:spacing w:val="-4"/>
          <w:sz w:val="36"/>
        </w:rPr>
        <w:t xml:space="preserve">不得低于 </w:t>
      </w:r>
      <w:r>
        <w:rPr>
          <w:rFonts w:ascii="微软雅黑" w:eastAsia="微软雅黑" w:hint="eastAsia"/>
          <w:spacing w:val="-1"/>
          <w:sz w:val="36"/>
        </w:rPr>
        <w:t>90</w:t>
      </w:r>
      <w:r>
        <w:rPr>
          <w:rFonts w:ascii="微软雅黑" w:eastAsia="微软雅黑" w:hint="eastAsia"/>
          <w:sz w:val="36"/>
        </w:rPr>
        <w:t>%，并填写筛查日登记表（</w:t>
      </w:r>
      <w:r>
        <w:rPr>
          <w:rFonts w:ascii="微软雅黑" w:eastAsia="微软雅黑" w:hint="eastAsia"/>
          <w:spacing w:val="-7"/>
          <w:sz w:val="36"/>
        </w:rPr>
        <w:t xml:space="preserve">附件 </w:t>
      </w:r>
      <w:r>
        <w:rPr>
          <w:rFonts w:ascii="微软雅黑" w:eastAsia="微软雅黑" w:hint="eastAsia"/>
          <w:spacing w:val="-1"/>
          <w:sz w:val="36"/>
        </w:rPr>
        <w:t>4-1</w:t>
      </w:r>
      <w:r>
        <w:rPr>
          <w:rFonts w:ascii="微软雅黑" w:eastAsia="微软雅黑" w:hint="eastAsia"/>
          <w:spacing w:val="3"/>
          <w:sz w:val="36"/>
        </w:rPr>
        <w:t>1</w:t>
      </w:r>
      <w:r>
        <w:rPr>
          <w:rFonts w:ascii="微软雅黑" w:eastAsia="微软雅黑" w:hint="eastAsia"/>
          <w:spacing w:val="-180"/>
          <w:sz w:val="36"/>
        </w:rPr>
        <w:t>）</w:t>
      </w:r>
      <w:r>
        <w:rPr>
          <w:rFonts w:ascii="微软雅黑" w:eastAsia="微软雅黑" w:hint="eastAsia"/>
          <w:sz w:val="36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3600"/>
        </w:tabs>
        <w:spacing w:before="2" w:after="0" w:line="240" w:lineRule="auto"/>
        <w:ind w:left="359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设立调查质控小组长，负责该组的问卷调查质控工作。</w:t>
      </w:r>
    </w:p>
    <w:p>
      <w:pPr>
        <w:pStyle w:val="ListParagraph"/>
        <w:numPr>
          <w:ilvl w:val="0"/>
          <w:numId w:val="26"/>
        </w:numPr>
        <w:tabs>
          <w:tab w:val="left" w:pos="3600"/>
        </w:tabs>
        <w:spacing w:before="272" w:after="0" w:line="338" w:lineRule="auto"/>
        <w:ind w:left="2580" w:right="2696" w:firstLine="719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14"/>
          <w:sz w:val="36"/>
        </w:rPr>
        <w:t>数据要求两遍录入，然后以原始调查表为标准，校对两遍录入的资料， 整</w:t>
      </w:r>
      <w:r>
        <w:rPr>
          <w:rFonts w:ascii="微软雅黑" w:eastAsia="微软雅黑" w:hint="eastAsia"/>
          <w:sz w:val="36"/>
        </w:rPr>
        <w:t>理成最终数据库。</w:t>
      </w:r>
    </w:p>
    <w:p>
      <w:pPr>
        <w:spacing w:before="1"/>
        <w:ind w:left="3300" w:right="0" w:firstLine="0"/>
        <w:jc w:val="left"/>
        <w:rPr>
          <w:sz w:val="36"/>
        </w:rPr>
      </w:pPr>
      <w:r>
        <w:rPr>
          <w:sz w:val="36"/>
        </w:rPr>
        <w:t>（二）大便检查</w:t>
      </w:r>
    </w:p>
    <w:p>
      <w:pPr>
        <w:pStyle w:val="ListParagraph"/>
        <w:numPr>
          <w:ilvl w:val="0"/>
          <w:numId w:val="25"/>
        </w:numPr>
        <w:tabs>
          <w:tab w:val="left" w:pos="3600"/>
        </w:tabs>
        <w:spacing w:before="236" w:after="0" w:line="240" w:lineRule="auto"/>
        <w:ind w:left="359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1"/>
          <w:sz w:val="36"/>
        </w:rPr>
        <w:t xml:space="preserve">粪便标本收集人员：进行统一培训。标本应在 </w:t>
      </w:r>
      <w:r>
        <w:rPr>
          <w:rFonts w:ascii="微软雅黑" w:eastAsia="微软雅黑" w:hint="eastAsia"/>
          <w:sz w:val="36"/>
        </w:rPr>
        <w:t>8</w:t>
      </w:r>
      <w:r>
        <w:rPr>
          <w:rFonts w:ascii="微软雅黑" w:eastAsia="微软雅黑" w:hint="eastAsia"/>
          <w:spacing w:val="-4"/>
          <w:sz w:val="36"/>
        </w:rPr>
        <w:t xml:space="preserve"> 小时内送至检测点。</w:t>
      </w:r>
    </w:p>
    <w:p>
      <w:pPr>
        <w:pStyle w:val="ListParagraph"/>
        <w:numPr>
          <w:ilvl w:val="0"/>
          <w:numId w:val="25"/>
        </w:numPr>
        <w:tabs>
          <w:tab w:val="left" w:pos="3600"/>
        </w:tabs>
        <w:spacing w:before="57" w:after="0" w:line="261" w:lineRule="auto"/>
        <w:ind w:left="2580" w:right="2618" w:firstLine="719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pacing w:val="-1"/>
          <w:sz w:val="36"/>
        </w:rPr>
        <w:t>临床检验人员：进行上岗前的统一培训，严格按照试剂说明书操作，统一</w:t>
      </w:r>
      <w:r>
        <w:rPr>
          <w:rFonts w:ascii="微软雅黑" w:eastAsia="微软雅黑" w:hint="eastAsia"/>
          <w:spacing w:val="2"/>
          <w:sz w:val="36"/>
        </w:rPr>
        <w:t xml:space="preserve">阳性判断标准 ，标本应在 </w:t>
      </w:r>
      <w:r>
        <w:rPr>
          <w:rFonts w:ascii="微软雅黑" w:eastAsia="微软雅黑" w:hint="eastAsia"/>
          <w:sz w:val="36"/>
        </w:rPr>
        <w:t>24</w:t>
      </w:r>
      <w:r>
        <w:rPr>
          <w:rFonts w:ascii="微软雅黑" w:eastAsia="微软雅黑" w:hint="eastAsia"/>
          <w:spacing w:val="-4"/>
          <w:sz w:val="36"/>
        </w:rPr>
        <w:t xml:space="preserve"> 小时内检验完毕。</w:t>
      </w:r>
    </w:p>
    <w:p>
      <w:pPr>
        <w:pStyle w:val="ListParagraph"/>
        <w:numPr>
          <w:ilvl w:val="0"/>
          <w:numId w:val="25"/>
        </w:numPr>
        <w:tabs>
          <w:tab w:val="left" w:pos="3600"/>
        </w:tabs>
        <w:spacing w:before="0" w:after="0" w:line="658" w:lineRule="exact"/>
        <w:ind w:left="3599" w:right="0" w:hanging="300"/>
        <w:jc w:val="left"/>
        <w:rPr>
          <w:rFonts w:ascii="微软雅黑" w:eastAsia="微软雅黑" w:hint="eastAsia"/>
          <w:sz w:val="36"/>
        </w:rPr>
      </w:pPr>
      <w:r>
        <w:rPr>
          <w:rFonts w:ascii="微软雅黑" w:eastAsia="微软雅黑" w:hint="eastAsia"/>
          <w:sz w:val="36"/>
        </w:rPr>
        <w:t>具体检测严格按照说明书。</w:t>
      </w:r>
    </w:p>
    <w:p>
      <w:pPr>
        <w:spacing w:before="92"/>
        <w:ind w:left="3300" w:right="0" w:firstLine="0"/>
        <w:jc w:val="left"/>
        <w:rPr>
          <w:sz w:val="36"/>
        </w:rPr>
      </w:pPr>
      <w:r>
        <w:rPr>
          <w:sz w:val="36"/>
        </w:rPr>
        <w:t>（三）肠镜检查</w:t>
      </w:r>
    </w:p>
    <w:p>
      <w:pPr>
        <w:spacing w:before="273" w:line="338" w:lineRule="auto"/>
        <w:ind w:left="2580" w:right="2649" w:firstLine="719"/>
        <w:jc w:val="left"/>
        <w:rPr>
          <w:sz w:val="36"/>
        </w:rPr>
      </w:pPr>
      <w:r>
        <w:rPr>
          <w:sz w:val="36"/>
        </w:rPr>
        <w:t>应严格诊室及器械的消毒，详细规范参考卫生部2004 年版《内镜清洗消毒技术操作规范》。</w:t>
      </w:r>
    </w:p>
    <w:p>
      <w:pPr>
        <w:spacing w:before="0" w:line="338" w:lineRule="auto"/>
        <w:ind w:left="2580" w:right="2522" w:firstLine="719"/>
        <w:jc w:val="left"/>
        <w:rPr>
          <w:sz w:val="36"/>
        </w:rPr>
      </w:pPr>
      <w:r>
        <w:rPr>
          <w:spacing w:val="-2"/>
          <w:sz w:val="36"/>
        </w:rPr>
        <w:t xml:space="preserve">在筛查个体完成初筛后的第 </w:t>
      </w:r>
      <w:r>
        <w:rPr>
          <w:sz w:val="36"/>
        </w:rPr>
        <w:t>2－3</w:t>
      </w:r>
      <w:r>
        <w:rPr>
          <w:spacing w:val="-4"/>
          <w:sz w:val="36"/>
        </w:rPr>
        <w:t xml:space="preserve"> 个月内须完成肠镜检查。统一采用全结肠</w:t>
      </w:r>
      <w:r>
        <w:rPr>
          <w:spacing w:val="-22"/>
          <w:sz w:val="36"/>
        </w:rPr>
        <w:t>镜检查，肠道准备建议用离子泻药，以降低成本，但不推荐使用番泻药或甘露醇。</w:t>
      </w:r>
    </w:p>
    <w:p>
      <w:pPr>
        <w:spacing w:after="0" w:line="338" w:lineRule="auto"/>
        <w:jc w:val="left"/>
        <w:rPr>
          <w:sz w:val="36"/>
        </w:rPr>
        <w:sectPr>
          <w:footerReference w:type="default" r:id="rId16"/>
          <w:pgSz w:w="17860" w:h="25260"/>
          <w:pgMar w:top="1920" w:right="0" w:bottom="2040" w:left="120" w:header="0" w:footer="1795"/>
          <w:pgNumType w:start="42"/>
          <w:cols w:space="708"/>
        </w:sectPr>
      </w:pPr>
    </w:p>
    <w:p>
      <w:pPr>
        <w:spacing w:before="0" w:line="643" w:lineRule="exact"/>
        <w:ind w:left="2580" w:right="0" w:firstLine="0"/>
        <w:jc w:val="left"/>
        <w:rPr>
          <w:sz w:val="36"/>
        </w:rPr>
      </w:pPr>
      <w:r>
        <w:rPr>
          <w:sz w:val="36"/>
        </w:rPr>
        <w:t>附件 4-1:</w:t>
      </w:r>
    </w:p>
    <w:p>
      <w:pPr>
        <w:spacing w:before="2" w:line="240" w:lineRule="auto"/>
        <w:rPr>
          <w:sz w:val="47"/>
        </w:rPr>
      </w:pPr>
      <w:r>
        <w:br w:type="column"/>
      </w:r>
    </w:p>
    <w:p>
      <w:pPr>
        <w:spacing w:before="1"/>
        <w:ind w:left="2580" w:right="0" w:firstLine="0"/>
        <w:jc w:val="left"/>
        <w:rPr>
          <w:rFonts w:ascii="华文中宋" w:eastAsia="华文中宋" w:hint="eastAsia"/>
          <w:b/>
          <w:sz w:val="42"/>
        </w:rPr>
      </w:pPr>
      <w:r>
        <w:rPr>
          <w:rFonts w:ascii="华文中宋" w:eastAsia="华文中宋" w:hint="eastAsia"/>
          <w:b/>
          <w:sz w:val="42"/>
        </w:rPr>
        <w:t>知情同意书</w:t>
      </w:r>
    </w:p>
    <w:p>
      <w:pPr>
        <w:spacing w:after="0"/>
        <w:jc w:val="left"/>
        <w:rPr>
          <w:rFonts w:ascii="华文中宋" w:eastAsia="华文中宋" w:hint="eastAsia"/>
          <w:sz w:val="42"/>
        </w:rPr>
        <w:sectPr>
          <w:footerReference w:type="default" r:id="rId17"/>
          <w:pgSz w:w="17860" w:h="25260"/>
          <w:pgMar w:top="1920" w:right="0" w:bottom="2000" w:left="120" w:header="0" w:footer="1795"/>
          <w:pgNumType w:start="43"/>
          <w:cols w:num="2" w:space="708" w:equalWidth="0">
            <w:col w:w="4095" w:space="1082"/>
            <w:col w:w="12563" w:space="0"/>
          </w:cols>
        </w:sectPr>
      </w:pPr>
    </w:p>
    <w:p>
      <w:pPr>
        <w:pStyle w:val="BodyText"/>
        <w:rPr>
          <w:rFonts w:ascii="华文中宋"/>
          <w:b/>
          <w:sz w:val="20"/>
        </w:rPr>
      </w:pPr>
    </w:p>
    <w:p>
      <w:pPr>
        <w:pStyle w:val="BodyText"/>
        <w:rPr>
          <w:rFonts w:ascii="华文中宋"/>
          <w:b/>
          <w:sz w:val="25"/>
        </w:rPr>
      </w:pPr>
    </w:p>
    <w:p>
      <w:pPr>
        <w:pStyle w:val="Heading4"/>
        <w:tabs>
          <w:tab w:val="left" w:pos="1259"/>
          <w:tab w:val="left" w:pos="3551"/>
          <w:tab w:val="left" w:pos="8353"/>
          <w:tab w:val="left" w:pos="9690"/>
          <w:tab w:val="left" w:pos="10251"/>
          <w:tab w:val="left" w:pos="10638"/>
          <w:tab w:val="left" w:pos="11024"/>
          <w:tab w:val="left" w:pos="11411"/>
          <w:tab w:val="left" w:pos="11797"/>
        </w:tabs>
        <w:spacing w:before="80"/>
        <w:ind w:left="0" w:right="708"/>
        <w:jc w:val="center"/>
        <w:rPr>
          <w:rFonts w:ascii="Arial" w:eastAsia="Arial"/>
        </w:rPr>
      </w:pPr>
      <w:r>
        <w:t>姓名</w:t>
        <w:tab/>
      </w:r>
      <w:r>
        <w:rPr>
          <w:u w:val="single"/>
        </w:rPr>
        <w:t xml:space="preserve"> </w:t>
        <w:tab/>
      </w:r>
      <w:r>
        <w:tab/>
        <w:t>编号：</w:t>
      </w:r>
      <w:r>
        <w:rPr>
          <w:rFonts w:ascii="Arial" w:eastAsia="Arial"/>
        </w:rPr>
        <w:t>|</w:t>
      </w:r>
      <w:r>
        <w:rPr>
          <w:rFonts w:ascii="Arial" w:eastAsia="Arial"/>
          <w:u w:val="single"/>
        </w:rPr>
        <w:t xml:space="preserve"> </w:t>
        <w:tab/>
      </w:r>
      <w:r>
        <w:rPr>
          <w:rFonts w:ascii="Arial" w:eastAsia="Arial"/>
        </w:rPr>
        <w:t>|-|</w:t>
      </w:r>
      <w:r>
        <w:rPr>
          <w:rFonts w:ascii="Arial" w:eastAsia="Arial"/>
          <w:u w:val="single"/>
        </w:rPr>
        <w:t xml:space="preserve"> </w:t>
        <w:tab/>
      </w:r>
      <w:r>
        <w:rPr>
          <w:rFonts w:ascii="Arial" w:eastAsia="Arial"/>
        </w:rPr>
        <w:t>|</w:t>
      </w:r>
      <w:r>
        <w:rPr>
          <w:rFonts w:ascii="Arial" w:eastAsia="Arial"/>
          <w:u w:val="single"/>
        </w:rPr>
        <w:t xml:space="preserve"> </w:t>
        <w:tab/>
      </w:r>
      <w:r>
        <w:rPr>
          <w:rFonts w:ascii="Arial" w:eastAsia="Arial"/>
        </w:rPr>
        <w:t>|</w:t>
      </w:r>
      <w:r>
        <w:rPr>
          <w:rFonts w:ascii="Arial" w:eastAsia="Arial"/>
          <w:u w:val="single"/>
        </w:rPr>
        <w:t xml:space="preserve"> </w:t>
        <w:tab/>
      </w:r>
      <w:r>
        <w:rPr>
          <w:rFonts w:ascii="Arial" w:eastAsia="Arial"/>
        </w:rPr>
        <w:t>|</w:t>
      </w:r>
      <w:r>
        <w:rPr>
          <w:rFonts w:ascii="Arial" w:eastAsia="Arial"/>
          <w:u w:val="single"/>
        </w:rPr>
        <w:t xml:space="preserve"> </w:t>
        <w:tab/>
      </w:r>
      <w:r>
        <w:rPr>
          <w:rFonts w:ascii="Arial" w:eastAsia="Arial"/>
        </w:rPr>
        <w:t>|</w:t>
      </w:r>
      <w:r>
        <w:rPr>
          <w:rFonts w:ascii="Arial" w:eastAsia="Arial"/>
          <w:u w:val="single"/>
        </w:rPr>
        <w:t xml:space="preserve"> </w:t>
        <w:tab/>
      </w:r>
      <w:r>
        <w:rPr>
          <w:rFonts w:ascii="Arial" w:eastAsia="Arial"/>
        </w:rPr>
        <w:t>|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22"/>
        </w:rPr>
      </w:pPr>
    </w:p>
    <w:p>
      <w:pPr>
        <w:pStyle w:val="BodyText"/>
        <w:spacing w:before="63" w:line="343" w:lineRule="auto"/>
        <w:ind w:left="2580" w:right="2484" w:firstLine="629"/>
        <w:rPr>
          <w:b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964057</wp:posOffset>
            </wp:positionV>
            <wp:extent cx="825500" cy="38100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 xml:space="preserve">大肠癌是我国大中城市发病居第二、三位的主要恶性肿瘤，早期发现、早期治疗的效果 </w:t>
      </w:r>
      <w:r>
        <w:rPr>
          <w:spacing w:val="-11"/>
        </w:rPr>
        <w:t>比较理想，并且早期发现及早期治疗的技术成熟。因此，我们开展了这次大肠癌筛查活动。</w:t>
      </w:r>
      <w:r>
        <w:rPr>
          <w:b/>
        </w:rPr>
        <w:t>检查过程</w:t>
      </w:r>
    </w:p>
    <w:p>
      <w:pPr>
        <w:pStyle w:val="BodyText"/>
        <w:spacing w:before="6" w:line="343" w:lineRule="auto"/>
        <w:ind w:left="2580" w:right="2653" w:firstLine="719"/>
        <w:jc w:val="both"/>
      </w:pPr>
      <w:r>
        <w:t xml:space="preserve">我们需要您二方面的配合，一是调查了解您的一般情况如性别、年龄，住址等，同时 </w:t>
      </w:r>
      <w:r>
        <w:rPr>
          <w:spacing w:val="5"/>
        </w:rPr>
        <w:t xml:space="preserve">请您回答 </w:t>
      </w:r>
      <w:r>
        <w:t>9</w:t>
      </w:r>
      <w:r>
        <w:rPr>
          <w:spacing w:val="3"/>
        </w:rPr>
        <w:t xml:space="preserve"> 个简单的问题</w:t>
      </w:r>
      <w:r>
        <w:t>（有关大肠癌的高危因素暴露史</w:t>
      </w:r>
      <w:r>
        <w:rPr>
          <w:spacing w:val="-190"/>
        </w:rPr>
        <w:t>）</w:t>
      </w:r>
      <w:r>
        <w:t>。二是请您留取大便，我们将对</w:t>
      </w:r>
      <w:r>
        <w:rPr>
          <w:spacing w:val="-12"/>
        </w:rPr>
        <w:t>大便样本进行隐血等检查，然后分析确定您是否为大肠癌的高危个体</w:t>
      </w:r>
      <w:r>
        <w:t>（即问卷调查和或粪便潜血检查阳性</w:t>
      </w:r>
      <w:r>
        <w:rPr>
          <w:spacing w:val="-169"/>
        </w:rPr>
        <w:t>）</w:t>
      </w:r>
      <w:r>
        <w:rPr>
          <w:spacing w:val="-1"/>
        </w:rPr>
        <w:t>。如果是，将建议您进行肠镜的进一步检查，如有必要会取活组织，送病理</w:t>
      </w:r>
      <w:r>
        <w:t>科检查以做进一步的确诊。</w:t>
      </w:r>
    </w:p>
    <w:p>
      <w:pPr>
        <w:pStyle w:val="Heading4"/>
        <w:spacing w:before="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206756</wp:posOffset>
            </wp:positionV>
            <wp:extent cx="1625600" cy="381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参加检查的危险性</w:t>
      </w:r>
    </w:p>
    <w:p>
      <w:pPr>
        <w:spacing w:before="175" w:line="343" w:lineRule="auto"/>
        <w:ind w:left="2580" w:right="9368" w:firstLine="719"/>
        <w:jc w:val="left"/>
        <w:rPr>
          <w:rFonts w:ascii="宋体" w:eastAsia="宋体" w:hint="eastAsia"/>
          <w:b/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672592</wp:posOffset>
            </wp:positionV>
            <wp:extent cx="1422400" cy="381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在调查和留取大便的阶段没有危险。</w:t>
      </w:r>
      <w:r>
        <w:rPr>
          <w:rFonts w:ascii="宋体" w:eastAsia="宋体" w:hint="eastAsia"/>
          <w:b/>
          <w:sz w:val="31"/>
        </w:rPr>
        <w:t>参加检查的好处</w:t>
      </w:r>
    </w:p>
    <w:p>
      <w:pPr>
        <w:pStyle w:val="BodyText"/>
        <w:spacing w:before="1" w:line="345" w:lineRule="auto"/>
        <w:ind w:left="2580" w:right="2715" w:firstLine="719"/>
      </w:pPr>
      <w:r>
        <w:t>这些检查可发现您是否患有大肠癌或癌前病变。如果您患了大肠癌或癌前病变，我们会优先安排您们进行相应的治疗及定期或不定期的随访。</w:t>
      </w:r>
    </w:p>
    <w:p>
      <w:pPr>
        <w:pStyle w:val="Heading4"/>
        <w:spacing w:line="395" w:lineRule="exact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195389</wp:posOffset>
            </wp:positionV>
            <wp:extent cx="622300" cy="381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保密性</w:t>
      </w:r>
    </w:p>
    <w:p>
      <w:pPr>
        <w:pStyle w:val="BodyText"/>
        <w:spacing w:before="172" w:line="345" w:lineRule="auto"/>
        <w:ind w:left="2580" w:right="2519" w:firstLine="633"/>
        <w:rPr>
          <w:b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1033779</wp:posOffset>
            </wp:positionV>
            <wp:extent cx="825500" cy="381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 xml:space="preserve">我们将对您的资料保密。我们将储存本项目所取的样品标本和检测结果，并可能在以后 </w:t>
      </w:r>
      <w:r>
        <w:rPr>
          <w:spacing w:val="-25"/>
        </w:rPr>
        <w:t>的研究中使用，样品标本上贴有带编码的标签，不会出现您的姓名，您的所有信息将会保密。</w:t>
      </w:r>
      <w:r>
        <w:rPr>
          <w:b/>
        </w:rPr>
        <w:t>自愿原则</w:t>
      </w:r>
    </w:p>
    <w:p>
      <w:pPr>
        <w:pStyle w:val="BodyText"/>
        <w:spacing w:line="345" w:lineRule="auto"/>
        <w:ind w:left="2580" w:right="2452" w:firstLine="719"/>
      </w:pPr>
      <w:r>
        <w:rPr>
          <w:spacing w:val="-7"/>
        </w:rPr>
        <w:t xml:space="preserve">您的参加系自愿性质，并且在任何时间都有退出的权力。如果您对本筛查有任何疑问， </w:t>
      </w:r>
      <w:r>
        <w:rPr>
          <w:spacing w:val="-2"/>
        </w:rPr>
        <w:t>可以与</w:t>
      </w:r>
      <w:r>
        <w:t>****</w:t>
      </w:r>
      <w:r>
        <w:rPr>
          <w:spacing w:val="-2"/>
        </w:rPr>
        <w:t>单位</w:t>
      </w:r>
      <w:r>
        <w:t>****医生联系。电话：**********。</w:t>
      </w:r>
    </w:p>
    <w:p>
      <w:pPr>
        <w:pStyle w:val="Heading4"/>
        <w:spacing w:line="394" w:lineRule="exact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195008</wp:posOffset>
            </wp:positionV>
            <wp:extent cx="825500" cy="381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自我声明</w:t>
      </w:r>
    </w:p>
    <w:p>
      <w:pPr>
        <w:pStyle w:val="BodyText"/>
        <w:spacing w:before="166"/>
        <w:ind w:left="3210"/>
      </w:pPr>
      <w:r>
        <w:t>我已充分理解了这份知情同意书，我同意参加这次筛查。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tabs>
          <w:tab w:val="left" w:pos="10930"/>
        </w:tabs>
        <w:spacing w:before="273" w:line="1190" w:lineRule="atLeast"/>
        <w:ind w:left="2580" w:right="5856"/>
        <w:rPr>
          <w:b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1307218</wp:posOffset>
            </wp:positionV>
            <wp:extent cx="8001000" cy="38100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1637418</wp:posOffset>
            </wp:positionV>
            <wp:extent cx="825500" cy="38100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参加者或其亲属代表签字：</w:t>
        <w:tab/>
        <w:t>日期</w:t>
      </w:r>
      <w:r>
        <w:rPr>
          <w:spacing w:val="-17"/>
        </w:rPr>
        <w:t xml:space="preserve">： </w:t>
      </w:r>
      <w:r>
        <w:rPr>
          <w:b/>
        </w:rPr>
        <w:t>证人声明</w:t>
      </w:r>
    </w:p>
    <w:p>
      <w:pPr>
        <w:pStyle w:val="BodyText"/>
        <w:tabs>
          <w:tab w:val="left" w:pos="11088"/>
        </w:tabs>
        <w:spacing w:before="173" w:line="345" w:lineRule="auto"/>
        <w:ind w:left="2580" w:right="3118" w:firstLine="633"/>
      </w:pPr>
      <w:r>
        <w:t>我已经向受检对象宣读和解释了这份知情同意书。她已经理解并同意参加本项目</w:t>
      </w:r>
      <w:r>
        <w:rPr>
          <w:spacing w:val="-17"/>
        </w:rPr>
        <w:t>。</w:t>
      </w:r>
      <w:r>
        <w:t>证人签字：</w:t>
        <w:tab/>
        <w:t>日期：</w:t>
      </w:r>
    </w:p>
    <w:p>
      <w:pPr>
        <w:pStyle w:val="BodyText"/>
        <w:rPr>
          <w:sz w:val="8"/>
        </w:rPr>
      </w:pPr>
    </w:p>
    <w:p>
      <w:pPr>
        <w:pStyle w:val="BodyText"/>
        <w:tabs>
          <w:tab w:val="left" w:pos="10930"/>
          <w:tab w:val="left" w:pos="12190"/>
          <w:tab w:val="left" w:pos="13373"/>
        </w:tabs>
        <w:spacing w:before="71"/>
        <w:ind w:left="10142"/>
      </w:pPr>
      <w:r>
        <w:pict>
          <v:line id="_x0000_s1068" style="mso-position-horizontal-relative:page;position:absolute;z-index:251662336" from="135.05pt,20.65pt" to="404.3pt,20.65pt" stroked="t" strokecolor="black" strokeweight="0.79pt">
            <v:stroke dashstyle="solid"/>
          </v:line>
        </w:pic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年</w:t>
      </w:r>
      <w:r>
        <w:rPr>
          <w:u w:val="single"/>
        </w:rPr>
        <w:t xml:space="preserve"> </w:t>
        <w:tab/>
      </w:r>
      <w:r>
        <w:t>月</w:t>
      </w:r>
      <w:r>
        <w:rPr>
          <w:u w:val="single"/>
        </w:rPr>
        <w:t xml:space="preserve"> </w:t>
        <w:tab/>
      </w:r>
      <w:r>
        <w:t>日</w:t>
      </w:r>
    </w:p>
    <w:p>
      <w:pPr>
        <w:spacing w:after="0"/>
        <w:sectPr>
          <w:footerReference w:type="default" r:id="rId24"/>
          <w:type w:val="continuous"/>
          <w:pgSz w:w="17860" w:h="25260"/>
          <w:pgMar w:top="2420" w:right="0" w:bottom="1980" w:left="120" w:header="708" w:footer="708"/>
          <w:pgNumType w:start="44"/>
          <w:cols w:space="708"/>
        </w:sectPr>
      </w:pPr>
    </w:p>
    <w:p>
      <w:pPr>
        <w:tabs>
          <w:tab w:val="left" w:pos="2580"/>
        </w:tabs>
        <w:spacing w:before="0" w:line="651" w:lineRule="exact"/>
        <w:ind w:left="100" w:right="0" w:firstLine="0"/>
        <w:jc w:val="left"/>
        <w:rPr>
          <w:sz w:val="36"/>
        </w:rPr>
      </w:pPr>
      <w:r>
        <w:rPr>
          <w:position w:val="-9"/>
        </w:rPr>
        <w:drawing>
          <wp:inline distT="0" distB="0" distL="0" distR="0">
            <wp:extent cx="203200" cy="304800"/>
            <wp:effectExtent l="0" t="0" r="0" b="0"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ab/>
      </w:r>
      <w:r>
        <w:rPr>
          <w:rFonts w:ascii="Times New Roman" w:eastAsia="Times New Roman"/>
          <w:spacing w:val="10"/>
          <w:sz w:val="20"/>
        </w:rPr>
        <w:t xml:space="preserve"> </w:t>
      </w:r>
      <w:r>
        <w:rPr>
          <w:spacing w:val="-7"/>
          <w:sz w:val="36"/>
        </w:rPr>
        <w:t xml:space="preserve">附件 </w:t>
      </w:r>
      <w:r>
        <w:rPr>
          <w:sz w:val="36"/>
        </w:rPr>
        <w:t>4-2:</w:t>
      </w:r>
    </w:p>
    <w:p>
      <w:pPr>
        <w:spacing w:before="11" w:line="240" w:lineRule="auto"/>
        <w:rPr>
          <w:sz w:val="29"/>
        </w:rPr>
      </w:pPr>
    </w:p>
    <w:p>
      <w:pPr>
        <w:pStyle w:val="BodyText"/>
        <w:tabs>
          <w:tab w:val="left" w:pos="10771"/>
        </w:tabs>
        <w:ind w:left="2580"/>
        <w:rPr>
          <w:rFonts w:ascii="微软雅黑" w:eastAsia="微软雅黑" w:hint="eastAsia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321147</wp:posOffset>
            </wp:positionV>
            <wp:extent cx="1727200" cy="38100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321147</wp:posOffset>
            </wp:positionV>
            <wp:extent cx="1422400" cy="38100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</w:rPr>
        <w:t>编号：</w:t>
        <w:tab/>
        <w:t>输机编号：</w:t>
      </w:r>
    </w:p>
    <w:p>
      <w:pPr>
        <w:pStyle w:val="Heading2"/>
        <w:spacing w:before="225"/>
        <w:ind w:right="462"/>
        <w:jc w:val="center"/>
      </w:pPr>
      <w:r>
        <w:t>危险因素数学模型评估问卷</w:t>
      </w:r>
    </w:p>
    <w:p>
      <w:pPr>
        <w:pStyle w:val="BodyText"/>
        <w:spacing w:before="13"/>
        <w:rPr>
          <w:rFonts w:ascii="华文中宋"/>
          <w:b/>
          <w:sz w:val="12"/>
        </w:rPr>
      </w:pPr>
      <w:r>
        <w:pict>
          <v:group id="_x0000_s1069" style="width:659.75pt;height:239.95pt;margin-top:12.16pt;margin-left:126pt;mso-position-horizontal-relative:page;mso-wrap-distance-left:0;mso-wrap-distance-right:0;position:absolute;z-index:-251632640" coordorigin="2520,243" coordsize="13195,4799">
            <v:shape id="_x0000_s1070" type="#_x0000_t75" style="width:13195;height:4799;left:2520;position:absolute;top:243" stroked="f">
              <v:imagedata r:id="rId28" o:title=""/>
            </v:shape>
            <v:shape id="_x0000_s1071" type="#_x0000_t202" style="width:1921;height:419;left:2700;position:absolute;top:4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调查对象姓名</w:t>
                    </w:r>
                  </w:p>
                </w:txbxContent>
              </v:textbox>
            </v:shape>
            <v:shape id="_x0000_s1072" type="#_x0000_t202" style="width:337;height:419;left:8263;position:absolute;top:4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性</w:t>
                    </w:r>
                  </w:p>
                </w:txbxContent>
              </v:textbox>
            </v:shape>
            <v:shape id="_x0000_s1073" type="#_x0000_t202" style="width:337;height:419;left:9051;position:absolute;top:4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别</w:t>
                    </w:r>
                  </w:p>
                </w:txbxContent>
              </v:textbox>
            </v:shape>
            <v:shape id="_x0000_s1074" type="#_x0000_t202" style="width:337;height:419;left:11846;position:absolute;top:4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75" type="#_x0000_t202" style="width:337;height:419;left:12634;position:absolute;top:4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龄</w:t>
                    </w:r>
                  </w:p>
                </w:txbxContent>
              </v:textbox>
            </v:shape>
            <v:shape id="_x0000_s1076" type="#_x0000_t202" style="width:337;height:419;left:2700;position:absolute;top:14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住</w:t>
                    </w:r>
                  </w:p>
                </w:txbxContent>
              </v:textbox>
            </v:shape>
            <v:shape id="_x0000_s1077" type="#_x0000_t202" style="width:337;height:419;left:3805;position:absolute;top:14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址</w:t>
                    </w:r>
                  </w:p>
                </w:txbxContent>
              </v:textbox>
            </v:shape>
            <v:shape id="_x0000_s1078" type="#_x0000_t202" style="width:337;height:419;left:6128;position:absolute;top:14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区</w:t>
                    </w:r>
                  </w:p>
                </w:txbxContent>
              </v:textbox>
            </v:shape>
            <v:shape id="_x0000_s1079" type="#_x0000_t202" style="width:654;height:419;left:7860;position:absolute;top:14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街道</w:t>
                    </w:r>
                  </w:p>
                </w:txbxContent>
              </v:textbox>
            </v:shape>
            <v:shape id="_x0000_s1080" type="#_x0000_t202" style="width:654;height:419;left:10380;position:absolute;top:14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社区</w:t>
                    </w:r>
                  </w:p>
                </w:txbxContent>
              </v:textbox>
            </v:shape>
            <v:shape id="_x0000_s1081" type="#_x0000_t202" style="width:337;height:419;left:11846;position:absolute;top:14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邮</w:t>
                    </w:r>
                  </w:p>
                </w:txbxContent>
              </v:textbox>
            </v:shape>
            <v:shape id="_x0000_s1082" type="#_x0000_t202" style="width:337;height:419;left:12634;position:absolute;top:144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编</w:t>
                    </w:r>
                  </w:p>
                </w:txbxContent>
              </v:textbox>
            </v:shape>
            <v:shape id="_x0000_s1083" type="#_x0000_t202" style="width:337;height:419;left:6441;position:absolute;top:23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幢</w:t>
                    </w:r>
                  </w:p>
                </w:txbxContent>
              </v:textbox>
            </v:shape>
            <v:shape id="_x0000_s1084" type="#_x0000_t202" style="width:654;height:419;left:8018;position:absolute;top:23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单元</w:t>
                    </w:r>
                  </w:p>
                </w:txbxContent>
              </v:textbox>
            </v:shape>
            <v:shape id="_x0000_s1085" type="#_x0000_t202" style="width:337;height:419;left:9909;position:absolute;top:238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室</w:t>
                    </w:r>
                  </w:p>
                </w:txbxContent>
              </v:textbox>
            </v:shape>
            <v:shape id="_x0000_s1086" type="#_x0000_t202" style="width:1288;height:419;left:11846;position:absolute;top:239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家庭电话</w:t>
                    </w:r>
                  </w:p>
                </w:txbxContent>
              </v:textbox>
            </v:shape>
            <v:shape id="_x0000_s1087" type="#_x0000_t202" style="width:1288;height:419;left:2700;position:absolute;top:33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出生日期</w:t>
                    </w:r>
                  </w:p>
                </w:txbxContent>
              </v:textbox>
            </v:shape>
            <v:shape id="_x0000_s1088" type="#_x0000_t202" style="width:337;height:419;left:6287;position:absolute;top:33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年</w:t>
                    </w:r>
                  </w:p>
                </w:txbxContent>
              </v:textbox>
            </v:shape>
            <v:shape id="_x0000_s1089" type="#_x0000_t202" style="width:337;height:419;left:7388;position:absolute;top:33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月</w:t>
                    </w:r>
                  </w:p>
                </w:txbxContent>
              </v:textbox>
            </v:shape>
            <v:shape id="_x0000_s1090" type="#_x0000_t202" style="width:337;height:419;left:8645;position:absolute;top:33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日</w:t>
                    </w:r>
                  </w:p>
                </w:txbxContent>
              </v:textbox>
            </v:shape>
            <v:shape id="_x0000_s1091" type="#_x0000_t202" style="width:1288;height:419;left:11846;position:absolute;top:33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单位电话</w:t>
                    </w:r>
                  </w:p>
                </w:txbxContent>
              </v:textbox>
            </v:shape>
            <v:shape id="_x0000_s1092" type="#_x0000_t202" style="width:1604;height:419;left:2700;position:absolute;top:43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身份证号码</w:t>
                    </w:r>
                  </w:p>
                </w:txbxContent>
              </v:textbox>
            </v:shape>
            <v:shape id="_x0000_s1093" type="#_x0000_t202" style="width:971;height:419;left:11846;position:absolute;top:43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手机号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rFonts w:ascii="华文中宋"/>
          <w:b/>
          <w:sz w:val="5"/>
        </w:rPr>
      </w:pPr>
    </w:p>
    <w:p>
      <w:pPr>
        <w:tabs>
          <w:tab w:val="left" w:pos="10527"/>
        </w:tabs>
        <w:spacing w:before="26"/>
        <w:ind w:left="2580" w:right="0" w:firstLine="0"/>
        <w:jc w:val="left"/>
        <w:rPr>
          <w:b/>
          <w:sz w:val="22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9601200</wp:posOffset>
            </wp:positionH>
            <wp:positionV relativeFrom="paragraph">
              <wp:posOffset>157953</wp:posOffset>
            </wp:positionV>
            <wp:extent cx="1219200" cy="7594600"/>
            <wp:effectExtent l="0" t="0" r="0" b="0"/>
            <wp:wrapNone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759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31"/>
        </w:rPr>
        <w:t>说明：请在下述相应的栏目打“√”或填写内容</w:t>
        <w:tab/>
      </w:r>
      <w:r>
        <w:rPr>
          <w:spacing w:val="-5"/>
          <w:w w:val="105"/>
          <w:sz w:val="31"/>
        </w:rPr>
        <w:t>(</w:t>
      </w:r>
      <w:r>
        <w:rPr>
          <w:b/>
          <w:w w:val="105"/>
          <w:position w:val="-9"/>
          <w:sz w:val="22"/>
        </w:rPr>
        <w:t>大方框内为编码栏，不必填</w:t>
      </w:r>
      <w:r>
        <w:rPr>
          <w:b/>
          <w:spacing w:val="-25"/>
          <w:w w:val="105"/>
          <w:position w:val="-9"/>
          <w:sz w:val="22"/>
        </w:rPr>
        <w:t>写</w:t>
      </w:r>
      <w:r>
        <w:rPr>
          <w:b/>
          <w:w w:val="105"/>
          <w:position w:val="-9"/>
          <w:sz w:val="22"/>
        </w:rPr>
        <w:t>)</w:t>
      </w:r>
    </w:p>
    <w:p>
      <w:pPr>
        <w:pStyle w:val="BodyText"/>
        <w:tabs>
          <w:tab w:val="left" w:pos="6678"/>
          <w:tab w:val="left" w:pos="6995"/>
          <w:tab w:val="left" w:pos="8885"/>
          <w:tab w:val="left" w:pos="9825"/>
          <w:tab w:val="left" w:pos="11088"/>
        </w:tabs>
        <w:spacing w:before="319" w:line="314" w:lineRule="auto"/>
        <w:ind w:left="3214" w:right="3642" w:hanging="634"/>
        <w:rPr>
          <w:rFonts w:ascii="微软雅黑" w:eastAsia="微软雅黑" w:hAnsi="微软雅黑" w:hint="eastAsia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1002376</wp:posOffset>
            </wp:positionV>
            <wp:extent cx="1625600" cy="38100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1002376</wp:posOffset>
            </wp:positionV>
            <wp:extent cx="1028700" cy="38100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1002376</wp:posOffset>
            </wp:positionV>
            <wp:extent cx="2324100" cy="38100"/>
            <wp:effectExtent l="0" t="0" r="0" b="0"/>
            <wp:wrapNone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</w:rPr>
        <w:t>一、本人有无癌症史</w:t>
        <w:tab/>
        <w:tab/>
        <w:t>①</w:t>
      </w:r>
      <w:r>
        <w:rPr>
          <w:rFonts w:ascii="微软雅黑" w:eastAsia="微软雅黑" w:hAnsi="微软雅黑" w:hint="eastAsia"/>
          <w:spacing w:val="67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70"/>
        </w:rPr>
        <w:t xml:space="preserve"> </w:t>
      </w:r>
      <w:r>
        <w:rPr>
          <w:rFonts w:ascii="微软雅黑" w:eastAsia="微软雅黑" w:hAnsi="微软雅黑" w:hint="eastAsia"/>
        </w:rPr>
        <w:t>无</w:t>
        <w:tab/>
        <w:tab/>
        <w:t>③</w:t>
      </w:r>
      <w:r>
        <w:rPr>
          <w:rFonts w:ascii="微软雅黑" w:eastAsia="微软雅黑" w:hAnsi="微软雅黑" w:hint="eastAsia"/>
          <w:spacing w:val="26"/>
        </w:rPr>
        <w:t xml:space="preserve"> </w:t>
      </w:r>
      <w:r>
        <w:rPr>
          <w:rFonts w:ascii="微软雅黑" w:eastAsia="微软雅黑" w:hAnsi="微软雅黑" w:hint="eastAsia"/>
        </w:rPr>
        <w:t>如有，请具体描</w:t>
      </w:r>
      <w:r>
        <w:rPr>
          <w:rFonts w:ascii="微软雅黑" w:eastAsia="微软雅黑" w:hAnsi="微软雅黑" w:hint="eastAsia"/>
          <w:spacing w:val="-17"/>
        </w:rPr>
        <w:t>述</w:t>
      </w:r>
      <w:r>
        <w:rPr>
          <w:rFonts w:ascii="微软雅黑" w:eastAsia="微软雅黑" w:hAnsi="微软雅黑" w:hint="eastAsia"/>
        </w:rPr>
        <w:t>什么癌：</w:t>
        <w:tab/>
        <w:t>发病时几岁：</w:t>
        <w:tab/>
        <w:tab/>
        <w:t>诊断医院：</w:t>
      </w:r>
    </w:p>
    <w:p>
      <w:pPr>
        <w:pStyle w:val="BodyText"/>
        <w:tabs>
          <w:tab w:val="left" w:pos="6649"/>
          <w:tab w:val="left" w:pos="9882"/>
          <w:tab w:val="left" w:pos="10116"/>
          <w:tab w:val="left" w:pos="11301"/>
          <w:tab w:val="left" w:pos="12719"/>
        </w:tabs>
        <w:spacing w:before="5" w:line="314" w:lineRule="auto"/>
        <w:ind w:left="3498" w:right="3911" w:hanging="918"/>
        <w:rPr>
          <w:rFonts w:ascii="微软雅黑" w:eastAsia="微软雅黑" w:hAnsi="微软雅黑" w:hint="eastAsia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801843</wp:posOffset>
            </wp:positionV>
            <wp:extent cx="1828800" cy="38100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801843</wp:posOffset>
            </wp:positionV>
            <wp:extent cx="1219200" cy="38100"/>
            <wp:effectExtent l="0" t="0" r="0" b="0"/>
            <wp:wrapNone/>
            <wp:docPr id="3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7302500</wp:posOffset>
            </wp:positionH>
            <wp:positionV relativeFrom="paragraph">
              <wp:posOffset>801843</wp:posOffset>
            </wp:positionV>
            <wp:extent cx="1320800" cy="38100"/>
            <wp:effectExtent l="0" t="0" r="0" b="0"/>
            <wp:wrapNone/>
            <wp:docPr id="3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</w:rPr>
        <w:t>二、一级亲</w:t>
      </w:r>
      <w:r>
        <w:rPr>
          <w:rFonts w:ascii="微软雅黑" w:eastAsia="微软雅黑" w:hAnsi="微软雅黑" w:hint="eastAsia"/>
          <w:spacing w:val="-8"/>
        </w:rPr>
        <w:t>属</w:t>
      </w:r>
      <w:r>
        <w:rPr>
          <w:rFonts w:ascii="微软雅黑" w:eastAsia="微软雅黑" w:hAnsi="微软雅黑" w:hint="eastAsia"/>
        </w:rPr>
        <w:t>(父、母、兄弟姐妹、子</w:t>
      </w:r>
      <w:r>
        <w:rPr>
          <w:rFonts w:ascii="微软雅黑" w:eastAsia="微软雅黑" w:hAnsi="微软雅黑" w:hint="eastAsia"/>
          <w:spacing w:val="-18"/>
        </w:rPr>
        <w:t>女</w:t>
      </w:r>
      <w:r>
        <w:rPr>
          <w:rFonts w:ascii="微软雅黑" w:eastAsia="微软雅黑" w:hAnsi="微软雅黑" w:hint="eastAsia"/>
        </w:rPr>
        <w:t>)肠癌史</w:t>
        <w:tab/>
        <w:t>①</w:t>
      </w:r>
      <w:r>
        <w:rPr>
          <w:rFonts w:ascii="微软雅黑" w:eastAsia="微软雅黑" w:hAnsi="微软雅黑" w:hint="eastAsia"/>
          <w:spacing w:val="80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67"/>
        </w:rPr>
        <w:t xml:space="preserve"> </w:t>
      </w:r>
      <w:r>
        <w:rPr>
          <w:rFonts w:ascii="微软雅黑" w:eastAsia="微软雅黑" w:hAnsi="微软雅黑" w:hint="eastAsia"/>
        </w:rPr>
        <w:t>无</w:t>
        <w:tab/>
        <w:t>③</w:t>
      </w:r>
      <w:r>
        <w:rPr>
          <w:rFonts w:ascii="微软雅黑" w:eastAsia="微软雅黑" w:hAnsi="微软雅黑" w:hint="eastAsia"/>
          <w:spacing w:val="-9"/>
        </w:rPr>
        <w:t xml:space="preserve"> </w:t>
      </w:r>
      <w:r>
        <w:rPr>
          <w:rFonts w:ascii="微软雅黑" w:eastAsia="微软雅黑" w:hAnsi="微软雅黑" w:hint="eastAsia"/>
        </w:rPr>
        <w:t xml:space="preserve">不 </w:t>
      </w:r>
      <w:r>
        <w:rPr>
          <w:rFonts w:ascii="微软雅黑" w:eastAsia="微软雅黑" w:hAnsi="微软雅黑" w:hint="eastAsia"/>
          <w:spacing w:val="-17"/>
        </w:rPr>
        <w:t>详</w:t>
      </w:r>
      <w:r>
        <w:rPr>
          <w:rFonts w:ascii="微软雅黑" w:eastAsia="微软雅黑" w:hAnsi="微软雅黑" w:hint="eastAsia"/>
        </w:rPr>
        <w:t>谁：</w:t>
        <w:tab/>
        <w:t>发病时几岁：</w:t>
        <w:tab/>
        <w:tab/>
        <w:t>在世与否：</w:t>
      </w:r>
    </w:p>
    <w:p>
      <w:pPr>
        <w:pStyle w:val="BodyText"/>
        <w:tabs>
          <w:tab w:val="left" w:pos="6681"/>
          <w:tab w:val="left" w:pos="8409"/>
          <w:tab w:val="left" w:pos="9832"/>
          <w:tab w:val="left" w:pos="10613"/>
        </w:tabs>
        <w:spacing w:before="1" w:line="316" w:lineRule="auto"/>
        <w:ind w:left="2580" w:right="6322" w:firstLine="946"/>
        <w:rPr>
          <w:rFonts w:ascii="微软雅黑" w:eastAsia="微软雅黑" w:hAnsi="微软雅黑" w:hint="eastAsia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318227</wp:posOffset>
            </wp:positionV>
            <wp:extent cx="1828800" cy="38100"/>
            <wp:effectExtent l="0" t="0" r="0" b="0"/>
            <wp:wrapNone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318227</wp:posOffset>
            </wp:positionV>
            <wp:extent cx="1028700" cy="38100"/>
            <wp:effectExtent l="0" t="0" r="0" b="0"/>
            <wp:wrapNone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318227</wp:posOffset>
            </wp:positionV>
            <wp:extent cx="1320800" cy="38100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</w:rPr>
        <w:t>谁：</w:t>
        <w:tab/>
        <w:t>发病时几岁：</w:t>
        <w:tab/>
        <w:t>在世与否</w:t>
      </w:r>
      <w:r>
        <w:rPr>
          <w:rFonts w:ascii="微软雅黑" w:eastAsia="微软雅黑" w:hAnsi="微软雅黑" w:hint="eastAsia"/>
          <w:spacing w:val="-19"/>
        </w:rPr>
        <w:t xml:space="preserve">： </w:t>
      </w:r>
      <w:r>
        <w:rPr>
          <w:rFonts w:ascii="微软雅黑" w:eastAsia="微软雅黑" w:hAnsi="微软雅黑" w:hint="eastAsia"/>
        </w:rPr>
        <w:t>三、本人有无肠息肉史</w:t>
        <w:tab/>
        <w:tab/>
        <w:t>①</w:t>
      </w:r>
      <w:r>
        <w:rPr>
          <w:rFonts w:ascii="微软雅黑" w:eastAsia="微软雅黑" w:hAnsi="微软雅黑" w:hint="eastAsia"/>
          <w:spacing w:val="71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ab/>
        <w:t>②</w:t>
      </w:r>
      <w:r>
        <w:rPr>
          <w:rFonts w:ascii="微软雅黑" w:eastAsia="微软雅黑" w:hAnsi="微软雅黑" w:hint="eastAsia"/>
          <w:spacing w:val="78"/>
        </w:rPr>
        <w:t xml:space="preserve"> </w:t>
      </w:r>
      <w:r>
        <w:rPr>
          <w:rFonts w:ascii="微软雅黑" w:eastAsia="微软雅黑" w:hAnsi="微软雅黑" w:hint="eastAsia"/>
        </w:rPr>
        <w:t>无</w:t>
      </w:r>
    </w:p>
    <w:p>
      <w:pPr>
        <w:spacing w:after="0" w:line="316" w:lineRule="auto"/>
        <w:rPr>
          <w:rFonts w:hint="eastAsia"/>
        </w:rPr>
        <w:sectPr>
          <w:footerReference w:type="default" r:id="rId39"/>
          <w:pgSz w:w="17860" w:h="25260"/>
          <w:pgMar w:top="2380" w:right="0" w:bottom="2040" w:left="120" w:header="0" w:footer="1795"/>
          <w:pgNumType w:start="45"/>
          <w:cols w:space="708"/>
        </w:sectPr>
      </w:pPr>
    </w:p>
    <w:p>
      <w:pPr>
        <w:pStyle w:val="BodyText"/>
        <w:spacing w:line="314" w:lineRule="auto"/>
        <w:ind w:left="2580" w:right="631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四、本人有无慢性腹泻史五、本人有无慢性便秘史</w:t>
      </w:r>
    </w:p>
    <w:p>
      <w:pPr>
        <w:pStyle w:val="BodyText"/>
        <w:ind w:left="258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六、本人有无粘液和或血便史</w:t>
      </w:r>
    </w:p>
    <w:p>
      <w:pPr>
        <w:pStyle w:val="BodyText"/>
        <w:tabs>
          <w:tab w:val="left" w:pos="3877"/>
        </w:tabs>
        <w:spacing w:line="564" w:lineRule="exact"/>
        <w:ind w:left="1670"/>
        <w:rPr>
          <w:rFonts w:ascii="微软雅黑" w:eastAsia="微软雅黑" w:hAnsi="微软雅黑" w:hint="eastAsia"/>
        </w:rPr>
      </w:pPr>
      <w:r>
        <w:br w:type="column"/>
      </w:r>
      <w:r>
        <w:rPr>
          <w:rFonts w:ascii="微软雅黑" w:eastAsia="微软雅黑" w:hAnsi="微软雅黑" w:hint="eastAsia"/>
        </w:rPr>
        <w:t>①</w:t>
      </w:r>
      <w:r>
        <w:rPr>
          <w:rFonts w:ascii="微软雅黑" w:eastAsia="微软雅黑" w:hAnsi="微软雅黑" w:hint="eastAsia"/>
          <w:spacing w:val="71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76"/>
        </w:rPr>
        <w:t xml:space="preserve"> </w:t>
      </w:r>
      <w:r>
        <w:rPr>
          <w:rFonts w:ascii="微软雅黑" w:eastAsia="微软雅黑" w:hAnsi="微软雅黑" w:hint="eastAsia"/>
        </w:rPr>
        <w:t>无</w:t>
      </w:r>
    </w:p>
    <w:p>
      <w:pPr>
        <w:pStyle w:val="BodyText"/>
        <w:tabs>
          <w:tab w:val="left" w:pos="3877"/>
        </w:tabs>
        <w:spacing w:before="177"/>
        <w:ind w:left="167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①</w:t>
      </w:r>
      <w:r>
        <w:rPr>
          <w:rFonts w:ascii="微软雅黑" w:eastAsia="微软雅黑" w:hAnsi="微软雅黑" w:hint="eastAsia"/>
          <w:spacing w:val="71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76"/>
        </w:rPr>
        <w:t xml:space="preserve"> </w:t>
      </w:r>
      <w:r>
        <w:rPr>
          <w:rFonts w:ascii="微软雅黑" w:eastAsia="微软雅黑" w:hAnsi="微软雅黑" w:hint="eastAsia"/>
        </w:rPr>
        <w:t>无</w:t>
      </w:r>
    </w:p>
    <w:p>
      <w:pPr>
        <w:pStyle w:val="BodyText"/>
        <w:tabs>
          <w:tab w:val="left" w:pos="3877"/>
        </w:tabs>
        <w:spacing w:before="181"/>
        <w:ind w:left="167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①</w:t>
      </w:r>
      <w:r>
        <w:rPr>
          <w:rFonts w:ascii="微软雅黑" w:eastAsia="微软雅黑" w:hAnsi="微软雅黑" w:hint="eastAsia"/>
          <w:spacing w:val="71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76"/>
        </w:rPr>
        <w:t xml:space="preserve"> </w:t>
      </w:r>
      <w:r>
        <w:rPr>
          <w:rFonts w:ascii="微软雅黑" w:eastAsia="微软雅黑" w:hAnsi="微软雅黑" w:hint="eastAsia"/>
        </w:rPr>
        <w:t>无</w:t>
      </w:r>
    </w:p>
    <w:p>
      <w:pPr>
        <w:spacing w:after="0"/>
        <w:rPr>
          <w:rFonts w:hint="eastAsia"/>
        </w:rPr>
        <w:sectPr>
          <w:footerReference w:type="default" r:id="rId40"/>
          <w:type w:val="continuous"/>
          <w:pgSz w:w="17860" w:h="25260"/>
          <w:pgMar w:top="2420" w:right="0" w:bottom="1980" w:left="120" w:header="708" w:footer="708"/>
          <w:pgNumType w:start="46"/>
          <w:cols w:num="2" w:space="708" w:equalWidth="0">
            <w:col w:w="6700" w:space="40"/>
            <w:col w:w="11000" w:space="0"/>
          </w:cols>
        </w:sectPr>
      </w:pPr>
    </w:p>
    <w:p>
      <w:pPr>
        <w:spacing w:before="0" w:line="240" w:lineRule="auto"/>
        <w:rPr>
          <w:sz w:val="8"/>
        </w:rPr>
      </w:pPr>
    </w:p>
    <w:p>
      <w:pPr>
        <w:pStyle w:val="BodyText"/>
        <w:tabs>
          <w:tab w:val="left" w:pos="10617"/>
        </w:tabs>
        <w:spacing w:before="26" w:line="314" w:lineRule="auto"/>
        <w:ind w:left="2580" w:right="6333"/>
        <w:jc w:val="both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 xml:space="preserve">七、本人有无慢性阑尾炎或阑尾切除史    </w:t>
      </w:r>
      <w:r>
        <w:rPr>
          <w:rFonts w:ascii="微软雅黑" w:eastAsia="微软雅黑" w:hAnsi="微软雅黑" w:hint="eastAsia"/>
          <w:spacing w:val="48"/>
        </w:rPr>
        <w:t xml:space="preserve"> </w:t>
      </w:r>
      <w:r>
        <w:rPr>
          <w:rFonts w:ascii="微软雅黑" w:eastAsia="微软雅黑" w:hAnsi="微软雅黑" w:hint="eastAsia"/>
        </w:rPr>
        <w:t>①</w:t>
      </w:r>
      <w:r>
        <w:rPr>
          <w:rFonts w:ascii="微软雅黑" w:eastAsia="微软雅黑" w:hAnsi="微软雅黑" w:hint="eastAsia"/>
          <w:spacing w:val="90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75"/>
        </w:rPr>
        <w:t xml:space="preserve"> </w:t>
      </w:r>
      <w:r>
        <w:rPr>
          <w:rFonts w:ascii="微软雅黑" w:eastAsia="微软雅黑" w:hAnsi="微软雅黑" w:hint="eastAsia"/>
          <w:spacing w:val="-19"/>
        </w:rPr>
        <w:t>无</w:t>
      </w:r>
      <w:r>
        <w:rPr>
          <w:rFonts w:ascii="微软雅黑" w:eastAsia="微软雅黑" w:hAnsi="微软雅黑" w:hint="eastAsia"/>
        </w:rPr>
        <w:t xml:space="preserve">八、本人有无慢性胆囊炎或胆囊切除史    </w:t>
      </w:r>
      <w:r>
        <w:rPr>
          <w:rFonts w:ascii="微软雅黑" w:eastAsia="微软雅黑" w:hAnsi="微软雅黑" w:hint="eastAsia"/>
          <w:spacing w:val="53"/>
        </w:rPr>
        <w:t xml:space="preserve"> </w:t>
      </w:r>
      <w:r>
        <w:rPr>
          <w:rFonts w:ascii="微软雅黑" w:eastAsia="微软雅黑" w:hAnsi="微软雅黑" w:hint="eastAsia"/>
        </w:rPr>
        <w:t>①</w:t>
      </w:r>
      <w:r>
        <w:rPr>
          <w:rFonts w:ascii="微软雅黑" w:eastAsia="微软雅黑" w:hAnsi="微软雅黑" w:hint="eastAsia"/>
          <w:spacing w:val="85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75"/>
        </w:rPr>
        <w:t xml:space="preserve"> </w:t>
      </w:r>
      <w:r>
        <w:rPr>
          <w:rFonts w:ascii="微软雅黑" w:eastAsia="微软雅黑" w:hAnsi="微软雅黑" w:hint="eastAsia"/>
          <w:spacing w:val="-19"/>
        </w:rPr>
        <w:t>无</w:t>
      </w:r>
      <w:r>
        <w:rPr>
          <w:rFonts w:ascii="微软雅黑" w:eastAsia="微软雅黑" w:hAnsi="微软雅黑" w:hint="eastAsia"/>
        </w:rPr>
        <w:t>九、近二十年来本人有无不良生活事件史</w:t>
      </w:r>
      <w:r>
        <w:rPr>
          <w:rFonts w:ascii="微软雅黑" w:eastAsia="微软雅黑" w:hAnsi="微软雅黑" w:hint="eastAsia"/>
          <w:spacing w:val="68"/>
        </w:rPr>
        <w:t xml:space="preserve"> </w:t>
      </w:r>
      <w:r>
        <w:rPr>
          <w:rFonts w:ascii="微软雅黑" w:eastAsia="微软雅黑" w:hAnsi="微软雅黑" w:hint="eastAsia"/>
        </w:rPr>
        <w:t xml:space="preserve">① </w:t>
      </w:r>
      <w:r>
        <w:rPr>
          <w:rFonts w:ascii="微软雅黑" w:eastAsia="微软雅黑" w:hAnsi="微软雅黑" w:hint="eastAsia"/>
          <w:spacing w:val="8"/>
        </w:rPr>
        <w:t xml:space="preserve"> </w:t>
      </w:r>
      <w:r>
        <w:rPr>
          <w:rFonts w:ascii="微软雅黑" w:eastAsia="微软雅黑" w:hAnsi="微软雅黑" w:hint="eastAsia"/>
        </w:rPr>
        <w:t>有</w:t>
        <w:tab/>
        <w:t>②</w:t>
      </w:r>
      <w:r>
        <w:rPr>
          <w:rFonts w:ascii="微软雅黑" w:eastAsia="微软雅黑" w:hAnsi="微软雅黑" w:hint="eastAsia"/>
          <w:spacing w:val="76"/>
        </w:rPr>
        <w:t xml:space="preserve"> </w:t>
      </w:r>
      <w:r>
        <w:rPr>
          <w:rFonts w:ascii="微软雅黑" w:eastAsia="微软雅黑" w:hAnsi="微软雅黑" w:hint="eastAsia"/>
          <w:spacing w:val="-19"/>
        </w:rPr>
        <w:t>无</w:t>
      </w:r>
    </w:p>
    <w:p>
      <w:pPr>
        <w:pStyle w:val="BodyText"/>
        <w:tabs>
          <w:tab w:val="left" w:pos="8413"/>
          <w:tab w:val="left" w:pos="10617"/>
        </w:tabs>
        <w:spacing w:before="5" w:line="314" w:lineRule="auto"/>
        <w:ind w:left="2580" w:right="4297" w:firstLine="475"/>
        <w:jc w:val="both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w w:val="102"/>
        </w:rPr>
        <w:t>如</w:t>
      </w:r>
      <w:r>
        <w:rPr>
          <w:rFonts w:ascii="微软雅黑" w:eastAsia="微软雅黑" w:hAnsi="微软雅黑" w:hint="eastAsia"/>
          <w:spacing w:val="-4"/>
          <w:w w:val="102"/>
        </w:rPr>
        <w:t>有</w:t>
      </w:r>
      <w:r>
        <w:rPr>
          <w:rFonts w:ascii="微软雅黑" w:eastAsia="微软雅黑" w:hAnsi="微软雅黑" w:hint="eastAsia"/>
          <w:w w:val="102"/>
        </w:rPr>
        <w:t>,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spacing w:val="-26"/>
        </w:rPr>
        <w:t xml:space="preserve"> </w:t>
      </w:r>
      <w:r>
        <w:rPr>
          <w:rFonts w:ascii="微软雅黑" w:eastAsia="微软雅黑" w:hAnsi="微软雅黑" w:hint="eastAsia"/>
          <w:w w:val="102"/>
        </w:rPr>
        <w:t>请打“√</w:t>
      </w:r>
      <w:r>
        <w:rPr>
          <w:rFonts w:ascii="微软雅黑" w:eastAsia="微软雅黑" w:hAnsi="微软雅黑" w:hint="eastAsia"/>
          <w:spacing w:val="-169"/>
          <w:w w:val="102"/>
        </w:rPr>
        <w:t>”</w:t>
      </w:r>
      <w:r>
        <w:rPr>
          <w:rFonts w:ascii="微软雅黑" w:eastAsia="微软雅黑" w:hAnsi="微软雅黑" w:hint="eastAsia"/>
          <w:w w:val="102"/>
        </w:rPr>
        <w:t>：①离婚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spacing w:val="-32"/>
        </w:rPr>
        <w:t xml:space="preserve"> </w:t>
      </w:r>
      <w:r>
        <w:rPr>
          <w:rFonts w:ascii="微软雅黑" w:eastAsia="微软雅黑" w:hAnsi="微软雅黑" w:hint="eastAsia"/>
          <w:w w:val="102"/>
        </w:rPr>
        <w:t>②配偶死亡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spacing w:val="-37"/>
        </w:rPr>
        <w:t xml:space="preserve"> </w:t>
      </w:r>
      <w:r>
        <w:rPr>
          <w:rFonts w:ascii="微软雅黑" w:eastAsia="微软雅黑" w:hAnsi="微软雅黑" w:hint="eastAsia"/>
          <w:w w:val="102"/>
        </w:rPr>
        <w:t>③一级亲属死亡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spacing w:val="-36"/>
        </w:rPr>
        <w:t xml:space="preserve"> </w:t>
      </w:r>
      <w:r>
        <w:rPr>
          <w:rFonts w:ascii="微软雅黑" w:eastAsia="微软雅黑" w:hAnsi="微软雅黑" w:hint="eastAsia"/>
          <w:w w:val="102"/>
        </w:rPr>
        <w:t>④子女下岗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spacing w:val="-36"/>
        </w:rPr>
        <w:t xml:space="preserve"> </w:t>
      </w:r>
      <w:r>
        <w:rPr>
          <w:rFonts w:ascii="微软雅黑" w:eastAsia="微软雅黑" w:hAnsi="微软雅黑" w:hint="eastAsia"/>
          <w:w w:val="102"/>
        </w:rPr>
        <w:t>⑤其</w:t>
      </w:r>
      <w:r>
        <w:rPr>
          <w:rFonts w:ascii="微软雅黑" w:eastAsia="微软雅黑" w:hAnsi="微软雅黑" w:hint="eastAsia"/>
          <w:spacing w:val="-13"/>
          <w:w w:val="102"/>
        </w:rPr>
        <w:t>他</w:t>
      </w:r>
      <w:r>
        <w:rPr>
          <w:rFonts w:ascii="微软雅黑" w:eastAsia="微软雅黑" w:hAnsi="微软雅黑" w:hint="eastAsia"/>
        </w:rPr>
        <w:t xml:space="preserve">十、粪便潜血试验         </w:t>
      </w:r>
      <w:r>
        <w:rPr>
          <w:rFonts w:ascii="微软雅黑" w:eastAsia="微软雅黑" w:hAnsi="微软雅黑" w:hint="eastAsia"/>
          <w:spacing w:val="77"/>
        </w:rPr>
        <w:t xml:space="preserve"> </w:t>
      </w:r>
      <w:r>
        <w:rPr>
          <w:rFonts w:ascii="微软雅黑" w:eastAsia="微软雅黑" w:hAnsi="微软雅黑" w:hint="eastAsia"/>
        </w:rPr>
        <w:t>免疫法：</w:t>
        <w:tab/>
        <w:t>①</w:t>
      </w:r>
      <w:r>
        <w:rPr>
          <w:rFonts w:ascii="微软雅黑" w:eastAsia="微软雅黑" w:hAnsi="微软雅黑" w:hint="eastAsia"/>
          <w:spacing w:val="70"/>
        </w:rPr>
        <w:t xml:space="preserve"> </w:t>
      </w:r>
      <w:r>
        <w:rPr>
          <w:rFonts w:ascii="微软雅黑" w:eastAsia="微软雅黑" w:hAnsi="微软雅黑" w:hint="eastAsia"/>
        </w:rPr>
        <w:t>阳性</w:t>
        <w:tab/>
        <w:t>②</w:t>
      </w:r>
      <w:r>
        <w:rPr>
          <w:rFonts w:ascii="微软雅黑" w:eastAsia="微软雅黑" w:hAnsi="微软雅黑" w:hint="eastAsia"/>
          <w:spacing w:val="-27"/>
        </w:rPr>
        <w:t xml:space="preserve"> </w:t>
      </w:r>
      <w:r>
        <w:rPr>
          <w:rFonts w:ascii="微软雅黑" w:eastAsia="微软雅黑" w:hAnsi="微软雅黑" w:hint="eastAsia"/>
        </w:rPr>
        <w:t>阴 性</w:t>
      </w:r>
    </w:p>
    <w:p>
      <w:pPr>
        <w:spacing w:after="0" w:line="314" w:lineRule="auto"/>
        <w:jc w:val="both"/>
        <w:rPr>
          <w:rFonts w:hint="eastAsia"/>
        </w:rPr>
        <w:sectPr>
          <w:footerReference w:type="default" r:id="rId41"/>
          <w:type w:val="continuous"/>
          <w:pgSz w:w="17860" w:h="25260"/>
          <w:pgMar w:top="2420" w:right="0" w:bottom="1980" w:left="120" w:header="708" w:footer="708"/>
          <w:pgNumType w:start="47"/>
          <w:cols w:space="708"/>
        </w:sectPr>
      </w:pPr>
    </w:p>
    <w:p>
      <w:pPr>
        <w:pStyle w:val="BodyText"/>
        <w:tabs>
          <w:tab w:val="left" w:pos="9673"/>
          <w:tab w:val="left" w:pos="12035"/>
          <w:tab w:val="left" w:pos="12978"/>
          <w:tab w:val="left" w:pos="13926"/>
        </w:tabs>
        <w:spacing w:before="12"/>
        <w:ind w:left="4157"/>
        <w:rPr>
          <w:rFonts w:ascii="微软雅黑" w:eastAsia="微软雅黑" w:hint="eastAsia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331308</wp:posOffset>
            </wp:positionV>
            <wp:extent cx="1727200" cy="38100"/>
            <wp:effectExtent l="0" t="0" r="0" b="0"/>
            <wp:wrapNone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331308</wp:posOffset>
            </wp:positionV>
            <wp:extent cx="622300" cy="38100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331308</wp:posOffset>
            </wp:positionV>
            <wp:extent cx="419100" cy="38100"/>
            <wp:effectExtent l="0" t="0" r="0" b="0"/>
            <wp:wrapNone/>
            <wp:docPr id="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8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331308</wp:posOffset>
            </wp:positionV>
            <wp:extent cx="431800" cy="38100"/>
            <wp:effectExtent l="0" t="0" r="0" b="0"/>
            <wp:wrapNone/>
            <wp:docPr id="4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int="eastAsia"/>
        </w:rPr>
        <w:t>调查员签名：</w:t>
        <w:tab/>
        <w:t>调查日期</w:t>
        <w:tab/>
        <w:t>年</w:t>
        <w:tab/>
        <w:t>月</w:t>
        <w:tab/>
        <w:t>日</w:t>
      </w:r>
    </w:p>
    <w:p>
      <w:pPr>
        <w:pStyle w:val="BodyText"/>
        <w:spacing w:before="167"/>
        <w:ind w:left="258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备注：</w:t>
      </w:r>
    </w:p>
    <w:p>
      <w:pPr>
        <w:pStyle w:val="BodyText"/>
        <w:spacing w:line="525" w:lineRule="exact"/>
        <w:ind w:left="258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1、 慢性腹泻指近 2 年来腹泻累计持续超过 3 个月，每次发作持续时间在1 周以上。</w:t>
      </w:r>
    </w:p>
    <w:p>
      <w:pPr>
        <w:pStyle w:val="BodyText"/>
        <w:spacing w:line="540" w:lineRule="exact"/>
        <w:ind w:left="258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2、 慢性便秘指近 2 年来便秘每年在 2 个月以上。</w:t>
      </w:r>
    </w:p>
    <w:p>
      <w:pPr>
        <w:pStyle w:val="BodyText"/>
        <w:spacing w:before="4" w:line="228" w:lineRule="auto"/>
        <w:ind w:left="3232" w:right="2656" w:hanging="652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3</w:t>
      </w:r>
      <w:r>
        <w:rPr>
          <w:rFonts w:ascii="微软雅黑" w:eastAsia="微软雅黑" w:hint="eastAsia"/>
          <w:spacing w:val="1"/>
        </w:rPr>
        <w:t xml:space="preserve">、 不良生活事件史须发生在近 </w:t>
      </w:r>
      <w:r>
        <w:rPr>
          <w:rFonts w:ascii="微软雅黑" w:eastAsia="微软雅黑" w:hint="eastAsia"/>
        </w:rPr>
        <w:t>20</w:t>
      </w:r>
      <w:r>
        <w:rPr>
          <w:rFonts w:ascii="微软雅黑" w:eastAsia="微软雅黑" w:hint="eastAsia"/>
          <w:spacing w:val="-1"/>
        </w:rPr>
        <w:t xml:space="preserve"> 年内，并在事件发生后对调查对象造成较大精神创伤或</w:t>
      </w:r>
      <w:r>
        <w:rPr>
          <w:rFonts w:ascii="微软雅黑" w:eastAsia="微软雅黑" w:hint="eastAsia"/>
        </w:rPr>
        <w:t>痛苦。</w:t>
      </w:r>
    </w:p>
    <w:p>
      <w:pPr>
        <w:spacing w:before="79"/>
        <w:ind w:left="2580" w:right="0" w:firstLine="0"/>
        <w:jc w:val="left"/>
        <w:rPr>
          <w:sz w:val="36"/>
        </w:rPr>
      </w:pPr>
      <w:r>
        <w:rPr>
          <w:spacing w:val="-8"/>
          <w:sz w:val="36"/>
        </w:rPr>
        <w:t xml:space="preserve">附件 </w:t>
      </w:r>
      <w:r>
        <w:rPr>
          <w:sz w:val="36"/>
        </w:rPr>
        <w:t>4-3:</w:t>
      </w:r>
    </w:p>
    <w:p>
      <w:pPr>
        <w:spacing w:before="14" w:line="240" w:lineRule="auto"/>
        <w:rPr>
          <w:sz w:val="9"/>
        </w:rPr>
      </w:pPr>
    </w:p>
    <w:p>
      <w:pPr>
        <w:pStyle w:val="Heading2"/>
        <w:spacing w:before="46"/>
        <w:ind w:right="453"/>
        <w:jc w:val="center"/>
      </w:pPr>
      <w:r>
        <w:t>“大肠癌早诊早治示范基地”基线调查</w:t>
      </w:r>
    </w:p>
    <w:p>
      <w:pPr>
        <w:spacing w:before="271"/>
        <w:ind w:left="351" w:right="460" w:firstLine="0"/>
        <w:jc w:val="center"/>
        <w:rPr>
          <w:rFonts w:ascii="华文中宋" w:eastAsia="华文中宋" w:hAnsi="华文中宋" w:hint="eastAsia"/>
          <w:b/>
          <w:sz w:val="42"/>
        </w:rPr>
      </w:pPr>
      <w:r>
        <w:rPr>
          <w:rFonts w:ascii="华文中宋" w:eastAsia="华文中宋" w:hAnsi="华文中宋" w:hint="eastAsia"/>
          <w:b/>
          <w:sz w:val="42"/>
        </w:rPr>
        <w:t>——癌症防治知识调查表</w:t>
      </w:r>
    </w:p>
    <w:p>
      <w:pPr>
        <w:pStyle w:val="BodyText"/>
        <w:spacing w:before="1"/>
        <w:rPr>
          <w:rFonts w:ascii="华文中宋"/>
          <w:b/>
          <w:sz w:val="37"/>
        </w:rPr>
      </w:pPr>
    </w:p>
    <w:p>
      <w:pPr>
        <w:pStyle w:val="BodyText"/>
        <w:tabs>
          <w:tab w:val="left" w:pos="10141"/>
        </w:tabs>
        <w:spacing w:before="1"/>
        <w:ind w:left="2739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编号：</w:t>
        <w:tab/>
        <w:t>输机编号：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  <w:sectPr>
          <w:footerReference w:type="default" r:id="rId46"/>
          <w:pgSz w:w="17860" w:h="25260"/>
          <w:pgMar w:top="1980" w:right="0" w:bottom="2000" w:left="120" w:header="0" w:footer="1795"/>
          <w:pgNumType w:start="48"/>
          <w:cols w:space="708"/>
        </w:sectPr>
      </w:pPr>
    </w:p>
    <w:p>
      <w:pPr>
        <w:spacing w:before="12" w:line="240" w:lineRule="auto"/>
        <w:rPr>
          <w:sz w:val="28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360306</wp:posOffset>
            </wp:positionV>
            <wp:extent cx="1270" cy="1270"/>
            <wp:effectExtent l="0" t="0" r="0" b="0"/>
            <wp:wrapTopAndBottom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360306</wp:posOffset>
            </wp:positionV>
            <wp:extent cx="1270" cy="1270"/>
            <wp:effectExtent l="0" t="0" r="0" b="0"/>
            <wp:wrapTopAndBottom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28"/>
        </w:rPr>
        <w:sectPr>
          <w:footerReference w:type="default" r:id="rId48"/>
          <w:type w:val="nextPage"/>
          <w:pgSz w:w="17860" w:h="25260"/>
          <w:pgMar w:top="1980" w:right="0" w:bottom="2000" w:left="120" w:header="0" w:footer="1795"/>
          <w:pgNumType w:start="49"/>
          <w:cols w:space="708"/>
          <w:titlePg w:val="0"/>
        </w:sectPr>
      </w:pPr>
    </w:p>
    <w:p>
      <w:pPr>
        <w:pStyle w:val="BodyText"/>
        <w:tabs>
          <w:tab w:val="left" w:pos="7012"/>
        </w:tabs>
        <w:spacing w:line="14933" w:lineRule="exact"/>
        <w:ind w:left="2739"/>
        <w:rPr>
          <w:rFonts w:ascii="Times New Roman" w:eastAsia="Times New Roman"/>
        </w:rPr>
      </w:pPr>
      <w:r>
        <w:t>调查对象姓</w:t>
      </w:r>
      <w:r>
        <w:rPr>
          <w:spacing w:val="-8"/>
        </w:rPr>
        <w:t>名</w:t>
      </w:r>
      <w:r>
        <w:rPr>
          <w:rFonts w:ascii="Arial" w:eastAsia="Arial"/>
        </w:rPr>
        <w:t>: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line="14933" w:lineRule="exact"/>
        <w:ind w:left="1447"/>
      </w:pPr>
      <w:r>
        <w:br w:type="column"/>
      </w:r>
      <w:r>
        <w:t>身份证号：</w:t>
      </w:r>
    </w:p>
    <w:p>
      <w:pPr>
        <w:spacing w:after="0" w:line="14933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https://d.book118.com/676045103150010050</w:t>
        </w:r>
      </w:hyperlink>
    </w:p>
    <w:p>
      <w:pPr>
        <w:spacing w:after="0" w:line="14933" w:lineRule="exact"/>
      </w:pPr>
    </w:p>
    <w:sectPr>
      <w:footerReference w:type="default" r:id="rId50"/>
      <w:type w:val="continuous"/>
      <w:pgSz w:w="17860" w:h="25260"/>
      <w:pgMar w:top="2420" w:right="0" w:bottom="1980" w:left="120" w:header="708" w:footer="708"/>
      <w:pgNumType w:start="50"/>
      <w:cols w:num="2" w:space="708" w:equalWidth="0">
        <w:col w:w="7013" w:space="40"/>
        <w:col w:w="10687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5pt;height:18.45pt;margin-top:1159.71pt;margin-left:741.6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8.45pt;margin-top:1159.71pt;margin-left:741.6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5pt;height:18.45pt;margin-top:1159.71pt;margin-left:741.6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5pt;height:18.45pt;margin-top:1159.71pt;margin-left:741.6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5pt;height:18.45pt;margin-top:1159.71pt;margin-left:741.6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5pt;height:18.45pt;margin-top:1159.71pt;margin-left:741.6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5pt;height:18.45pt;margin-top:1159.71pt;margin-left:741.6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5pt;height:18.45pt;margin-top:1159.71pt;margin-left:741.6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5pt;height:18.45pt;margin-top:1159.71pt;margin-left:741.6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5pt;height:18.45pt;margin-top:1159.71pt;margin-left:741.6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5pt;height:18.45pt;margin-top:1159.71pt;margin-left:741.6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58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5pt;height:18.45pt;margin-top:1159.71pt;margin-left:741.6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5pt;height:18.45pt;margin-top:1159.71pt;margin-left:741.6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58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5pt;height:18.45pt;margin-top:1159.71pt;margin-left:741.6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58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5pt;height:18.45pt;margin-top:1159.71pt;margin-left:741.6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5pt;height:18.45pt;margin-top:1159.71pt;margin-left:741.6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5pt;height:18.45pt;margin-top:1159.71pt;margin-left:741.6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0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51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94B20"/>
    <w:multiLevelType w:val="hybridMultilevel"/>
    <w:tmpl w:val="00000000"/>
    <w:lvl w:ilvl="0">
      <w:start w:val="3"/>
      <w:numFmt w:val="decimal"/>
      <w:lvlText w:val="%1."/>
      <w:lvlJc w:val="left"/>
      <w:pPr>
        <w:ind w:left="203" w:hanging="2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11" w:hanging="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" w:hanging="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" w:hanging="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" w:hanging="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" w:hanging="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" w:hanging="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" w:hanging="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" w:hanging="204"/>
      </w:pPr>
      <w:rPr>
        <w:rFonts w:hint="default"/>
      </w:rPr>
    </w:lvl>
  </w:abstractNum>
  <w:abstractNum w:abstractNumId="1">
    <w:nsid w:val="0493650C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2">
    <w:nsid w:val="067EDF16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3">
    <w:nsid w:val="10000180"/>
    <w:multiLevelType w:val="hybridMultilevel"/>
    <w:tmpl w:val="00000000"/>
    <w:lvl w:ilvl="0">
      <w:start w:val="1"/>
      <w:numFmt w:val="decimal"/>
      <w:lvlText w:val="%1."/>
      <w:lvlJc w:val="left"/>
      <w:pPr>
        <w:ind w:left="3599" w:hanging="299"/>
        <w:jc w:val="righ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2580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17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2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4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6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934"/>
      </w:pPr>
      <w:rPr>
        <w:rFonts w:hint="default"/>
      </w:rPr>
    </w:lvl>
  </w:abstractNum>
  <w:abstractNum w:abstractNumId="4">
    <w:nsid w:val="15AECBEE"/>
    <w:multiLevelType w:val="hybridMultilevel"/>
    <w:tmpl w:val="00000000"/>
    <w:lvl w:ilvl="0">
      <w:start w:val="2"/>
      <w:numFmt w:val="decimal"/>
      <w:lvlText w:val="%1."/>
      <w:lvlJc w:val="left"/>
      <w:pPr>
        <w:ind w:left="252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470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2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2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3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35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5" w:hanging="206"/>
      </w:pPr>
      <w:rPr>
        <w:rFonts w:hint="default"/>
      </w:rPr>
    </w:lvl>
  </w:abstractNum>
  <w:abstractNum w:abstractNumId="5">
    <w:nsid w:val="1768BCD3"/>
    <w:multiLevelType w:val="hybridMultilevel"/>
    <w:tmpl w:val="00000000"/>
    <w:lvl w:ilvl="0">
      <w:start w:val="1"/>
      <w:numFmt w:val="decimal"/>
      <w:lvlText w:val="%1"/>
      <w:lvlJc w:val="left"/>
      <w:pPr>
        <w:ind w:left="4629" w:hanging="789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2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decimal"/>
      <w:lvlText w:val="%3."/>
      <w:lvlJc w:val="left"/>
      <w:pPr>
        <w:ind w:left="4788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765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318"/>
      </w:pPr>
      <w:rPr>
        <w:rFonts w:hint="default"/>
      </w:rPr>
    </w:lvl>
  </w:abstractNum>
  <w:abstractNum w:abstractNumId="6">
    <w:nsid w:val="264C9521"/>
    <w:multiLevelType w:val="hybridMultilevel"/>
    <w:tmpl w:val="00000000"/>
    <w:lvl w:ilvl="0">
      <w:start w:val="1"/>
      <w:numFmt w:val="decimal"/>
      <w:lvlText w:val="%1"/>
      <w:lvlJc w:val="left"/>
      <w:pPr>
        <w:ind w:left="476" w:hanging="477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76" w:hanging="477"/>
        <w:jc w:val="left"/>
      </w:pPr>
      <w:rPr>
        <w:rFonts w:ascii="Arial" w:eastAsia="Arial" w:hAnsi="Arial" w:cs="Arial" w:hint="default"/>
        <w:spacing w:val="-1"/>
        <w:w w:val="91"/>
        <w:position w:val="4"/>
        <w:sz w:val="29"/>
        <w:szCs w:val="29"/>
      </w:rPr>
    </w:lvl>
    <w:lvl w:ilvl="2">
      <w:start w:val="1"/>
      <w:numFmt w:val="decimal"/>
      <w:lvlText w:val="%3."/>
      <w:lvlJc w:val="left"/>
      <w:pPr>
        <w:ind w:left="1151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3">
      <w:start w:val="0"/>
      <w:numFmt w:val="bullet"/>
      <w:lvlText w:val="•"/>
      <w:lvlJc w:val="left"/>
      <w:pPr>
        <w:ind w:left="2037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6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5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54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93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32" w:hanging="206"/>
      </w:pPr>
      <w:rPr>
        <w:rFonts w:hint="default"/>
      </w:rPr>
    </w:lvl>
  </w:abstractNum>
  <w:abstractNum w:abstractNumId="7">
    <w:nsid w:val="2C5A1E15"/>
    <w:multiLevelType w:val="hybridMultilevel"/>
    <w:tmpl w:val="00000000"/>
    <w:lvl w:ilvl="0">
      <w:start w:val="1"/>
      <w:numFmt w:val="decimal"/>
      <w:lvlText w:val="%1."/>
      <w:lvlJc w:val="left"/>
      <w:pPr>
        <w:ind w:left="2014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1"/>
      <w:numFmt w:val="decimal"/>
      <w:lvlText w:val="%2."/>
      <w:lvlJc w:val="left"/>
      <w:pPr>
        <w:ind w:left="3840" w:hanging="630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45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1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1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9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67" w:hanging="630"/>
      </w:pPr>
      <w:rPr>
        <w:rFonts w:hint="default"/>
      </w:rPr>
    </w:lvl>
  </w:abstractNum>
  <w:abstractNum w:abstractNumId="8">
    <w:nsid w:val="2E516694"/>
    <w:multiLevelType w:val="hybridMultilevel"/>
    <w:tmpl w:val="00000000"/>
    <w:lvl w:ilvl="0">
      <w:start w:val="2"/>
      <w:numFmt w:val="decimal"/>
      <w:lvlText w:val="%1."/>
      <w:lvlJc w:val="left"/>
      <w:pPr>
        <w:ind w:left="661" w:hanging="206"/>
        <w:jc w:val="left"/>
      </w:pPr>
      <w:rPr>
        <w:rFonts w:ascii="Times New Roman" w:eastAsia="Times New Roman" w:hAnsi="Times New Roman" w:cs="Times New Roman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96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32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8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4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0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76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12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48" w:hanging="206"/>
      </w:pPr>
      <w:rPr>
        <w:rFonts w:hint="default"/>
      </w:rPr>
    </w:lvl>
  </w:abstractNum>
  <w:abstractNum w:abstractNumId="9">
    <w:nsid w:val="36B88946"/>
    <w:multiLevelType w:val="hybridMultilevel"/>
    <w:tmpl w:val="00000000"/>
    <w:lvl w:ilvl="0">
      <w:start w:val="2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10">
    <w:nsid w:val="37303E9B"/>
    <w:multiLevelType w:val="hybridMultilevel"/>
    <w:tmpl w:val="00000000"/>
    <w:lvl w:ilvl="0">
      <w:start w:val="1"/>
      <w:numFmt w:val="decimal"/>
      <w:lvlText w:val="%1)"/>
      <w:lvlJc w:val="left"/>
      <w:pPr>
        <w:ind w:left="3160" w:hanging="58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3642" w:hanging="630"/>
        <w:jc w:val="left"/>
      </w:pPr>
      <w:rPr>
        <w:rFonts w:hint="default"/>
        <w:w w:val="101"/>
        <w:position w:val="1"/>
      </w:rPr>
    </w:lvl>
    <w:lvl w:ilvl="2">
      <w:start w:val="0"/>
      <w:numFmt w:val="bullet"/>
      <w:lvlText w:val="•"/>
      <w:lvlJc w:val="left"/>
      <w:pPr>
        <w:ind w:left="364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14" w:hanging="630"/>
      </w:pPr>
      <w:rPr>
        <w:rFonts w:hint="default"/>
      </w:rPr>
    </w:lvl>
  </w:abstractNum>
  <w:abstractNum w:abstractNumId="11">
    <w:nsid w:val="383823DC"/>
    <w:multiLevelType w:val="hybridMultilevel"/>
    <w:tmpl w:val="00000000"/>
    <w:lvl w:ilvl="0">
      <w:start w:val="1"/>
      <w:numFmt w:val="decimal"/>
      <w:lvlText w:val="%1."/>
      <w:lvlJc w:val="left"/>
      <w:pPr>
        <w:ind w:left="205" w:hanging="206"/>
        <w:jc w:val="left"/>
      </w:pPr>
      <w:rPr>
        <w:rFonts w:ascii="Times New Roman" w:eastAsia="Times New Roman" w:hAnsi="Times New Roman" w:cs="Times New Roman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72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5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7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0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62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35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7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80" w:hanging="206"/>
      </w:pPr>
      <w:rPr>
        <w:rFonts w:hint="default"/>
      </w:rPr>
    </w:lvl>
  </w:abstractNum>
  <w:abstractNum w:abstractNumId="12">
    <w:nsid w:val="3E4368DF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408"/>
        <w:jc w:val="left"/>
      </w:pPr>
      <w:rPr>
        <w:rFonts w:ascii="Arial" w:eastAsia="Arial" w:hAnsi="Arial" w:cs="Arial" w:hint="default"/>
        <w:spacing w:val="0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699" w:hanging="4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9" w:hanging="4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99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98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98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98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97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97" w:hanging="408"/>
      </w:pPr>
      <w:rPr>
        <w:rFonts w:hint="default"/>
      </w:rPr>
    </w:lvl>
  </w:abstractNum>
  <w:abstractNum w:abstractNumId="13">
    <w:nsid w:val="3E621AF0"/>
    <w:multiLevelType w:val="hybridMultilevel"/>
    <w:tmpl w:val="00000000"/>
    <w:lvl w:ilvl="0">
      <w:start w:val="2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14">
    <w:nsid w:val="44C104E5"/>
    <w:multiLevelType w:val="hybridMultilevel"/>
    <w:tmpl w:val="00000000"/>
    <w:lvl w:ilvl="0">
      <w:start w:val="2"/>
      <w:numFmt w:val="decimal"/>
      <w:lvlText w:val="%1"/>
      <w:lvlJc w:val="left"/>
      <w:pPr>
        <w:ind w:left="446" w:hanging="447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46" w:hanging="447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</w:rPr>
    </w:lvl>
    <w:lvl w:ilvl="2">
      <w:start w:val="1"/>
      <w:numFmt w:val="decimal"/>
      <w:lvlText w:val="%3."/>
      <w:lvlJc w:val="left"/>
      <w:pPr>
        <w:ind w:left="746" w:hanging="2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1863" w:hanging="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5" w:hanging="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87" w:hanging="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49" w:hanging="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10" w:hanging="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72" w:hanging="204"/>
      </w:pPr>
      <w:rPr>
        <w:rFonts w:hint="default"/>
      </w:rPr>
    </w:lvl>
  </w:abstractNum>
  <w:abstractNum w:abstractNumId="15">
    <w:nsid w:val="47C43188"/>
    <w:multiLevelType w:val="hybridMultilevel"/>
    <w:tmpl w:val="00000000"/>
    <w:lvl w:ilvl="0">
      <w:start w:val="1"/>
      <w:numFmt w:val="decimal"/>
      <w:lvlText w:val="（%1）"/>
      <w:lvlJc w:val="left"/>
      <w:pPr>
        <w:ind w:left="477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07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7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6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6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934"/>
      </w:pPr>
      <w:rPr>
        <w:rFonts w:hint="default"/>
      </w:rPr>
    </w:lvl>
  </w:abstractNum>
  <w:abstractNum w:abstractNumId="16">
    <w:nsid w:val="49AC66B7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17">
    <w:nsid w:val="4DA0A6F6"/>
    <w:multiLevelType w:val="hybridMultilevel"/>
    <w:tmpl w:val="00000000"/>
    <w:lvl w:ilvl="0">
      <w:start w:val="2"/>
      <w:numFmt w:val="decimal"/>
      <w:lvlText w:val="%1."/>
      <w:lvlJc w:val="left"/>
      <w:pPr>
        <w:ind w:left="3599" w:hanging="299"/>
        <w:jc w:val="righ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477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6219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9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9" w:hanging="934"/>
      </w:pPr>
      <w:rPr>
        <w:rFonts w:hint="default"/>
      </w:rPr>
    </w:lvl>
  </w:abstractNum>
  <w:abstractNum w:abstractNumId="18">
    <w:nsid w:val="5643B2C0"/>
    <w:multiLevelType w:val="hybridMultilevel"/>
    <w:tmpl w:val="00000000"/>
    <w:lvl w:ilvl="0">
      <w:start w:val="1"/>
      <w:numFmt w:val="decimal"/>
      <w:lvlText w:val="%1"/>
      <w:lvlJc w:val="left"/>
      <w:pPr>
        <w:ind w:left="587" w:hanging="48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87" w:hanging="483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</w:rPr>
    </w:lvl>
    <w:lvl w:ilvl="2">
      <w:start w:val="1"/>
      <w:numFmt w:val="decimal"/>
      <w:lvlText w:val="%3."/>
      <w:lvlJc w:val="left"/>
      <w:pPr>
        <w:ind w:left="995" w:hanging="4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5"/>
        <w:szCs w:val="25"/>
      </w:rPr>
    </w:lvl>
    <w:lvl w:ilvl="3">
      <w:start w:val="0"/>
      <w:numFmt w:val="bullet"/>
      <w:lvlText w:val="•"/>
      <w:lvlJc w:val="left"/>
      <w:pPr>
        <w:ind w:left="2195" w:hanging="4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93" w:hanging="4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91" w:hanging="4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8" w:hanging="4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86" w:hanging="4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84" w:hanging="408"/>
      </w:pPr>
      <w:rPr>
        <w:rFonts w:hint="default"/>
      </w:rPr>
    </w:lvl>
  </w:abstractNum>
  <w:abstractNum w:abstractNumId="19">
    <w:nsid w:val="58BDF7B2"/>
    <w:multiLevelType w:val="hybridMultilevel"/>
    <w:tmpl w:val="00000000"/>
    <w:lvl w:ilvl="0">
      <w:start w:val="1"/>
      <w:numFmt w:val="decimal"/>
      <w:lvlText w:val="（%1）"/>
      <w:lvlJc w:val="left"/>
      <w:pPr>
        <w:ind w:left="477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07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7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6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6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934"/>
      </w:pPr>
      <w:rPr>
        <w:rFonts w:hint="default"/>
      </w:rPr>
    </w:lvl>
  </w:abstractNum>
  <w:abstractNum w:abstractNumId="20">
    <w:nsid w:val="59EB8C32"/>
    <w:multiLevelType w:val="hybridMultilevel"/>
    <w:tmpl w:val="00000000"/>
    <w:lvl w:ilvl="0">
      <w:start w:val="2"/>
      <w:numFmt w:val="decimal"/>
      <w:lvlText w:val="%1."/>
      <w:lvlJc w:val="left"/>
      <w:pPr>
        <w:ind w:left="3192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3658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6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4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2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90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48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07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65" w:hanging="206"/>
      </w:pPr>
      <w:rPr>
        <w:rFonts w:hint="default"/>
      </w:rPr>
    </w:lvl>
  </w:abstractNum>
  <w:abstractNum w:abstractNumId="21">
    <w:nsid w:val="5BB3DD57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22">
    <w:nsid w:val="62F6A0C5"/>
    <w:multiLevelType w:val="hybridMultilevel"/>
    <w:tmpl w:val="00000000"/>
    <w:lvl w:ilvl="0">
      <w:start w:val="1"/>
      <w:numFmt w:val="decimal"/>
      <w:lvlText w:val="%1."/>
      <w:lvlJc w:val="left"/>
      <w:pPr>
        <w:ind w:left="205" w:hanging="206"/>
        <w:jc w:val="left"/>
      </w:pPr>
      <w:rPr>
        <w:rFonts w:ascii="Times New Roman" w:eastAsia="Times New Roman" w:hAnsi="Times New Roman" w:cs="Times New Roman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26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3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79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6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32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59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85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12" w:hanging="206"/>
      </w:pPr>
      <w:rPr>
        <w:rFonts w:hint="default"/>
      </w:rPr>
    </w:lvl>
  </w:abstractNum>
  <w:abstractNum w:abstractNumId="23">
    <w:nsid w:val="6E23ACB7"/>
    <w:multiLevelType w:val="hybridMultilevel"/>
    <w:tmpl w:val="00000000"/>
    <w:lvl w:ilvl="0">
      <w:start w:val="1"/>
      <w:numFmt w:val="decimal"/>
      <w:lvlText w:val="%1."/>
      <w:lvlJc w:val="left"/>
      <w:pPr>
        <w:ind w:left="2580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95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1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27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3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5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1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299"/>
      </w:pPr>
      <w:rPr>
        <w:rFonts w:hint="default"/>
      </w:rPr>
    </w:lvl>
  </w:abstractNum>
  <w:abstractNum w:abstractNumId="24">
    <w:nsid w:val="6EA793B4"/>
    <w:multiLevelType w:val="hybridMultilevel"/>
    <w:tmpl w:val="00000000"/>
    <w:lvl w:ilvl="0">
      <w:start w:val="1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05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" w:hanging="238"/>
      </w:pPr>
      <w:rPr>
        <w:rFonts w:hint="default"/>
      </w:rPr>
    </w:lvl>
  </w:abstractNum>
  <w:abstractNum w:abstractNumId="25">
    <w:nsid w:val="6F897196"/>
    <w:multiLevelType w:val="hybridMultilevel"/>
    <w:tmpl w:val="00000000"/>
    <w:lvl w:ilvl="0">
      <w:start w:val="4"/>
      <w:numFmt w:val="decimal"/>
      <w:lvlText w:val="%1."/>
      <w:lvlJc w:val="left"/>
      <w:pPr>
        <w:ind w:left="3840" w:hanging="630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522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630"/>
      </w:pPr>
      <w:rPr>
        <w:rFonts w:hint="default"/>
      </w:rPr>
    </w:lvl>
  </w:abstractNum>
  <w:abstractNum w:abstractNumId="26">
    <w:nsid w:val="776AA1AD"/>
    <w:multiLevelType w:val="hybridMultilevel"/>
    <w:tmpl w:val="00000000"/>
    <w:lvl w:ilvl="0">
      <w:start w:val="3"/>
      <w:numFmt w:val="decimal"/>
      <w:lvlText w:val="%1."/>
      <w:lvlJc w:val="left"/>
      <w:pPr>
        <w:ind w:left="255" w:hanging="206"/>
        <w:jc w:val="left"/>
      </w:pPr>
      <w:rPr>
        <w:rFonts w:ascii="Arial" w:eastAsia="Arial" w:hAnsi="Arial" w:cs="Arial" w:hint="default"/>
        <w:w w:val="89"/>
        <w:sz w:val="25"/>
        <w:szCs w:val="25"/>
      </w:rPr>
    </w:lvl>
    <w:lvl w:ilvl="1">
      <w:start w:val="0"/>
      <w:numFmt w:val="bullet"/>
      <w:lvlText w:val="•"/>
      <w:lvlJc w:val="left"/>
      <w:pPr>
        <w:ind w:left="556" w:hanging="2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53" w:hanging="2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9" w:hanging="2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6" w:hanging="2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43" w:hanging="2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39" w:hanging="2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36" w:hanging="2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32" w:hanging="206"/>
      </w:pPr>
      <w:rPr>
        <w:rFonts w:hint="default"/>
      </w:rPr>
    </w:lvl>
  </w:abstractNum>
  <w:abstractNum w:abstractNumId="27">
    <w:nsid w:val="7AB1EFCA"/>
    <w:multiLevelType w:val="hybridMultilevel"/>
    <w:tmpl w:val="00000000"/>
    <w:lvl w:ilvl="0">
      <w:start w:val="2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28">
    <w:nsid w:val="7B08B1F6"/>
    <w:multiLevelType w:val="hybridMultilevel"/>
    <w:tmpl w:val="00000000"/>
    <w:lvl w:ilvl="0">
      <w:start w:val="2"/>
      <w:numFmt w:val="decimal"/>
      <w:lvlText w:val="%1"/>
      <w:lvlJc w:val="left"/>
      <w:pPr>
        <w:ind w:left="237" w:hanging="238"/>
        <w:jc w:val="lef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8" w:hanging="238"/>
      </w:pPr>
      <w:rPr>
        <w:rFonts w:hint="default"/>
      </w:rPr>
    </w:lvl>
  </w:abstractNum>
  <w:abstractNum w:abstractNumId="29">
    <w:nsid w:val="7CBC3799"/>
    <w:multiLevelType w:val="hybridMultilevel"/>
    <w:tmpl w:val="00000000"/>
    <w:lvl w:ilvl="0">
      <w:start w:val="1"/>
      <w:numFmt w:val="decimal"/>
      <w:lvlText w:val="%1."/>
      <w:lvlJc w:val="left"/>
      <w:pPr>
        <w:ind w:left="359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13" w:hanging="2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27" w:hanging="2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1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5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6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97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299"/>
      </w:pPr>
      <w:rPr>
        <w:rFonts w:hint="default"/>
      </w:rPr>
    </w:lvl>
  </w:abstractNum>
  <w:num w:numId="1">
    <w:abstractNumId w:val="1"/>
  </w:num>
  <w:num w:numId="2">
    <w:abstractNumId w:val="21"/>
  </w:num>
  <w:num w:numId="3">
    <w:abstractNumId w:val="24"/>
  </w:num>
  <w:num w:numId="4">
    <w:abstractNumId w:val="27"/>
  </w:num>
  <w:num w:numId="5">
    <w:abstractNumId w:val="13"/>
  </w:num>
  <w:num w:numId="6">
    <w:abstractNumId w:val="16"/>
  </w:num>
  <w:num w:numId="7">
    <w:abstractNumId w:val="28"/>
  </w:num>
  <w:num w:numId="8">
    <w:abstractNumId w:val="9"/>
  </w:num>
  <w:num w:numId="9">
    <w:abstractNumId w:val="2"/>
  </w:num>
  <w:num w:numId="10">
    <w:abstractNumId w:val="10"/>
  </w:num>
  <w:num w:numId="11">
    <w:abstractNumId w:val="5"/>
  </w:num>
  <w:num w:numId="12">
    <w:abstractNumId w:val="25"/>
  </w:num>
  <w:num w:numId="13">
    <w:abstractNumId w:val="7"/>
  </w:num>
  <w:num w:numId="14">
    <w:abstractNumId w:val="20"/>
  </w:num>
  <w:num w:numId="15">
    <w:abstractNumId w:val="0"/>
  </w:num>
  <w:num w:numId="16">
    <w:abstractNumId w:val="14"/>
  </w:num>
  <w:num w:numId="17">
    <w:abstractNumId w:val="22"/>
  </w:num>
  <w:num w:numId="18">
    <w:abstractNumId w:val="8"/>
  </w:num>
  <w:num w:numId="19">
    <w:abstractNumId w:val="18"/>
  </w:num>
  <w:num w:numId="20">
    <w:abstractNumId w:val="11"/>
  </w:num>
  <w:num w:numId="21">
    <w:abstractNumId w:val="26"/>
  </w:num>
  <w:num w:numId="22">
    <w:abstractNumId w:val="12"/>
  </w:num>
  <w:num w:numId="23">
    <w:abstractNumId w:val="4"/>
  </w:num>
  <w:num w:numId="24">
    <w:abstractNumId w:val="6"/>
  </w:num>
  <w:num w:numId="25">
    <w:abstractNumId w:val="29"/>
  </w:num>
  <w:num w:numId="26">
    <w:abstractNumId w:val="23"/>
  </w:num>
  <w:num w:numId="27">
    <w:abstractNumId w:val="3"/>
  </w:num>
  <w:num w:numId="28">
    <w:abstractNumId w:val="17"/>
  </w:num>
  <w:num w:numId="29">
    <w:abstractNumId w:val="19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351" w:right="474"/>
      <w:jc w:val="center"/>
      <w:outlineLvl w:val="0"/>
    </w:pPr>
    <w:rPr>
      <w:rFonts w:ascii="宋体" w:eastAsia="宋体" w:hAnsi="宋体" w:cs="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1"/>
      <w:ind w:left="351"/>
      <w:outlineLvl w:val="1"/>
    </w:pPr>
    <w:rPr>
      <w:rFonts w:ascii="华文中宋" w:eastAsia="华文中宋" w:hAnsi="华文中宋" w:cs="华文中宋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3286"/>
      <w:outlineLvl w:val="2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ind w:left="2580"/>
      <w:outlineLvl w:val="3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840" w:hanging="30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79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footer" Target="footer11.xml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image" Target="media/image13.png" /><Relationship Id="rId28" Type="http://schemas.openxmlformats.org/officeDocument/2006/relationships/image" Target="media/image14.png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footer" Target="footer12.xml" /><Relationship Id="rId4" Type="http://schemas.openxmlformats.org/officeDocument/2006/relationships/footer" Target="footer1.xml" /><Relationship Id="rId40" Type="http://schemas.openxmlformats.org/officeDocument/2006/relationships/footer" Target="footer13.xml" /><Relationship Id="rId41" Type="http://schemas.openxmlformats.org/officeDocument/2006/relationships/footer" Target="footer14.xml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footer" Target="footer15.xml" /><Relationship Id="rId47" Type="http://schemas.openxmlformats.org/officeDocument/2006/relationships/image" Target="media/image29.png" /><Relationship Id="rId48" Type="http://schemas.openxmlformats.org/officeDocument/2006/relationships/footer" Target="footer16.xml" /><Relationship Id="rId49" Type="http://schemas.openxmlformats.org/officeDocument/2006/relationships/hyperlink" Target="https://d.book118.com/676045103150010050" TargetMode="External" /><Relationship Id="rId5" Type="http://schemas.openxmlformats.org/officeDocument/2006/relationships/image" Target="media/image1.png" /><Relationship Id="rId50" Type="http://schemas.openxmlformats.org/officeDocument/2006/relationships/footer" Target="footer17.xm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2024-01-30T22:03:15Z</dcterms:created>
  <dcterms:modified xsi:type="dcterms:W3CDTF">2024-01-30T22:03:15Z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2024-01-30T00:00:00Z</vt:filetime>
  </property>
</Properties>
</file>