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电线电缆相关行业公司成立报告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一、电线电缆筹建公司基本信息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(七)、电线电缆项目建设必要性分析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(一)、电线电缆项目选址原则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eastAsia="zh-CN"/>
          </w:rPr>
          <w:t>(五)、电线电缆项目选址综合评价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六、电线电缆项目经济效益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(三)、电线电缆项目盈利能力分析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(五)、电线电缆项目总投资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_Toc5393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_Toc28942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(一)、电线电缆项目背景分析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(二)、电线电缆项目建设必要性分析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_Toc19053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(二)、合作电线电缆项目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2" w:history="1">
        <w:r>
          <w:rPr>
            <w:rFonts w:ascii="仿宋" w:eastAsia="仿宋" w:hAnsi="仿宋" w:cs="仿宋" w:hint="eastAsia"/>
            <w:lang w:eastAsia="zh-CN"/>
          </w:rPr>
          <w:t>十四、电线电缆项目总结分析</w:t>
        </w:r>
        <w:r>
          <w:tab/>
        </w:r>
        <w:r>
          <w:fldChar w:fldCharType="begin"/>
        </w:r>
        <w:r>
          <w:instrText xml:space="preserve"> PAGEREF _Toc4362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_Toc23786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26"/>
      <w:r>
        <w:rPr>
          <w:rFonts w:ascii="仿宋" w:eastAsia="仿宋" w:hAnsi="仿宋" w:cs="仿宋" w:hint="eastAsia"/>
          <w:sz w:val="28"/>
          <w:lang w:eastAsia="zh-CN"/>
        </w:rPr>
        <w:t>一、电线电缆筹建公司基本信息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2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3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00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66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经营范围：从事XXX相关业务(企业依法自主选择经营电线电缆项目，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开展经营活动；依法须经批准的电线电缆项目，经相关部门批准后依批准的内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容开展经营活动；不得从事本市产业政策禁止和限制类电线电缆项目的经营活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36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https://d.book118.com/676045105242010041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04510524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2024-01-18T21:52:00Z</dcterms:created>
  <dcterms:modified xsi:type="dcterms:W3CDTF">2024-01-18T21:52:30Z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65CF561FA8D44ADAA67C115E3AEF34CA_11</vt:lpwstr>
  </property>
  <property fmtid="{D5CDD505-2E9C-101B-9397-08002B2CF9AE}" pid="3" name="KSOProductBuildVer">
    <vt:lpwstr>2052-12.1.0.16120</vt:lpwstr>
  </property>
</Properties>
</file>