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2018-2023年石河子工程职业技术学院高职单招（数学／语文／英语）历年常考试题库含答案解析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小说《苦恼》中展示了“人与人”之间的关系，也展示了“人与马”之间的关系。这两方面又构成了（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B.类比关系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D.层递关系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《风波》、《断魂枪》、《苦恼》的作者依次是（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A.鲁迅、契诃夫、老舍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B.契诃夫、鲁迅、老舍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C.鲁迅、老舍、契诃夫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D.契诃夫、老舍、鲁迅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徐志摩的《再别康桥》被收录在诗集（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A.《志摩的诗》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B.《翡冷翠的一夜》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D.《云游集》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提出“文章合为时而著，歌诗合为事而作”创作主张的诗人是（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在《八声甘州》中，“是处红衰翠减，苒苒物华休”的修辞方法是（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鲁迅所处的时代是（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A.中国力争个性解放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B.中国进入现代化时期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C.中国复兴传统文化时期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D.中国正受外敌入侵、挨打的时期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郁达夫和郭沫若曾一起组织过（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A.语丝社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C.文学研究会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D.未名社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孔子所说的“小康”社会指的是（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A.五帝时代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B.商周时代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C.“三代之英”时代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D.春秋时代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对“岂得之难而失之易欤 抑本其成败之迹，而皆自于人欤 ”一句理解准确的一项是（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A.强调得天下困难而失天下容易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B.强调“得”“失”都是人事决定的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C.否定“得”与“失”的难易都是由人事决定的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D.否定得天下困难，承认失天下容易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孟子《寡人之于国也》所言“王道”的意思是（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A.称王天下的方法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B.用仁政治理天下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C.夺取王位的方法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D.用武力统一天下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我国诗歌史上被称为“诗圣”的是（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《氓》选自《诗经·国风》中的（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B.秦风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C.卫风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D.郑风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https://d.book118.com/676100025230010052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676100025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