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2024年辽宁冶金职业技术学院高职单招（英语／数学／语文）笔试历年真题摘选含答案解析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《麦琪的礼物》运用的结构方法是（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A.一虚一实，双线并行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C.四条情节线交叉叙述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D.追溯法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郭沫若标明为“眷念祖国的情绪”的诗作是（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A.《凤凰涅槃》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B.《天狗》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D.《地球，我的母亲》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《八声甘州》（对潇潇暮雨洒江天）上片写景的主要特点是（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A.移情于景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B.白描铺叙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C.因情造景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D.虚实交错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A.“初唐四杰”是指王勃、杨炯、卢照邻、骆宾王。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B.“中唐古文运动”的领袖是韩愈、柳宗元。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C.“新乐府运动”的倡导者是王维、白居易。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D.“小李杜”指的是李商隐、杜牧。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李煜《虞美人》“雕栏玉砌应犹在，只是朱颜改”的言外之意是（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下列《马伶传》的句子中具有讽刺意义的是（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A.耻其技之不若，而去数千里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B.李伶忽失声，匍匐前称弟子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C.或移坐更进之，首不复东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下列句子中，含有被动句式的是（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https://d.book118.com/676105133134010101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76105133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