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2018-2023年塔城职业技术学院高职单招（数学／语文／英语）历年常考试题库含答案解析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五四以后，郁达夫是哪个社团的发起人之一（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B.文学研究会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C.新月诗社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D.左联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《种树郭橐驼传》采用的主要写作手法是（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A.类比方法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B.对比手法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C.讽刺手法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D.拟人手法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陶渊明《饮酒》中，最富有哲理意味的诗句是（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A.飞鸟相与还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B.心远地自偏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C.结庐在人境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D.悠然见南山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《关山月》一诗的作者是（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A.陆游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《行路难》中具有象征意义的诗句是（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A.欲渡黄河冰塞川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B.玉盘珍羞直万钱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C.停杯投箸不能食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D.拔剑四顾心茫然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下列文学常识表述错误的是（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A.“初唐四杰”是指王勃、杨炯、卢照邻、骆宾王。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B.“中唐古文运动”的领袖是韩愈、柳宗元。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C.“新乐府运动”的倡导者是王维、白居易。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D.“小李杜”指的是李商隐、杜牧。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在《李将军列传》中，司马迁用“中石没镞”来刻画李将军的独特个性，这种人物描写方法是（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A.肖像描写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B.细节描写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C.心理描写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D.语言描写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《论快乐》选自钱锺书的散文集（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A.《随感录》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B.《写在人生边上》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C.《人·兽·鬼》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D.《谈艺录》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“乐府”最初的含义是（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A.先秦民歌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B.最早的格律诗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C.西汉王朝设立的掌管音乐的机构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D.宫廷里的歌舞厅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《诗经》中保存民歌最多的是（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A.国风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B.小雅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C.大雅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在《谏逐客书》中，李斯先说驱逐客卿是“藉寇兵而赍盗粮”，后说驱逐客卿是“损民以益仇”，这两者在论证方法上的不同是（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A.前者是类比法，后者是归纳法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B.前者是类比法，后者是对比法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C.前者是对比法，后者是归纳法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D.前者是对比法，后者是演绎法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下列成语出于《庄子·秋水》的是（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A.望洋兴叹、贻笑大方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B.望洋兴叹、祸起萧墙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C.贻笑大方，分崩离析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D.祸起萧墙、分崩离析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“泪添九曲黄河溢，恨压三峰华岳低”所用的修辞方法是（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A.夸张、用典、比喻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B.夸张、对偶、比喻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C.对偶、比喻、拟人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D.用典、夸张、对偶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《宝玉挨打》的根本原因是（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A.宝玉同情投井自杀的丫鬟金钏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B.宝玉与戏剧演员琪官的交往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C.鄙弃仕途经济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https://d.book118.com/676113012230010052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67611301223001005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