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D4CCF">
      <w:pPr>
        <w:pStyle w:val="Normal0"/>
        <w:jc w:val="center"/>
        <w:rPr>
          <w:rFonts w:ascii="华文细黑" w:eastAsia="华文细黑" w:hAnsi="华文细黑"/>
          <w:sz w:val="32"/>
          <w:lang w:eastAsia="zh-CN"/>
        </w:rPr>
      </w:pPr>
      <w:bookmarkStart w:id="0" w:name="_Toc30055"/>
      <w:bookmarkStart w:id="1" w:name="_Toc5212"/>
    </w:p>
    <w:p w:rsidR="008D4CCF">
      <w:pPr>
        <w:pStyle w:val="Normal0"/>
        <w:jc w:val="center"/>
        <w:rPr>
          <w:rFonts w:ascii="华文细黑" w:eastAsia="华文细黑" w:hAnsi="华文细黑"/>
          <w:sz w:val="32"/>
          <w:lang w:eastAsia="zh-CN"/>
        </w:rPr>
      </w:pPr>
    </w:p>
    <w:p w:rsidR="008D4CCF">
      <w:pPr>
        <w:pStyle w:val="Normal0"/>
        <w:jc w:val="center"/>
        <w:rPr>
          <w:rFonts w:ascii="华文细黑" w:eastAsia="华文细黑" w:hAnsi="华文细黑"/>
          <w:sz w:val="32"/>
          <w:lang w:eastAsia="zh-CN"/>
        </w:rPr>
      </w:pPr>
      <w:r>
        <w:rPr>
          <w:rFonts w:ascii="华文细黑" w:eastAsia="华文细黑" w:hAnsi="华文细黑" w:hint="eastAsia"/>
          <w:sz w:val="32"/>
          <w:lang w:eastAsia="zh-CN"/>
        </w:rPr>
        <w:t>技术标格式</w:t>
      </w:r>
    </w:p>
    <w:p w:rsidR="008D4CCF">
      <w:pPr>
        <w:pStyle w:val="Header0"/>
        <w:spacing w:line="360" w:lineRule="auto"/>
        <w:rPr>
          <w:rFonts w:ascii="华文细黑" w:eastAsia="华文细黑" w:hAnsi="华文细黑"/>
          <w:sz w:val="28"/>
          <w:lang w:eastAsia="zh-CN"/>
        </w:rPr>
      </w:pPr>
    </w:p>
    <w:p w:rsidR="008D4CCF">
      <w:pPr>
        <w:pStyle w:val="Header0"/>
        <w:spacing w:line="360" w:lineRule="auto"/>
        <w:rPr>
          <w:rFonts w:ascii="华文细黑" w:eastAsia="华文细黑" w:hAnsi="华文细黑"/>
          <w:sz w:val="28"/>
          <w:lang w:eastAsia="zh-CN"/>
        </w:rPr>
      </w:pPr>
      <w:r>
        <w:rPr>
          <w:rFonts w:ascii="华文细黑" w:eastAsia="华文细黑" w:hAnsi="华文细黑" w:hint="eastAsia"/>
          <w:sz w:val="28"/>
          <w:lang w:eastAsia="zh-CN"/>
        </w:rPr>
        <w:t>幕墙工程施工招标</w:t>
      </w:r>
    </w:p>
    <w:p w:rsidR="008D4CCF">
      <w:pPr>
        <w:pStyle w:val="Normal0"/>
        <w:jc w:val="center"/>
        <w:outlineLvl w:val="0"/>
        <w:rPr>
          <w:rFonts w:ascii="华文细黑" w:eastAsia="华文细黑" w:hAnsi="华文细黑"/>
          <w:sz w:val="52"/>
          <w:lang w:eastAsia="zh-CN"/>
        </w:rPr>
      </w:pPr>
      <w:bookmarkStart w:id="2" w:name="_Toc11475"/>
      <w:bookmarkStart w:id="3" w:name="_Toc26717"/>
      <w:r>
        <w:rPr>
          <w:rFonts w:ascii="华文细黑" w:eastAsia="华文细黑" w:hAnsi="华文细黑" w:hint="eastAsia"/>
          <w:sz w:val="52"/>
          <w:lang w:eastAsia="zh-CN"/>
        </w:rPr>
        <w:t>投标文件</w:t>
      </w:r>
      <w:bookmarkEnd w:id="2"/>
      <w:bookmarkEnd w:id="3"/>
    </w:p>
    <w:p w:rsidR="008D4CCF">
      <w:pPr>
        <w:pStyle w:val="Normal0"/>
        <w:jc w:val="center"/>
        <w:rPr>
          <w:rFonts w:ascii="华文细黑" w:eastAsia="华文细黑" w:hAnsi="华文细黑"/>
          <w:sz w:val="32"/>
          <w:lang w:eastAsia="zh-CN"/>
        </w:rPr>
      </w:pPr>
    </w:p>
    <w:p w:rsidR="008D4CCF">
      <w:pPr>
        <w:pStyle w:val="Normal0"/>
        <w:jc w:val="center"/>
        <w:rPr>
          <w:rFonts w:ascii="华文细黑" w:eastAsia="华文细黑" w:hAnsi="华文细黑"/>
          <w:sz w:val="32"/>
          <w:lang w:eastAsia="zh-CN"/>
        </w:rPr>
      </w:pPr>
    </w:p>
    <w:p w:rsidR="008D4CCF">
      <w:pPr>
        <w:pStyle w:val="Normal0"/>
        <w:jc w:val="center"/>
        <w:rPr>
          <w:rFonts w:ascii="华文细黑" w:eastAsia="华文细黑" w:hAnsi="华文细黑"/>
          <w:sz w:val="32"/>
          <w:lang w:eastAsia="zh-CN"/>
        </w:rPr>
      </w:pPr>
    </w:p>
    <w:p w:rsidR="008D4CCF">
      <w:pPr>
        <w:pStyle w:val="Normal0"/>
        <w:jc w:val="center"/>
        <w:rPr>
          <w:rFonts w:ascii="华文细黑" w:eastAsia="华文细黑" w:hAnsi="华文细黑"/>
          <w:sz w:val="32"/>
          <w:lang w:eastAsia="zh-CN"/>
        </w:rPr>
      </w:pPr>
    </w:p>
    <w:p w:rsidR="008D4CCF">
      <w:pPr>
        <w:pStyle w:val="Normal0"/>
        <w:jc w:val="center"/>
        <w:rPr>
          <w:rFonts w:ascii="华文细黑" w:eastAsia="华文细黑" w:hAnsi="华文细黑"/>
          <w:sz w:val="32"/>
          <w:lang w:eastAsia="zh-CN"/>
        </w:rPr>
      </w:pPr>
    </w:p>
    <w:p w:rsidR="008D4CCF">
      <w:pPr>
        <w:pStyle w:val="Normal0"/>
        <w:jc w:val="center"/>
        <w:rPr>
          <w:rFonts w:ascii="华文细黑" w:eastAsia="华文细黑" w:hAnsi="华文细黑"/>
          <w:sz w:val="32"/>
          <w:lang w:eastAsia="zh-CN"/>
        </w:rPr>
      </w:pPr>
    </w:p>
    <w:p w:rsidR="008D4CCF">
      <w:pPr>
        <w:pStyle w:val="Normal0"/>
        <w:rPr>
          <w:rFonts w:ascii="华文细黑" w:eastAsia="华文细黑" w:hAnsi="华文细黑"/>
          <w:sz w:val="32"/>
          <w:lang w:eastAsia="zh-CN"/>
        </w:rPr>
      </w:pPr>
      <w:r>
        <w:rPr>
          <w:rFonts w:ascii="华文细黑" w:eastAsia="华文细黑" w:hAnsi="华文细黑" w:hint="eastAsia"/>
          <w:sz w:val="32"/>
          <w:lang w:eastAsia="zh-CN"/>
        </w:rPr>
        <w:t xml:space="preserve">    </w:t>
      </w:r>
      <w:r>
        <w:rPr>
          <w:rFonts w:ascii="华文细黑" w:eastAsia="华文细黑" w:hAnsi="华文细黑" w:hint="eastAsia"/>
          <w:sz w:val="32"/>
          <w:lang w:eastAsia="zh-CN"/>
        </w:rPr>
        <w:t>项目名称：</w:t>
      </w:r>
      <w:r>
        <w:rPr>
          <w:rFonts w:ascii="华文细黑" w:eastAsia="华文细黑" w:hAnsi="华文细黑" w:hint="eastAsia"/>
          <w:b/>
          <w:sz w:val="32"/>
          <w:u w:val="single"/>
          <w:lang w:eastAsia="zh-CN"/>
        </w:rPr>
        <w:t>【蔚蓝</w:t>
      </w:r>
      <w:r>
        <w:rPr>
          <w:rFonts w:ascii="华文细黑" w:eastAsia="华文细黑" w:hAnsi="华文细黑" w:hint="eastAsia"/>
          <w:b/>
          <w:sz w:val="32"/>
          <w:u w:val="single"/>
          <w:lang w:eastAsia="zh-CN"/>
        </w:rPr>
        <w:t>·君城、悦城东区】外立面装修工程</w:t>
      </w:r>
      <w:r>
        <w:rPr>
          <w:rFonts w:ascii="华文细黑" w:eastAsia="华文细黑" w:hAnsi="华文细黑" w:hint="eastAsia"/>
          <w:b/>
          <w:sz w:val="32"/>
          <w:u w:val="single"/>
          <w:lang w:eastAsia="zh-CN"/>
        </w:rPr>
        <w:t xml:space="preserve">  </w:t>
      </w:r>
    </w:p>
    <w:p w:rsidR="008D4CCF">
      <w:pPr>
        <w:pStyle w:val="Normal0"/>
        <w:rPr>
          <w:rFonts w:ascii="华文细黑" w:eastAsia="华文细黑" w:hAnsi="华文细黑"/>
          <w:sz w:val="32"/>
          <w:u w:val="single"/>
          <w:lang w:eastAsia="zh-CN"/>
        </w:rPr>
      </w:pPr>
      <w:r>
        <w:rPr>
          <w:rFonts w:ascii="华文细黑" w:eastAsia="华文细黑" w:hAnsi="华文细黑" w:hint="eastAsia"/>
          <w:sz w:val="32"/>
          <w:lang w:eastAsia="zh-CN"/>
        </w:rPr>
        <w:t xml:space="preserve">    </w:t>
      </w:r>
      <w:r>
        <w:rPr>
          <w:rFonts w:ascii="华文细黑" w:eastAsia="华文细黑" w:hAnsi="华文细黑" w:hint="eastAsia"/>
          <w:sz w:val="32"/>
          <w:lang w:eastAsia="zh-CN"/>
        </w:rPr>
        <w:t>投标文件内容：</w:t>
      </w:r>
      <w:r>
        <w:rPr>
          <w:rFonts w:ascii="华文细黑" w:eastAsia="华文细黑" w:hAnsi="华文细黑" w:hint="eastAsia"/>
          <w:sz w:val="32"/>
          <w:u w:val="single"/>
          <w:lang w:eastAsia="zh-CN"/>
        </w:rPr>
        <w:t>技术标部分</w:t>
      </w:r>
    </w:p>
    <w:p w:rsidR="008D4CCF">
      <w:pPr>
        <w:pStyle w:val="Normal0"/>
        <w:rPr>
          <w:rFonts w:ascii="华文细黑" w:eastAsia="华文细黑" w:hAnsi="华文细黑"/>
          <w:sz w:val="32"/>
          <w:u w:val="single"/>
          <w:lang w:eastAsia="zh-CN"/>
        </w:rPr>
      </w:pPr>
      <w:r>
        <w:rPr>
          <w:rFonts w:ascii="华文细黑" w:eastAsia="华文细黑" w:hAnsi="华文细黑" w:hint="eastAsia"/>
          <w:sz w:val="32"/>
          <w:lang w:eastAsia="zh-CN"/>
        </w:rPr>
        <w:t xml:space="preserve">    </w:t>
      </w:r>
      <w:r>
        <w:rPr>
          <w:rFonts w:ascii="华文细黑" w:eastAsia="华文细黑" w:hAnsi="华文细黑" w:hint="eastAsia"/>
          <w:sz w:val="32"/>
          <w:lang w:eastAsia="zh-CN"/>
        </w:rPr>
        <w:t>投标人：</w:t>
      </w:r>
      <w:r>
        <w:rPr>
          <w:rFonts w:ascii="华文细黑" w:eastAsia="华文细黑" w:hAnsi="华文细黑" w:hint="eastAsia"/>
          <w:sz w:val="32"/>
          <w:u w:val="single"/>
          <w:lang w:eastAsia="zh-CN"/>
        </w:rPr>
        <w:t>深圳市华南装饰设计工程有限公司陕西分公（盖章）</w:t>
      </w:r>
    </w:p>
    <w:p w:rsidR="008D4CCF">
      <w:pPr>
        <w:pStyle w:val="Normal0"/>
        <w:rPr>
          <w:rFonts w:ascii="华文细黑" w:eastAsia="华文细黑" w:hAnsi="华文细黑"/>
          <w:sz w:val="32"/>
          <w:lang w:eastAsia="zh-CN"/>
        </w:rPr>
      </w:pPr>
      <w:r>
        <w:rPr>
          <w:rFonts w:ascii="华文细黑" w:eastAsia="华文细黑" w:hAnsi="华文细黑" w:hint="eastAsia"/>
          <w:sz w:val="32"/>
          <w:lang w:eastAsia="zh-CN"/>
        </w:rPr>
        <w:t xml:space="preserve">    </w:t>
      </w:r>
      <w:r>
        <w:rPr>
          <w:rFonts w:ascii="华文细黑" w:eastAsia="华文细黑" w:hAnsi="华文细黑" w:hint="eastAsia"/>
          <w:sz w:val="32"/>
          <w:lang w:eastAsia="zh-CN"/>
        </w:rPr>
        <w:t>法定代表人：</w:t>
      </w:r>
      <w:r>
        <w:rPr>
          <w:rFonts w:ascii="华文细黑" w:eastAsia="华文细黑" w:hAnsi="华文细黑" w:hint="eastAsia"/>
          <w:sz w:val="32"/>
          <w:u w:val="single"/>
          <w:lang w:eastAsia="zh-CN"/>
        </w:rPr>
        <w:t xml:space="preserve">                               </w:t>
      </w:r>
    </w:p>
    <w:p w:rsidR="008D4CCF">
      <w:pPr>
        <w:pStyle w:val="Normal0"/>
        <w:rPr>
          <w:rFonts w:ascii="华文细黑" w:eastAsia="华文细黑" w:hAnsi="华文细黑"/>
          <w:sz w:val="32"/>
          <w:u w:val="single"/>
          <w:lang w:eastAsia="zh-CN"/>
        </w:rPr>
      </w:pPr>
      <w:r>
        <w:rPr>
          <w:rFonts w:ascii="华文细黑" w:eastAsia="华文细黑" w:hAnsi="华文细黑" w:hint="eastAsia"/>
          <w:sz w:val="32"/>
          <w:lang w:eastAsia="zh-CN"/>
        </w:rPr>
        <w:t xml:space="preserve">    </w:t>
      </w:r>
      <w:r>
        <w:rPr>
          <w:rFonts w:ascii="华文细黑" w:eastAsia="华文细黑" w:hAnsi="华文细黑" w:hint="eastAsia"/>
          <w:sz w:val="32"/>
          <w:lang w:eastAsia="zh-CN"/>
        </w:rPr>
        <w:t>或其委托代理人：</w:t>
      </w:r>
      <w:r>
        <w:rPr>
          <w:rFonts w:ascii="华文细黑" w:eastAsia="华文细黑" w:hAnsi="华文细黑" w:hint="eastAsia"/>
          <w:sz w:val="32"/>
          <w:u w:val="single"/>
          <w:lang w:eastAsia="zh-CN"/>
        </w:rPr>
        <w:t xml:space="preserve">  </w:t>
      </w:r>
      <w:r>
        <w:rPr>
          <w:rFonts w:ascii="华文细黑" w:eastAsia="华文细黑" w:hAnsi="华文细黑" w:hint="eastAsia"/>
          <w:sz w:val="32"/>
          <w:u w:val="single"/>
          <w:lang w:eastAsia="zh-CN"/>
        </w:rPr>
        <w:t xml:space="preserve">         </w:t>
      </w:r>
      <w:r>
        <w:rPr>
          <w:rFonts w:ascii="华文细黑" w:eastAsia="华文细黑" w:hAnsi="华文细黑" w:hint="eastAsia"/>
          <w:sz w:val="32"/>
          <w:u w:val="single"/>
          <w:lang w:eastAsia="zh-CN"/>
        </w:rPr>
        <w:t>（签字或盖章）</w:t>
      </w:r>
    </w:p>
    <w:p w:rsidR="008D4CCF">
      <w:pPr>
        <w:pStyle w:val="Normal0"/>
        <w:rPr>
          <w:rFonts w:ascii="华文细黑" w:eastAsia="华文细黑" w:hAnsi="华文细黑"/>
          <w:sz w:val="32"/>
          <w:lang w:eastAsia="zh-CN"/>
        </w:rPr>
      </w:pPr>
      <w:r>
        <w:rPr>
          <w:rFonts w:ascii="华文细黑" w:eastAsia="华文细黑" w:hAnsi="华文细黑" w:hint="eastAsia"/>
          <w:sz w:val="32"/>
          <w:lang w:eastAsia="zh-CN"/>
        </w:rPr>
        <w:t xml:space="preserve">    </w:t>
      </w:r>
      <w:r>
        <w:rPr>
          <w:rFonts w:ascii="华文细黑" w:eastAsia="华文细黑" w:hAnsi="华文细黑" w:hint="eastAsia"/>
          <w:sz w:val="32"/>
          <w:lang w:eastAsia="zh-CN"/>
        </w:rPr>
        <w:t>日期：</w:t>
      </w:r>
      <w:r>
        <w:rPr>
          <w:rFonts w:ascii="华文细黑" w:eastAsia="华文细黑" w:hAnsi="华文细黑" w:hint="eastAsia"/>
          <w:sz w:val="32"/>
          <w:u w:val="single"/>
          <w:lang w:eastAsia="zh-CN"/>
        </w:rPr>
        <w:t xml:space="preserve">  2014  </w:t>
      </w:r>
      <w:r>
        <w:rPr>
          <w:rFonts w:ascii="华文细黑" w:eastAsia="华文细黑" w:hAnsi="华文细黑" w:hint="eastAsia"/>
          <w:sz w:val="32"/>
          <w:lang w:eastAsia="zh-CN"/>
        </w:rPr>
        <w:t>年</w:t>
      </w:r>
      <w:r>
        <w:rPr>
          <w:rFonts w:ascii="华文细黑" w:eastAsia="华文细黑" w:hAnsi="华文细黑" w:hint="eastAsia"/>
          <w:sz w:val="32"/>
          <w:u w:val="single"/>
          <w:lang w:eastAsia="zh-CN"/>
        </w:rPr>
        <w:t xml:space="preserve">   04  </w:t>
      </w:r>
      <w:r>
        <w:rPr>
          <w:rFonts w:ascii="华文细黑" w:eastAsia="华文细黑" w:hAnsi="华文细黑" w:hint="eastAsia"/>
          <w:sz w:val="32"/>
          <w:lang w:eastAsia="zh-CN"/>
        </w:rPr>
        <w:t>月</w:t>
      </w:r>
      <w:r>
        <w:rPr>
          <w:rFonts w:ascii="华文细黑" w:eastAsia="华文细黑" w:hAnsi="华文细黑" w:hint="eastAsia"/>
          <w:sz w:val="32"/>
          <w:u w:val="single"/>
          <w:lang w:eastAsia="zh-CN"/>
        </w:rPr>
        <w:t xml:space="preserve">  17  </w:t>
      </w:r>
      <w:r>
        <w:rPr>
          <w:rFonts w:ascii="华文细黑" w:eastAsia="华文细黑" w:hAnsi="华文细黑" w:hint="eastAsia"/>
          <w:sz w:val="32"/>
          <w:lang w:eastAsia="zh-CN"/>
        </w:rPr>
        <w:t>日</w:t>
      </w:r>
    </w:p>
    <w:p w:rsidR="008D4CCF">
      <w:pPr>
        <w:pStyle w:val="Normal0"/>
        <w:ind w:left="1470" w:leftChars="700"/>
        <w:rPr>
          <w:rFonts w:ascii="华文细黑" w:eastAsia="华文细黑" w:hAnsi="华文细黑"/>
          <w:sz w:val="32"/>
          <w:lang w:eastAsia="zh-CN"/>
        </w:rPr>
      </w:pPr>
    </w:p>
    <w:p w:rsidR="008D4CCF">
      <w:pPr>
        <w:pStyle w:val="Normal0"/>
        <w:ind w:left="1470" w:leftChars="700"/>
        <w:rPr>
          <w:rFonts w:ascii="华文细黑" w:eastAsia="华文细黑" w:hAnsi="华文细黑"/>
          <w:sz w:val="32"/>
          <w:lang w:eastAsia="zh-CN"/>
        </w:rPr>
      </w:pPr>
    </w:p>
    <w:p w:rsidR="008D4CCF">
      <w:pPr>
        <w:pStyle w:val="Normal0"/>
        <w:ind w:left="1470" w:leftChars="700"/>
        <w:rPr>
          <w:rFonts w:ascii="华文细黑" w:eastAsia="华文细黑" w:hAnsi="华文细黑"/>
          <w:sz w:val="32"/>
          <w:lang w:eastAsia="zh-CN"/>
        </w:rPr>
      </w:pPr>
    </w:p>
    <w:p w:rsidR="008D4CCF">
      <w:pPr>
        <w:pStyle w:val="Normal0"/>
        <w:ind w:left="1470" w:leftChars="700"/>
        <w:rPr>
          <w:rFonts w:ascii="华文细黑" w:eastAsia="华文细黑" w:hAnsi="华文细黑"/>
          <w:sz w:val="32"/>
          <w:lang w:eastAsia="zh-CN"/>
        </w:rPr>
        <w:sectPr>
          <w:pgSz w:w="11906" w:h="16838"/>
          <w:pgMar w:top="1417" w:right="1134" w:bottom="1134" w:left="1134" w:header="851" w:footer="992" w:gutter="0"/>
          <w:cols w:space="708"/>
          <w:docGrid w:type="lines" w:linePitch="312"/>
        </w:sectPr>
      </w:pPr>
    </w:p>
    <w:p w:rsidR="008D4CCF">
      <w:pPr>
        <w:pStyle w:val="TOC1"/>
        <w:tabs>
          <w:tab w:val="right" w:leader="dot" w:pos="9638"/>
        </w:tabs>
        <w:spacing w:line="480" w:lineRule="auto"/>
        <w:jc w:val="center"/>
        <w:rPr>
          <w:rFonts w:ascii="宋体-PUA" w:eastAsia="宋体-PUA" w:hAnsi="宋体-PUA" w:cs="宋体-PUA"/>
          <w:b/>
          <w:bCs/>
          <w:sz w:val="21"/>
          <w:szCs w:val="21"/>
          <w:lang w:eastAsia="zh-CN"/>
        </w:rPr>
      </w:pPr>
      <w:r>
        <w:rPr>
          <w:rFonts w:ascii="宋体-PUA" w:eastAsia="宋体-PUA" w:hAnsi="宋体-PUA" w:cs="宋体-PUA" w:hint="eastAsia"/>
          <w:b/>
          <w:bCs/>
          <w:sz w:val="21"/>
          <w:szCs w:val="21"/>
          <w:lang w:eastAsia="zh-CN"/>
        </w:rPr>
        <w:t>目</w:t>
      </w:r>
      <w:r>
        <w:rPr>
          <w:rFonts w:ascii="宋体-PUA" w:eastAsia="宋体-PUA" w:hAnsi="宋体-PUA" w:cs="宋体-PUA" w:hint="eastAsia"/>
          <w:b/>
          <w:bCs/>
          <w:sz w:val="21"/>
          <w:szCs w:val="21"/>
          <w:lang w:eastAsia="zh-CN"/>
        </w:rPr>
        <w:t xml:space="preserve">  </w:t>
      </w:r>
      <w:r>
        <w:rPr>
          <w:rFonts w:ascii="宋体-PUA" w:eastAsia="宋体-PUA" w:hAnsi="宋体-PUA" w:cs="宋体-PUA" w:hint="eastAsia"/>
          <w:b/>
          <w:bCs/>
          <w:sz w:val="21"/>
          <w:szCs w:val="21"/>
          <w:lang w:eastAsia="zh-CN"/>
        </w:rPr>
        <w:t>录</w:t>
      </w:r>
    </w:p>
    <w:p w:rsidR="008D4CCF">
      <w:pPr>
        <w:pStyle w:val="TOC1"/>
        <w:tabs>
          <w:tab w:val="right" w:leader="dot" w:pos="9638"/>
        </w:tabs>
      </w:pPr>
      <w:r>
        <w:rPr>
          <w:rFonts w:ascii="宋体-PUA" w:eastAsia="宋体-PUA" w:hAnsi="宋体-PUA" w:cs="宋体-PUA" w:hint="eastAsia"/>
          <w:sz w:val="21"/>
          <w:szCs w:val="21"/>
          <w:lang w:eastAsia="zh-CN"/>
        </w:rPr>
        <w:fldChar w:fldCharType="begin"/>
      </w:r>
      <w:r>
        <w:rPr>
          <w:rFonts w:ascii="宋体-PUA" w:eastAsia="宋体-PUA" w:hAnsi="宋体-PUA" w:cs="宋体-PUA" w:hint="eastAsia"/>
          <w:sz w:val="21"/>
          <w:szCs w:val="21"/>
          <w:lang w:eastAsia="zh-CN"/>
        </w:rPr>
        <w:instrText xml:space="preserve">TOC \o "1-2" \h  \u </w:instrText>
      </w:r>
      <w:r>
        <w:rPr>
          <w:rFonts w:ascii="宋体-PUA" w:eastAsia="宋体-PUA" w:hAnsi="宋体-PUA" w:cs="宋体-PUA" w:hint="eastAsia"/>
          <w:sz w:val="21"/>
          <w:szCs w:val="21"/>
          <w:lang w:eastAsia="zh-CN"/>
        </w:rPr>
        <w:fldChar w:fldCharType="separate"/>
      </w:r>
      <w:hyperlink w:anchor="_Toc28596" w:history="1">
        <w:r>
          <w:rPr>
            <w:rFonts w:ascii="宋体-PUA" w:eastAsia="宋体-PUA" w:hAnsi="宋体-PUA" w:cs="宋体-PUA" w:hint="eastAsia"/>
            <w:szCs w:val="21"/>
            <w:lang w:eastAsia="zh-CN"/>
          </w:rPr>
          <w:t>第一章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各分部分项施工方法</w:t>
        </w:r>
        <w:r>
          <w:tab/>
        </w:r>
        <w:r>
          <w:fldChar w:fldCharType="begin"/>
        </w:r>
        <w:r>
          <w:instrText xml:space="preserve"> PAGEREF _Toc28596 </w:instrText>
        </w:r>
        <w:r>
          <w:fldChar w:fldCharType="separate"/>
        </w:r>
        <w:r>
          <w:t>4</w:t>
        </w:r>
        <w:r>
          <w:fldChar w:fldCharType="end"/>
        </w:r>
      </w:hyperlink>
    </w:p>
    <w:p w:rsidR="008D4CCF">
      <w:pPr>
        <w:pStyle w:val="TOC2"/>
        <w:tabs>
          <w:tab w:val="right" w:leader="dot" w:pos="9638"/>
        </w:tabs>
      </w:pPr>
      <w:hyperlink w:anchor="_Toc22725" w:history="1">
        <w:r>
          <w:rPr>
            <w:rFonts w:ascii="宋体-PUA" w:eastAsia="宋体-PUA" w:hAnsi="宋体-PUA" w:cs="宋体-PUA" w:hint="eastAsia"/>
            <w:bCs/>
            <w:szCs w:val="21"/>
          </w:rPr>
          <w:t>一、</w:t>
        </w:r>
        <w:r>
          <w:rPr>
            <w:rFonts w:ascii="宋体-PUA" w:eastAsia="宋体-PUA" w:hAnsi="宋体-PUA" w:cs="宋体-PUA" w:hint="eastAsia"/>
            <w:bCs/>
            <w:szCs w:val="21"/>
          </w:rPr>
          <w:t xml:space="preserve"> </w:t>
        </w:r>
        <w:r>
          <w:rPr>
            <w:rFonts w:ascii="宋体-PUA" w:eastAsia="宋体-PUA" w:hAnsi="宋体-PUA" w:cs="宋体-PUA" w:hint="eastAsia"/>
            <w:bCs/>
            <w:szCs w:val="21"/>
          </w:rPr>
          <w:t>石材幕墙施工工艺</w:t>
        </w:r>
        <w:r>
          <w:tab/>
        </w:r>
        <w:r>
          <w:fldChar w:fldCharType="begin"/>
        </w:r>
        <w:r>
          <w:instrText xml:space="preserve"> PAGEREF _Toc22725 </w:instrText>
        </w:r>
        <w:r>
          <w:fldChar w:fldCharType="separate"/>
        </w:r>
        <w:r>
          <w:t>4</w:t>
        </w:r>
        <w:r>
          <w:fldChar w:fldCharType="end"/>
        </w:r>
      </w:hyperlink>
    </w:p>
    <w:p w:rsidR="008D4CCF">
      <w:pPr>
        <w:pStyle w:val="TOC2"/>
        <w:tabs>
          <w:tab w:val="right" w:leader="dot" w:pos="9638"/>
        </w:tabs>
      </w:pPr>
      <w:hyperlink w:anchor="_Toc32129" w:history="1">
        <w:r>
          <w:rPr>
            <w:rFonts w:ascii="宋体-PUA" w:eastAsia="宋体-PUA" w:hAnsi="宋体-PUA" w:cs="宋体-PUA" w:hint="eastAsia"/>
            <w:bCs/>
            <w:szCs w:val="21"/>
            <w:lang w:eastAsia="zh-CN"/>
          </w:rPr>
          <w:t>二、铝塑板檐口施工工艺</w:t>
        </w:r>
        <w:r>
          <w:tab/>
        </w:r>
        <w:r>
          <w:fldChar w:fldCharType="begin"/>
        </w:r>
        <w:r>
          <w:instrText xml:space="preserve"> PAGEREF _Toc32129 </w:instrText>
        </w:r>
        <w:r>
          <w:fldChar w:fldCharType="separate"/>
        </w:r>
        <w:r>
          <w:t>10</w:t>
        </w:r>
        <w:r>
          <w:fldChar w:fldCharType="end"/>
        </w:r>
      </w:hyperlink>
    </w:p>
    <w:p w:rsidR="008D4CCF">
      <w:pPr>
        <w:pStyle w:val="TOC2"/>
        <w:tabs>
          <w:tab w:val="right" w:leader="dot" w:pos="9638"/>
        </w:tabs>
      </w:pPr>
      <w:hyperlink w:anchor="_Toc6127" w:history="1">
        <w:r>
          <w:rPr>
            <w:rFonts w:ascii="宋体-PUA" w:eastAsia="宋体-PUA" w:hAnsi="宋体-PUA" w:cs="宋体-PUA" w:hint="eastAsia"/>
            <w:bCs/>
            <w:szCs w:val="21"/>
            <w:lang w:eastAsia="zh-CN"/>
          </w:rPr>
          <w:t>三、</w:t>
        </w:r>
        <w:r>
          <w:rPr>
            <w:rFonts w:ascii="宋体-PUA" w:eastAsia="宋体-PUA" w:hAnsi="宋体-PUA" w:cs="宋体-PUA" w:hint="eastAsia"/>
            <w:bCs/>
            <w:szCs w:val="21"/>
          </w:rPr>
          <w:t>玻璃幕墙施工工艺</w:t>
        </w:r>
        <w:r>
          <w:tab/>
        </w:r>
        <w:r>
          <w:fldChar w:fldCharType="begin"/>
        </w:r>
        <w:r>
          <w:instrText xml:space="preserve"> PAGEREF _Toc6127 </w:instrText>
        </w:r>
        <w:r>
          <w:fldChar w:fldCharType="separate"/>
        </w:r>
        <w:r>
          <w:t>11</w:t>
        </w:r>
        <w:r>
          <w:fldChar w:fldCharType="end"/>
        </w:r>
      </w:hyperlink>
    </w:p>
    <w:p w:rsidR="008D4CCF">
      <w:pPr>
        <w:pStyle w:val="TOC2"/>
        <w:tabs>
          <w:tab w:val="right" w:leader="dot" w:pos="9638"/>
        </w:tabs>
      </w:pPr>
      <w:hyperlink w:anchor="_Toc30064" w:history="1">
        <w:r>
          <w:rPr>
            <w:rFonts w:ascii="宋体-PUA" w:eastAsia="宋体-PUA" w:hAnsi="宋体-PUA" w:cs="宋体-PUA" w:hint="eastAsia"/>
            <w:bCs/>
            <w:szCs w:val="21"/>
            <w:lang w:eastAsia="zh-CN"/>
          </w:rPr>
          <w:t>四、铝合金格栅施工工艺</w:t>
        </w:r>
        <w:r>
          <w:tab/>
        </w:r>
        <w:r>
          <w:fldChar w:fldCharType="begin"/>
        </w:r>
        <w:r>
          <w:instrText xml:space="preserve"> PAGEREF _Toc30064 </w:instrText>
        </w:r>
        <w:r>
          <w:fldChar w:fldCharType="separate"/>
        </w:r>
        <w:r>
          <w:t>16</w:t>
        </w:r>
        <w:r>
          <w:fldChar w:fldCharType="end"/>
        </w:r>
      </w:hyperlink>
    </w:p>
    <w:p w:rsidR="008D4CCF">
      <w:pPr>
        <w:pStyle w:val="TOC2"/>
        <w:tabs>
          <w:tab w:val="right" w:leader="dot" w:pos="9638"/>
        </w:tabs>
      </w:pPr>
      <w:hyperlink w:anchor="_Toc17023" w:history="1">
        <w:r>
          <w:rPr>
            <w:rFonts w:ascii="宋体-PUA" w:eastAsia="宋体-PUA" w:hAnsi="宋体-PUA" w:cs="宋体-PUA" w:hint="eastAsia"/>
            <w:bCs/>
            <w:szCs w:val="21"/>
            <w:lang w:eastAsia="zh-CN"/>
          </w:rPr>
          <w:t>五、铝塑板雨棚施工工艺</w:t>
        </w:r>
        <w:r>
          <w:tab/>
        </w:r>
        <w:r>
          <w:fldChar w:fldCharType="begin"/>
        </w:r>
        <w:r>
          <w:instrText xml:space="preserve"> PAGEREF _Toc17023 </w:instrText>
        </w:r>
        <w:r>
          <w:fldChar w:fldCharType="separate"/>
        </w:r>
        <w:r>
          <w:t>17</w:t>
        </w:r>
        <w:r>
          <w:fldChar w:fldCharType="end"/>
        </w:r>
      </w:hyperlink>
    </w:p>
    <w:p w:rsidR="008D4CCF">
      <w:pPr>
        <w:pStyle w:val="TOC2"/>
        <w:tabs>
          <w:tab w:val="right" w:leader="dot" w:pos="9638"/>
        </w:tabs>
      </w:pPr>
      <w:hyperlink w:anchor="_Toc9934" w:history="1">
        <w:r>
          <w:rPr>
            <w:rFonts w:ascii="宋体-PUA" w:eastAsia="宋体-PUA" w:hAnsi="宋体-PUA" w:cs="宋体-PUA" w:hint="eastAsia"/>
            <w:szCs w:val="21"/>
            <w:lang w:eastAsia="zh-CN"/>
          </w:rPr>
          <w:t>六、铁艺花格施工工艺</w:t>
        </w:r>
        <w:r>
          <w:tab/>
        </w:r>
        <w:r>
          <w:fldChar w:fldCharType="begin"/>
        </w:r>
        <w:r>
          <w:instrText xml:space="preserve"> PAGEREF _Toc9934 </w:instrText>
        </w:r>
        <w:r>
          <w:fldChar w:fldCharType="separate"/>
        </w:r>
        <w:r>
          <w:t>17</w:t>
        </w:r>
        <w:r>
          <w:fldChar w:fldCharType="end"/>
        </w:r>
      </w:hyperlink>
    </w:p>
    <w:p w:rsidR="008D4CCF">
      <w:pPr>
        <w:pStyle w:val="TOC1"/>
        <w:tabs>
          <w:tab w:val="right" w:leader="dot" w:pos="9638"/>
        </w:tabs>
      </w:pPr>
      <w:hyperlink w:anchor="_Toc25309" w:history="1">
        <w:r>
          <w:rPr>
            <w:rFonts w:ascii="宋体-PUA" w:eastAsia="宋体-PUA" w:hAnsi="宋体-PUA" w:cs="宋体-PUA" w:hint="eastAsia"/>
            <w:szCs w:val="21"/>
            <w:lang w:eastAsia="zh-CN"/>
          </w:rPr>
          <w:t>第二章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拟投入的主要施工机械设备表</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（表</w:t>
        </w:r>
        <w:r>
          <w:rPr>
            <w:rFonts w:ascii="宋体-PUA" w:eastAsia="宋体-PUA" w:hAnsi="宋体-PUA" w:cs="宋体-PUA" w:hint="eastAsia"/>
            <w:szCs w:val="21"/>
            <w:lang w:eastAsia="zh-CN"/>
          </w:rPr>
          <w:t>1</w:t>
        </w:r>
        <w:r>
          <w:rPr>
            <w:rFonts w:ascii="宋体-PUA" w:eastAsia="宋体-PUA" w:hAnsi="宋体-PUA" w:cs="宋体-PUA" w:hint="eastAsia"/>
            <w:szCs w:val="21"/>
            <w:lang w:eastAsia="zh-CN"/>
          </w:rPr>
          <w:t>）</w:t>
        </w:r>
        <w:r>
          <w:tab/>
        </w:r>
        <w:r>
          <w:fldChar w:fldCharType="begin"/>
        </w:r>
        <w:r>
          <w:instrText xml:space="preserve"> PAGEREF _Toc25309 </w:instrText>
        </w:r>
        <w:r>
          <w:fldChar w:fldCharType="separate"/>
        </w:r>
        <w:r>
          <w:t>18</w:t>
        </w:r>
        <w:r>
          <w:fldChar w:fldCharType="end"/>
        </w:r>
      </w:hyperlink>
    </w:p>
    <w:p w:rsidR="008D4CCF">
      <w:pPr>
        <w:pStyle w:val="TOC1"/>
        <w:tabs>
          <w:tab w:val="right" w:leader="dot" w:pos="9638"/>
        </w:tabs>
      </w:pPr>
      <w:hyperlink w:anchor="_Toc20844" w:history="1">
        <w:r>
          <w:rPr>
            <w:rFonts w:ascii="宋体-PUA" w:eastAsia="宋体-PUA" w:hAnsi="宋体-PUA" w:cs="宋体-PUA" w:hint="eastAsia"/>
            <w:szCs w:val="21"/>
            <w:lang w:eastAsia="zh-CN"/>
          </w:rPr>
          <w:t>第三章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拟投入的劳动力计划（表</w:t>
        </w:r>
        <w:r>
          <w:rPr>
            <w:rFonts w:ascii="宋体-PUA" w:eastAsia="宋体-PUA" w:hAnsi="宋体-PUA" w:cs="宋体-PUA" w:hint="eastAsia"/>
            <w:szCs w:val="21"/>
            <w:lang w:eastAsia="zh-CN"/>
          </w:rPr>
          <w:t>2</w:t>
        </w:r>
        <w:r>
          <w:rPr>
            <w:rFonts w:ascii="宋体-PUA" w:eastAsia="宋体-PUA" w:hAnsi="宋体-PUA" w:cs="宋体-PUA" w:hint="eastAsia"/>
            <w:szCs w:val="21"/>
            <w:lang w:eastAsia="zh-CN"/>
          </w:rPr>
          <w:t>）</w:t>
        </w:r>
        <w:r>
          <w:tab/>
        </w:r>
        <w:r>
          <w:fldChar w:fldCharType="begin"/>
        </w:r>
        <w:r>
          <w:instrText xml:space="preserve"> PAGEREF _Toc20844 </w:instrText>
        </w:r>
        <w:r>
          <w:fldChar w:fldCharType="separate"/>
        </w:r>
        <w:r>
          <w:t>18</w:t>
        </w:r>
        <w:r>
          <w:fldChar w:fldCharType="end"/>
        </w:r>
      </w:hyperlink>
    </w:p>
    <w:p w:rsidR="008D4CCF">
      <w:pPr>
        <w:pStyle w:val="TOC1"/>
        <w:tabs>
          <w:tab w:val="right" w:leader="dot" w:pos="9638"/>
        </w:tabs>
      </w:pPr>
      <w:hyperlink w:anchor="_Toc17527" w:history="1">
        <w:r>
          <w:rPr>
            <w:rFonts w:ascii="宋体-PUA" w:eastAsia="宋体-PUA" w:hAnsi="宋体-PUA" w:cs="宋体-PUA" w:hint="eastAsia"/>
            <w:szCs w:val="21"/>
            <w:lang w:eastAsia="zh-CN"/>
          </w:rPr>
          <w:t>第四章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计划开、竣工日期和施工进度网络图（表</w:t>
        </w:r>
        <w:r>
          <w:rPr>
            <w:rFonts w:ascii="宋体-PUA" w:eastAsia="宋体-PUA" w:hAnsi="宋体-PUA" w:cs="宋体-PUA" w:hint="eastAsia"/>
            <w:szCs w:val="21"/>
            <w:lang w:eastAsia="zh-CN"/>
          </w:rPr>
          <w:t>3</w:t>
        </w:r>
        <w:r>
          <w:rPr>
            <w:rFonts w:ascii="宋体-PUA" w:eastAsia="宋体-PUA" w:hAnsi="宋体-PUA" w:cs="宋体-PUA" w:hint="eastAsia"/>
            <w:szCs w:val="21"/>
            <w:lang w:eastAsia="zh-CN"/>
          </w:rPr>
          <w:t>）</w:t>
        </w:r>
        <w:r>
          <w:tab/>
        </w:r>
        <w:r>
          <w:fldChar w:fldCharType="begin"/>
        </w:r>
        <w:r>
          <w:instrText xml:space="preserve"> PAGEREF _Toc17527 </w:instrText>
        </w:r>
        <w:r>
          <w:fldChar w:fldCharType="separate"/>
        </w:r>
        <w:r>
          <w:t>18</w:t>
        </w:r>
        <w:r>
          <w:fldChar w:fldCharType="end"/>
        </w:r>
      </w:hyperlink>
    </w:p>
    <w:p w:rsidR="008D4CCF">
      <w:pPr>
        <w:pStyle w:val="TOC1"/>
        <w:tabs>
          <w:tab w:val="right" w:leader="dot" w:pos="9638"/>
        </w:tabs>
      </w:pPr>
      <w:hyperlink w:anchor="_Toc31324" w:history="1">
        <w:r>
          <w:rPr>
            <w:rFonts w:ascii="宋体-PUA" w:eastAsia="宋体-PUA" w:hAnsi="宋体-PUA" w:cs="宋体-PUA" w:hint="eastAsia"/>
            <w:szCs w:val="21"/>
            <w:lang w:eastAsia="zh-CN"/>
          </w:rPr>
          <w:t>第五章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临时用地表（表</w:t>
        </w:r>
        <w:r>
          <w:rPr>
            <w:rFonts w:ascii="宋体-PUA" w:eastAsia="宋体-PUA" w:hAnsi="宋体-PUA" w:cs="宋体-PUA" w:hint="eastAsia"/>
            <w:szCs w:val="21"/>
            <w:lang w:eastAsia="zh-CN"/>
          </w:rPr>
          <w:t>4</w:t>
        </w:r>
        <w:r>
          <w:rPr>
            <w:rFonts w:ascii="宋体-PUA" w:eastAsia="宋体-PUA" w:hAnsi="宋体-PUA" w:cs="宋体-PUA" w:hint="eastAsia"/>
            <w:szCs w:val="21"/>
            <w:lang w:eastAsia="zh-CN"/>
          </w:rPr>
          <w:t>）</w:t>
        </w:r>
        <w:r>
          <w:tab/>
        </w:r>
        <w:r>
          <w:fldChar w:fldCharType="begin"/>
        </w:r>
        <w:r>
          <w:instrText xml:space="preserve"> PAGEREF _Toc31324 </w:instrText>
        </w:r>
        <w:r>
          <w:fldChar w:fldCharType="separate"/>
        </w:r>
        <w:r>
          <w:t>18</w:t>
        </w:r>
        <w:r>
          <w:fldChar w:fldCharType="end"/>
        </w:r>
      </w:hyperlink>
    </w:p>
    <w:p w:rsidR="008D4CCF">
      <w:pPr>
        <w:pStyle w:val="TOC1"/>
        <w:tabs>
          <w:tab w:val="right" w:leader="dot" w:pos="9638"/>
        </w:tabs>
      </w:pPr>
      <w:hyperlink w:anchor="_Toc2576" w:history="1">
        <w:r>
          <w:rPr>
            <w:rFonts w:ascii="宋体-PUA" w:eastAsia="宋体-PUA" w:hAnsi="宋体-PUA" w:cs="宋体-PUA" w:hint="eastAsia"/>
            <w:szCs w:val="21"/>
            <w:lang w:eastAsia="zh-CN"/>
          </w:rPr>
          <w:t>第六章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工程质量保证措施</w:t>
        </w:r>
        <w:r>
          <w:tab/>
        </w:r>
        <w:r>
          <w:fldChar w:fldCharType="begin"/>
        </w:r>
        <w:r>
          <w:instrText xml:space="preserve"> PAGEREF _Toc2576 </w:instrText>
        </w:r>
        <w:r>
          <w:fldChar w:fldCharType="separate"/>
        </w:r>
        <w:r>
          <w:t>19</w:t>
        </w:r>
        <w:r>
          <w:fldChar w:fldCharType="end"/>
        </w:r>
      </w:hyperlink>
    </w:p>
    <w:p w:rsidR="008D4CCF">
      <w:pPr>
        <w:pStyle w:val="TOC1"/>
        <w:tabs>
          <w:tab w:val="right" w:leader="dot" w:pos="9638"/>
        </w:tabs>
      </w:pPr>
      <w:hyperlink w:anchor="_Toc27518" w:history="1">
        <w:r>
          <w:rPr>
            <w:rFonts w:ascii="宋体-PUA" w:eastAsia="宋体-PUA" w:hAnsi="宋体-PUA" w:cs="宋体-PUA" w:hint="eastAsia"/>
            <w:szCs w:val="21"/>
            <w:lang w:eastAsia="zh-CN"/>
          </w:rPr>
          <w:t>第七章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安全生产保证措施</w:t>
        </w:r>
        <w:r>
          <w:tab/>
        </w:r>
        <w:r>
          <w:fldChar w:fldCharType="begin"/>
        </w:r>
        <w:r>
          <w:instrText xml:space="preserve"> PAGEREF _Toc27518 </w:instrText>
        </w:r>
        <w:r>
          <w:fldChar w:fldCharType="separate"/>
        </w:r>
        <w:r>
          <w:t>23</w:t>
        </w:r>
        <w:r>
          <w:fldChar w:fldCharType="end"/>
        </w:r>
      </w:hyperlink>
    </w:p>
    <w:p w:rsidR="008D4CCF">
      <w:pPr>
        <w:pStyle w:val="TOC1"/>
        <w:tabs>
          <w:tab w:val="right" w:leader="dot" w:pos="9638"/>
        </w:tabs>
      </w:pPr>
      <w:hyperlink w:anchor="_Toc26499" w:history="1">
        <w:r>
          <w:rPr>
            <w:rFonts w:ascii="宋体-PUA" w:eastAsia="宋体-PUA" w:hAnsi="宋体-PUA" w:cs="宋体-PUA" w:hint="eastAsia"/>
            <w:szCs w:val="21"/>
            <w:lang w:eastAsia="zh-CN"/>
          </w:rPr>
          <w:t>第八章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文明施工保证措施</w:t>
        </w:r>
        <w:r>
          <w:tab/>
        </w:r>
        <w:r>
          <w:fldChar w:fldCharType="begin"/>
        </w:r>
        <w:r>
          <w:instrText xml:space="preserve"> PAGEREF _Toc264</w:instrText>
        </w:r>
        <w:r>
          <w:instrText xml:space="preserve">99 </w:instrText>
        </w:r>
        <w:r>
          <w:fldChar w:fldCharType="separate"/>
        </w:r>
        <w:r>
          <w:t>25</w:t>
        </w:r>
        <w:r>
          <w:fldChar w:fldCharType="end"/>
        </w:r>
      </w:hyperlink>
    </w:p>
    <w:p w:rsidR="008D4CCF">
      <w:pPr>
        <w:pStyle w:val="TOC1"/>
        <w:tabs>
          <w:tab w:val="right" w:leader="dot" w:pos="9638"/>
        </w:tabs>
      </w:pPr>
      <w:hyperlink w:anchor="_Toc23741" w:history="1">
        <w:r>
          <w:rPr>
            <w:rFonts w:ascii="宋体-PUA" w:eastAsia="宋体-PUA" w:hAnsi="宋体-PUA" w:cs="宋体-PUA" w:hint="eastAsia"/>
            <w:szCs w:val="21"/>
            <w:lang w:eastAsia="zh-CN"/>
          </w:rPr>
          <w:t>第九章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工程进度保证措施</w:t>
        </w:r>
        <w:r>
          <w:tab/>
        </w:r>
        <w:r>
          <w:fldChar w:fldCharType="begin"/>
        </w:r>
        <w:r>
          <w:instrText xml:space="preserve"> PAGEREF _Toc23741 </w:instrText>
        </w:r>
        <w:r>
          <w:fldChar w:fldCharType="separate"/>
        </w:r>
        <w:r>
          <w:t>26</w:t>
        </w:r>
        <w:r>
          <w:fldChar w:fldCharType="end"/>
        </w:r>
      </w:hyperlink>
    </w:p>
    <w:p w:rsidR="008D4CCF">
      <w:pPr>
        <w:pStyle w:val="TOC1"/>
        <w:tabs>
          <w:tab w:val="right" w:leader="dot" w:pos="9638"/>
        </w:tabs>
      </w:pPr>
      <w:hyperlink w:anchor="_Toc8866" w:history="1">
        <w:r>
          <w:rPr>
            <w:rFonts w:ascii="宋体-PUA" w:eastAsia="宋体-PUA" w:hAnsi="宋体-PUA" w:cs="宋体-PUA" w:hint="eastAsia"/>
            <w:szCs w:val="21"/>
          </w:rPr>
          <w:t>第十一章</w:t>
        </w:r>
        <w:r>
          <w:rPr>
            <w:rFonts w:ascii="宋体-PUA" w:eastAsia="宋体-PUA" w:hAnsi="宋体-PUA" w:cs="宋体-PUA" w:hint="eastAsia"/>
            <w:szCs w:val="21"/>
          </w:rPr>
          <w:t xml:space="preserve"> </w:t>
        </w:r>
        <w:r>
          <w:rPr>
            <w:rFonts w:ascii="宋体-PUA" w:eastAsia="宋体-PUA" w:hAnsi="宋体-PUA" w:cs="宋体-PUA" w:hint="eastAsia"/>
            <w:szCs w:val="21"/>
          </w:rPr>
          <w:t>技术组织措施</w:t>
        </w:r>
        <w:r>
          <w:tab/>
        </w:r>
        <w:r>
          <w:fldChar w:fldCharType="begin"/>
        </w:r>
        <w:r>
          <w:instrText xml:space="preserve"> PAGEREF _Toc8866 </w:instrText>
        </w:r>
        <w:r>
          <w:fldChar w:fldCharType="separate"/>
        </w:r>
        <w:r>
          <w:t>28</w:t>
        </w:r>
        <w:r>
          <w:fldChar w:fldCharType="end"/>
        </w:r>
      </w:hyperlink>
    </w:p>
    <w:p w:rsidR="008D4CCF">
      <w:pPr>
        <w:pStyle w:val="TOC1"/>
        <w:tabs>
          <w:tab w:val="right" w:leader="dot" w:pos="9638"/>
        </w:tabs>
      </w:pPr>
      <w:hyperlink w:anchor="_Toc31721" w:history="1">
        <w:r>
          <w:rPr>
            <w:rFonts w:ascii="宋体-PUA" w:eastAsia="宋体-PUA" w:hAnsi="宋体-PUA" w:cs="宋体-PUA" w:hint="eastAsia"/>
            <w:szCs w:val="21"/>
            <w:lang w:eastAsia="zh-CN"/>
          </w:rPr>
          <w:t>第十二章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关键工序、复杂环节重点技术措施</w:t>
        </w:r>
        <w:r>
          <w:tab/>
        </w:r>
        <w:r>
          <w:fldChar w:fldCharType="begin"/>
        </w:r>
        <w:r>
          <w:instrText xml:space="preserve"> PAGEREF _Toc31721 </w:instrText>
        </w:r>
        <w:r>
          <w:fldChar w:fldCharType="separate"/>
        </w:r>
        <w:r>
          <w:t>29</w:t>
        </w:r>
        <w:r>
          <w:fldChar w:fldCharType="end"/>
        </w:r>
      </w:hyperlink>
    </w:p>
    <w:p w:rsidR="008D4CCF">
      <w:pPr>
        <w:pStyle w:val="TOC1"/>
        <w:tabs>
          <w:tab w:val="right" w:leader="dot" w:pos="9638"/>
        </w:tabs>
      </w:pPr>
      <w:hyperlink w:anchor="_Toc23583" w:history="1">
        <w:r>
          <w:rPr>
            <w:rFonts w:ascii="宋体-PUA" w:eastAsia="宋体-PUA" w:hAnsi="宋体-PUA" w:cs="宋体-PUA" w:hint="eastAsia"/>
            <w:szCs w:val="21"/>
            <w:lang w:eastAsia="zh-CN"/>
          </w:rPr>
          <w:t>第十三章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冬</w:t>
        </w:r>
        <w:r>
          <w:rPr>
            <w:rFonts w:ascii="宋体-PUA" w:eastAsia="宋体-PUA" w:hAnsi="宋体-PUA" w:cs="宋体-PUA" w:hint="eastAsia"/>
            <w:szCs w:val="21"/>
          </w:rPr>
          <w:t>雨季施工技术</w:t>
        </w:r>
        <w:r>
          <w:rPr>
            <w:rFonts w:ascii="宋体-PUA" w:eastAsia="宋体-PUA" w:hAnsi="宋体-PUA" w:cs="宋体-PUA" w:hint="eastAsia"/>
            <w:szCs w:val="21"/>
          </w:rPr>
          <w:t>措施</w:t>
        </w:r>
        <w:r>
          <w:tab/>
        </w:r>
        <w:r>
          <w:fldChar w:fldCharType="begin"/>
        </w:r>
        <w:r>
          <w:instrText xml:space="preserve"> PAGEREF _Toc23583 </w:instrText>
        </w:r>
        <w:r>
          <w:fldChar w:fldCharType="separate"/>
        </w:r>
        <w:r>
          <w:t>31</w:t>
        </w:r>
        <w:r>
          <w:fldChar w:fldCharType="end"/>
        </w:r>
      </w:hyperlink>
    </w:p>
    <w:p w:rsidR="008D4CCF">
      <w:pPr>
        <w:pStyle w:val="TOC1"/>
        <w:tabs>
          <w:tab w:val="right" w:leader="dot" w:pos="9638"/>
        </w:tabs>
      </w:pPr>
      <w:hyperlink w:anchor="_Toc28808" w:history="1">
        <w:r>
          <w:rPr>
            <w:rFonts w:ascii="宋体-PUA" w:eastAsia="宋体-PUA" w:hAnsi="宋体-PUA" w:cs="宋体-PUA" w:hint="eastAsia"/>
            <w:szCs w:val="21"/>
            <w:lang w:eastAsia="zh-CN"/>
          </w:rPr>
          <w:t>第十四章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减少扰民噪声基础措施</w:t>
        </w:r>
        <w:r>
          <w:tab/>
        </w:r>
        <w:r>
          <w:fldChar w:fldCharType="begin"/>
        </w:r>
        <w:r>
          <w:instrText xml:space="preserve"> PAGEREF _Toc28808 </w:instrText>
        </w:r>
        <w:r>
          <w:fldChar w:fldCharType="separate"/>
        </w:r>
        <w:r>
          <w:t>32</w:t>
        </w:r>
        <w:r>
          <w:fldChar w:fldCharType="end"/>
        </w:r>
      </w:hyperlink>
    </w:p>
    <w:p w:rsidR="008D4CCF">
      <w:pPr>
        <w:pStyle w:val="TOC1"/>
        <w:tabs>
          <w:tab w:val="right" w:leader="dot" w:pos="9638"/>
        </w:tabs>
      </w:pPr>
      <w:hyperlink w:anchor="_Toc26781" w:history="1">
        <w:r>
          <w:rPr>
            <w:rFonts w:ascii="宋体-PUA" w:eastAsia="宋体-PUA" w:hAnsi="宋体-PUA" w:cs="宋体-PUA" w:hint="eastAsia"/>
            <w:szCs w:val="21"/>
            <w:lang w:eastAsia="zh-CN"/>
          </w:rPr>
          <w:t>第十五章</w:t>
        </w:r>
        <w:r>
          <w:rPr>
            <w:rFonts w:ascii="宋体-PUA" w:eastAsia="宋体-PUA" w:hAnsi="宋体-PUA" w:cs="宋体-PUA" w:hint="eastAsia"/>
            <w:szCs w:val="21"/>
            <w:lang w:eastAsia="zh-CN"/>
          </w:rPr>
          <w:t xml:space="preserve"> </w:t>
        </w:r>
        <w:r>
          <w:rPr>
            <w:rFonts w:ascii="宋体-PUA" w:eastAsia="宋体-PUA" w:hAnsi="宋体-PUA" w:cs="宋体-PUA" w:hint="eastAsia"/>
            <w:szCs w:val="21"/>
          </w:rPr>
          <w:t>降低环境污染的措施</w:t>
        </w:r>
        <w:r>
          <w:tab/>
        </w:r>
        <w:r>
          <w:fldChar w:fldCharType="begin"/>
        </w:r>
        <w:r>
          <w:instrText xml:space="preserve"> PAGEREF _Toc26781 </w:instrText>
        </w:r>
        <w:r>
          <w:fldChar w:fldCharType="separate"/>
        </w:r>
        <w:r>
          <w:t>33</w:t>
        </w:r>
        <w:r>
          <w:fldChar w:fldCharType="end"/>
        </w:r>
      </w:hyperlink>
    </w:p>
    <w:p w:rsidR="008D4CCF">
      <w:pPr>
        <w:pStyle w:val="TOC1"/>
        <w:tabs>
          <w:tab w:val="right" w:leader="dot" w:pos="9638"/>
        </w:tabs>
      </w:pPr>
      <w:hyperlink w:anchor="_Toc8988" w:history="1">
        <w:r>
          <w:rPr>
            <w:rFonts w:ascii="宋体-PUA" w:eastAsia="宋体-PUA" w:hAnsi="宋体-PUA" w:cs="宋体-PUA" w:hint="eastAsia"/>
            <w:szCs w:val="21"/>
            <w:lang w:eastAsia="zh-CN"/>
          </w:rPr>
          <w:t>第十六章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地下管线及其地上地下设施的保护加固措施</w:t>
        </w:r>
        <w:r>
          <w:tab/>
        </w:r>
        <w:r>
          <w:fldChar w:fldCharType="begin"/>
        </w:r>
        <w:r>
          <w:instrText xml:space="preserve"> PAGEREF _Toc8988 </w:instrText>
        </w:r>
        <w:r>
          <w:fldChar w:fldCharType="separate"/>
        </w:r>
        <w:r>
          <w:t>33</w:t>
        </w:r>
        <w:r>
          <w:fldChar w:fldCharType="end"/>
        </w:r>
      </w:hyperlink>
    </w:p>
    <w:p w:rsidR="008D4CCF">
      <w:pPr>
        <w:pStyle w:val="TOC1"/>
        <w:tabs>
          <w:tab w:val="right" w:leader="dot" w:pos="9638"/>
        </w:tabs>
        <w:sectPr>
          <w:type w:val="nextPage"/>
          <w:pgSz w:w="11906" w:h="16838"/>
          <w:pgMar w:top="1417" w:right="1134" w:bottom="1134" w:left="1134" w:header="851" w:footer="992" w:gutter="0"/>
          <w:pgNumType w:start="2"/>
          <w:cols w:space="708"/>
          <w:titlePg w:val="0"/>
          <w:docGrid w:type="lines" w:linePitch="312"/>
        </w:sectPr>
      </w:pPr>
      <w:hyperlink w:anchor="_Toc855" w:history="1">
        <w:r>
          <w:rPr>
            <w:rFonts w:ascii="宋体-PUA" w:eastAsia="宋体-PUA" w:hAnsi="宋体-PUA" w:cs="宋体-PUA" w:hint="eastAsia"/>
            <w:szCs w:val="21"/>
            <w:lang w:eastAsia="zh-CN"/>
          </w:rPr>
          <w:t>第十七章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其他技术措施</w:t>
        </w:r>
        <w:r>
          <w:tab/>
        </w:r>
        <w:r>
          <w:fldChar w:fldCharType="begin"/>
        </w:r>
        <w:r>
          <w:instrText xml:space="preserve"> PAGEREF _Toc855 </w:instrText>
        </w:r>
        <w:r>
          <w:fldChar w:fldCharType="separate"/>
        </w:r>
        <w:r>
          <w:t>34</w:t>
        </w:r>
        <w:r>
          <w:fldChar w:fldCharType="end"/>
        </w:r>
      </w:hyperlink>
    </w:p>
    <w:p w:rsidR="008D4CCF">
      <w:pPr>
        <w:pStyle w:val="TOC1"/>
        <w:tabs>
          <w:tab w:val="right" w:leader="dot" w:pos="9638"/>
        </w:tabs>
      </w:pPr>
      <w:hyperlink w:anchor="_Toc2989" w:history="1">
        <w:r>
          <w:rPr>
            <w:rFonts w:ascii="宋体-PUA" w:eastAsia="宋体-PUA" w:hAnsi="宋体-PUA" w:cs="宋体-PUA" w:hint="eastAsia"/>
            <w:szCs w:val="21"/>
            <w:lang w:eastAsia="zh-CN"/>
          </w:rPr>
          <w:t>第十八章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投标人一般情况表</w:t>
        </w:r>
        <w:r>
          <w:tab/>
        </w:r>
        <w:r>
          <w:fldChar w:fldCharType="begin"/>
        </w:r>
        <w:r>
          <w:instrText xml:space="preserve"> PAGEREF _Toc2989 </w:instrText>
        </w:r>
        <w:r>
          <w:fldChar w:fldCharType="separate"/>
        </w:r>
        <w:r>
          <w:t>36</w:t>
        </w:r>
        <w:r>
          <w:fldChar w:fldCharType="end"/>
        </w:r>
      </w:hyperlink>
    </w:p>
    <w:p w:rsidR="008D4CCF">
      <w:pPr>
        <w:pStyle w:val="TOC1"/>
        <w:tabs>
          <w:tab w:val="right" w:leader="dot" w:pos="9638"/>
        </w:tabs>
      </w:pPr>
      <w:hyperlink w:anchor="_Toc12038" w:history="1">
        <w:r>
          <w:rPr>
            <w:rFonts w:ascii="宋体-PUA" w:eastAsia="宋体-PUA" w:hAnsi="宋体-PUA" w:cs="宋体-PUA" w:hint="eastAsia"/>
            <w:szCs w:val="21"/>
            <w:lang w:eastAsia="zh-CN"/>
          </w:rPr>
          <w:t>第十九章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近三年类似工程营业额数据表</w:t>
        </w:r>
        <w:r>
          <w:tab/>
        </w:r>
        <w:r>
          <w:fldChar w:fldCharType="begin"/>
        </w:r>
        <w:r>
          <w:instrText xml:space="preserve"> PAGEREF _Toc12038 </w:instrText>
        </w:r>
        <w:r>
          <w:fldChar w:fldCharType="separate"/>
        </w:r>
        <w:r>
          <w:t>37</w:t>
        </w:r>
        <w:r>
          <w:fldChar w:fldCharType="end"/>
        </w:r>
      </w:hyperlink>
    </w:p>
    <w:p w:rsidR="008D4CCF">
      <w:pPr>
        <w:pStyle w:val="TOC1"/>
        <w:tabs>
          <w:tab w:val="right" w:leader="dot" w:pos="9638"/>
        </w:tabs>
      </w:pPr>
      <w:hyperlink w:anchor="_Toc10653" w:history="1">
        <w:r>
          <w:rPr>
            <w:rFonts w:ascii="宋体-PUA" w:eastAsia="宋体-PUA" w:hAnsi="宋体-PUA" w:cs="宋体-PUA" w:hint="eastAsia"/>
            <w:szCs w:val="21"/>
            <w:lang w:eastAsia="zh-CN"/>
          </w:rPr>
          <w:t>第二十章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近三年已完工程及目前在建工程一览表</w:t>
        </w:r>
        <w:r>
          <w:tab/>
        </w:r>
        <w:r>
          <w:fldChar w:fldCharType="begin"/>
        </w:r>
        <w:r>
          <w:instrText xml:space="preserve"> PAGE</w:instrText>
        </w:r>
        <w:r>
          <w:instrText xml:space="preserve">REF _Toc10653 </w:instrText>
        </w:r>
        <w:r>
          <w:fldChar w:fldCharType="separate"/>
        </w:r>
        <w:r>
          <w:t>37</w:t>
        </w:r>
        <w:r>
          <w:fldChar w:fldCharType="end"/>
        </w:r>
      </w:hyperlink>
    </w:p>
    <w:p w:rsidR="008D4CCF">
      <w:pPr>
        <w:pStyle w:val="TOC1"/>
        <w:tabs>
          <w:tab w:val="right" w:leader="dot" w:pos="9638"/>
        </w:tabs>
      </w:pPr>
      <w:hyperlink w:anchor="_Toc32488" w:history="1">
        <w:r>
          <w:rPr>
            <w:rFonts w:ascii="宋体-PUA" w:eastAsia="宋体-PUA" w:hAnsi="宋体-PUA" w:cs="宋体-PUA" w:hint="eastAsia"/>
            <w:szCs w:val="21"/>
            <w:lang w:eastAsia="zh-CN"/>
          </w:rPr>
          <w:t>第二十章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财务状况表</w:t>
        </w:r>
        <w:r>
          <w:tab/>
        </w:r>
        <w:r>
          <w:fldChar w:fldCharType="begin"/>
        </w:r>
        <w:r>
          <w:instrText xml:space="preserve"> PAGEREF _Toc32488 </w:instrText>
        </w:r>
        <w:r>
          <w:fldChar w:fldCharType="separate"/>
        </w:r>
        <w:r>
          <w:t>38</w:t>
        </w:r>
        <w:r>
          <w:fldChar w:fldCharType="end"/>
        </w:r>
      </w:hyperlink>
    </w:p>
    <w:p w:rsidR="008D4CCF">
      <w:pPr>
        <w:pStyle w:val="TOC1"/>
        <w:tabs>
          <w:tab w:val="right" w:leader="dot" w:pos="9638"/>
        </w:tabs>
      </w:pPr>
      <w:hyperlink w:anchor="_Toc5895" w:history="1">
        <w:r>
          <w:rPr>
            <w:rFonts w:ascii="宋体-PUA" w:eastAsia="宋体-PUA" w:hAnsi="宋体-PUA" w:cs="宋体-PUA" w:hint="eastAsia"/>
            <w:szCs w:val="21"/>
            <w:lang w:eastAsia="zh-CN"/>
          </w:rPr>
          <w:t>第二十一章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类似工程经验</w:t>
        </w:r>
        <w:r>
          <w:tab/>
        </w:r>
        <w:r>
          <w:fldChar w:fldCharType="begin"/>
        </w:r>
        <w:r>
          <w:instrText xml:space="preserve"> PAGEREF _Toc5895 </w:instrText>
        </w:r>
        <w:r>
          <w:fldChar w:fldCharType="separate"/>
        </w:r>
        <w:r>
          <w:t>39</w:t>
        </w:r>
        <w:r>
          <w:fldChar w:fldCharType="end"/>
        </w:r>
      </w:hyperlink>
    </w:p>
    <w:p w:rsidR="008D4CCF">
      <w:pPr>
        <w:pStyle w:val="TOC1"/>
        <w:tabs>
          <w:tab w:val="right" w:leader="dot" w:pos="9638"/>
        </w:tabs>
      </w:pPr>
      <w:hyperlink w:anchor="_Toc4378" w:history="1">
        <w:r>
          <w:rPr>
            <w:rFonts w:ascii="宋体-PUA" w:eastAsia="宋体-PUA" w:hAnsi="宋体-PUA" w:cs="宋体-PUA" w:hint="eastAsia"/>
            <w:szCs w:val="21"/>
            <w:lang w:eastAsia="zh-CN"/>
          </w:rPr>
          <w:t>第二十一章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项目管理机构配备情况</w:t>
        </w:r>
        <w:r>
          <w:tab/>
        </w:r>
        <w:r>
          <w:fldChar w:fldCharType="begin"/>
        </w:r>
        <w:r>
          <w:instrText xml:space="preserve"> PAGEREF _Toc4378 </w:instrText>
        </w:r>
        <w:r>
          <w:fldChar w:fldCharType="separate"/>
        </w:r>
        <w:r>
          <w:t>42</w:t>
        </w:r>
        <w:r>
          <w:fldChar w:fldCharType="end"/>
        </w:r>
      </w:hyperlink>
    </w:p>
    <w:p w:rsidR="008D4CCF">
      <w:pPr>
        <w:pStyle w:val="TOC1"/>
        <w:tabs>
          <w:tab w:val="right" w:leader="dot" w:pos="9638"/>
        </w:tabs>
      </w:pPr>
      <w:hyperlink w:anchor="_Toc31808" w:history="1">
        <w:r>
          <w:rPr>
            <w:rFonts w:ascii="宋体-PUA" w:eastAsia="宋体-PUA" w:hAnsi="宋体-PUA" w:cs="宋体-PUA" w:hint="eastAsia"/>
            <w:szCs w:val="21"/>
            <w:lang w:eastAsia="zh-CN"/>
          </w:rPr>
          <w:t>第二十二章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项目</w:t>
        </w:r>
        <w:r>
          <w:rPr>
            <w:rFonts w:ascii="宋体-PUA" w:eastAsia="宋体-PUA" w:hAnsi="宋体-PUA" w:cs="宋体-PUA" w:hint="eastAsia"/>
            <w:szCs w:val="21"/>
            <w:lang w:eastAsia="zh-CN"/>
          </w:rPr>
          <w:t>经理负责人简历表</w:t>
        </w:r>
        <w:r>
          <w:tab/>
        </w:r>
        <w:r>
          <w:fldChar w:fldCharType="begin"/>
        </w:r>
        <w:r>
          <w:instrText xml:space="preserve"> PAGEREF _Toc31808 </w:instrText>
        </w:r>
        <w:r>
          <w:fldChar w:fldCharType="separate"/>
        </w:r>
        <w:r>
          <w:t>44</w:t>
        </w:r>
        <w:r>
          <w:fldChar w:fldCharType="end"/>
        </w:r>
      </w:hyperlink>
    </w:p>
    <w:p w:rsidR="008D4CCF">
      <w:pPr>
        <w:pStyle w:val="TOC1"/>
        <w:tabs>
          <w:tab w:val="right" w:leader="dot" w:pos="9638"/>
        </w:tabs>
      </w:pPr>
      <w:hyperlink w:anchor="_Toc3234" w:history="1">
        <w:r>
          <w:rPr>
            <w:rFonts w:ascii="宋体-PUA" w:eastAsia="宋体-PUA" w:hAnsi="宋体-PUA" w:cs="宋体-PUA" w:hint="eastAsia"/>
            <w:szCs w:val="21"/>
            <w:lang w:eastAsia="zh-CN"/>
          </w:rPr>
          <w:t>第二十三章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项目技术负责人简历表</w:t>
        </w:r>
        <w:r>
          <w:tab/>
        </w:r>
        <w:r>
          <w:fldChar w:fldCharType="begin"/>
        </w:r>
        <w:r>
          <w:instrText xml:space="preserve"> PAGEREF _Toc3234 </w:instrText>
        </w:r>
        <w:r>
          <w:fldChar w:fldCharType="separate"/>
        </w:r>
        <w:r>
          <w:t>46</w:t>
        </w:r>
        <w:r>
          <w:fldChar w:fldCharType="end"/>
        </w:r>
      </w:hyperlink>
    </w:p>
    <w:p w:rsidR="008D4CCF">
      <w:pPr>
        <w:pStyle w:val="TOC1"/>
        <w:tabs>
          <w:tab w:val="right" w:leader="dot" w:pos="9638"/>
        </w:tabs>
      </w:pPr>
      <w:hyperlink w:anchor="_Toc3120" w:history="1">
        <w:r>
          <w:rPr>
            <w:rFonts w:ascii="宋体-PUA" w:eastAsia="宋体-PUA" w:hAnsi="宋体-PUA" w:cs="宋体-PUA" w:hint="eastAsia"/>
            <w:szCs w:val="21"/>
            <w:lang w:eastAsia="zh-CN"/>
          </w:rPr>
          <w:t>第二十四章</w:t>
        </w:r>
        <w:r>
          <w:rPr>
            <w:rFonts w:ascii="宋体-PUA" w:eastAsia="宋体-PUA" w:hAnsi="宋体-PUA" w:cs="宋体-PUA" w:hint="eastAsia"/>
            <w:szCs w:val="21"/>
            <w:lang w:eastAsia="zh-CN"/>
          </w:rPr>
          <w:t xml:space="preserve"> </w:t>
        </w:r>
        <w:r>
          <w:rPr>
            <w:rFonts w:ascii="宋体-PUA" w:eastAsia="宋体-PUA" w:hAnsi="宋体-PUA" w:cs="宋体-PUA" w:hint="eastAsia"/>
            <w:szCs w:val="21"/>
            <w:lang w:eastAsia="zh-CN"/>
          </w:rPr>
          <w:t>项目管理机构配备情况辅助说明资料</w:t>
        </w:r>
        <w:r>
          <w:tab/>
        </w:r>
        <w:r>
          <w:fldChar w:fldCharType="begin"/>
        </w:r>
        <w:r>
          <w:instrText xml:space="preserve"> PAGEREF _Toc3120 </w:instrText>
        </w:r>
        <w:r>
          <w:fldChar w:fldCharType="separate"/>
        </w:r>
        <w:r>
          <w:t>48</w:t>
        </w:r>
        <w:r>
          <w:fldChar w:fldCharType="end"/>
        </w:r>
      </w:hyperlink>
    </w:p>
    <w:p w:rsidR="008D4CCF">
      <w:pPr>
        <w:pStyle w:val="TOC1"/>
        <w:tabs>
          <w:tab w:val="right" w:leader="dot" w:pos="9638"/>
        </w:tabs>
      </w:pPr>
      <w:hyperlink w:anchor="_Toc18647" w:history="1">
        <w:r>
          <w:rPr>
            <w:rFonts w:ascii="宋体-PUA" w:eastAsia="宋体-PUA" w:hAnsi="宋体-PUA" w:cs="宋体-PUA" w:hint="eastAsia"/>
            <w:szCs w:val="21"/>
            <w:lang w:eastAsia="zh-CN"/>
          </w:rPr>
          <w:t>附件</w:t>
        </w:r>
        <w:r>
          <w:tab/>
        </w:r>
        <w:r>
          <w:fldChar w:fldCharType="begin"/>
        </w:r>
        <w:r>
          <w:instrText xml:space="preserve"> PAGEREF _Toc18647 </w:instrText>
        </w:r>
        <w:r>
          <w:fldChar w:fldCharType="separate"/>
        </w:r>
        <w:r>
          <w:t>49</w:t>
        </w:r>
        <w:r>
          <w:fldChar w:fldCharType="end"/>
        </w:r>
      </w:hyperlink>
    </w:p>
    <w:p w:rsidR="008D4CCF">
      <w:pPr>
        <w:pStyle w:val="TOC2"/>
        <w:tabs>
          <w:tab w:val="right" w:leader="dot" w:pos="9638"/>
        </w:tabs>
      </w:pPr>
      <w:hyperlink w:anchor="_Toc14492" w:history="1">
        <w:r>
          <w:rPr>
            <w:rFonts w:ascii="宋体-PUA" w:eastAsia="宋体-PUA" w:hAnsi="宋体-PUA" w:cs="宋体-PUA" w:hint="eastAsia"/>
            <w:szCs w:val="21"/>
            <w:lang w:eastAsia="zh-CN"/>
          </w:rPr>
          <w:t>拟投入的主要施工机械设备表</w:t>
        </w:r>
        <w:r>
          <w:tab/>
        </w:r>
        <w:r>
          <w:fldChar w:fldCharType="begin"/>
        </w:r>
        <w:r>
          <w:instrText xml:space="preserve"> PAGEREF _Toc14492 </w:instrText>
        </w:r>
        <w:r>
          <w:fldChar w:fldCharType="separate"/>
        </w:r>
        <w:r>
          <w:t>49</w:t>
        </w:r>
        <w:r>
          <w:fldChar w:fldCharType="end"/>
        </w:r>
      </w:hyperlink>
    </w:p>
    <w:p w:rsidR="008D4CCF">
      <w:pPr>
        <w:pStyle w:val="TOC2"/>
        <w:tabs>
          <w:tab w:val="right" w:leader="dot" w:pos="9638"/>
        </w:tabs>
      </w:pPr>
      <w:hyperlink w:anchor="_Toc12560" w:history="1">
        <w:r>
          <w:rPr>
            <w:rFonts w:ascii="宋体-PUA" w:eastAsia="宋体-PUA" w:hAnsi="宋体-PUA" w:cs="宋体-PUA" w:hint="eastAsia"/>
            <w:szCs w:val="21"/>
            <w:lang w:eastAsia="zh-CN"/>
          </w:rPr>
          <w:t>劳动力计划表</w:t>
        </w:r>
        <w:r>
          <w:tab/>
        </w:r>
        <w:r>
          <w:fldChar w:fldCharType="begin"/>
        </w:r>
        <w:r>
          <w:instrText xml:space="preserve"> PAGEREF _Toc12560 </w:instrText>
        </w:r>
        <w:r>
          <w:fldChar w:fldCharType="separate"/>
        </w:r>
        <w:r>
          <w:t>50</w:t>
        </w:r>
        <w:r>
          <w:fldChar w:fldCharType="end"/>
        </w:r>
      </w:hyperlink>
    </w:p>
    <w:p w:rsidR="008D4CCF">
      <w:pPr>
        <w:pStyle w:val="TOC2"/>
        <w:tabs>
          <w:tab w:val="right" w:leader="dot" w:pos="9638"/>
        </w:tabs>
      </w:pPr>
      <w:hyperlink w:anchor="_Toc1433" w:history="1">
        <w:r>
          <w:rPr>
            <w:rFonts w:ascii="宋体-PUA" w:eastAsia="宋体-PUA" w:hAnsi="宋体-PUA" w:cs="宋体-PUA" w:hint="eastAsia"/>
            <w:szCs w:val="21"/>
            <w:lang w:eastAsia="zh-CN"/>
          </w:rPr>
          <w:t>计划开、竣工日期和施工进度网络图</w:t>
        </w:r>
        <w:r>
          <w:tab/>
        </w:r>
        <w:r>
          <w:fldChar w:fldCharType="begin"/>
        </w:r>
        <w:r>
          <w:instrText xml:space="preserve"> PAGEREF _Toc1433 </w:instrText>
        </w:r>
        <w:r>
          <w:fldChar w:fldCharType="separate"/>
        </w:r>
        <w:r>
          <w:t>51</w:t>
        </w:r>
        <w:r>
          <w:fldChar w:fldCharType="end"/>
        </w:r>
      </w:hyperlink>
    </w:p>
    <w:p w:rsidR="008D4CCF">
      <w:pPr>
        <w:pStyle w:val="TOC2"/>
        <w:tabs>
          <w:tab w:val="right" w:leader="dot" w:pos="9638"/>
        </w:tabs>
      </w:pPr>
      <w:hyperlink w:anchor="_Toc20158" w:history="1">
        <w:r>
          <w:rPr>
            <w:rFonts w:ascii="宋体-PUA" w:eastAsia="宋体-PUA" w:hAnsi="宋体-PUA" w:cs="宋体-PUA" w:hint="eastAsia"/>
            <w:szCs w:val="21"/>
            <w:lang w:eastAsia="zh-CN"/>
          </w:rPr>
          <w:t>临时用地表</w:t>
        </w:r>
        <w:r>
          <w:tab/>
        </w:r>
        <w:r>
          <w:fldChar w:fldCharType="begin"/>
        </w:r>
        <w:r>
          <w:instrText xml:space="preserve"> PAGEREF _Toc20158 </w:instrText>
        </w:r>
        <w:r>
          <w:fldChar w:fldCharType="separate"/>
        </w:r>
        <w:r>
          <w:t>52</w:t>
        </w:r>
        <w:r>
          <w:fldChar w:fldCharType="end"/>
        </w:r>
      </w:hyperlink>
    </w:p>
    <w:p w:rsidR="008D4CCF">
      <w:pPr>
        <w:pStyle w:val="TOC2"/>
        <w:tabs>
          <w:tab w:val="right" w:leader="dot" w:pos="9638"/>
        </w:tabs>
      </w:pPr>
      <w:hyperlink w:anchor="_Toc23999" w:history="1">
        <w:r>
          <w:rPr>
            <w:rFonts w:ascii="宋体-PUA" w:eastAsia="宋体-PUA" w:hAnsi="宋体-PUA" w:cs="宋体-PUA" w:hint="eastAsia"/>
            <w:szCs w:val="21"/>
            <w:lang w:eastAsia="zh-CN"/>
          </w:rPr>
          <w:t>甲供材料专项组织管理方案及保证措施</w:t>
        </w:r>
        <w:r>
          <w:tab/>
        </w:r>
        <w:r>
          <w:fldChar w:fldCharType="begin"/>
        </w:r>
        <w:r>
          <w:instrText xml:space="preserve"> PAGEREF _Toc23999 </w:instrText>
        </w:r>
        <w:r>
          <w:fldChar w:fldCharType="separate"/>
        </w:r>
        <w:r>
          <w:t>53</w:t>
        </w:r>
        <w:r>
          <w:fldChar w:fldCharType="end"/>
        </w:r>
      </w:hyperlink>
    </w:p>
    <w:p w:rsidR="008D4CCF">
      <w:pPr>
        <w:pStyle w:val="TOC2"/>
        <w:tabs>
          <w:tab w:val="right" w:leader="dot" w:pos="9638"/>
        </w:tabs>
      </w:pPr>
      <w:hyperlink w:anchor="_Toc30043" w:history="1">
        <w:r>
          <w:rPr>
            <w:rFonts w:hint="eastAsia"/>
          </w:rPr>
          <w:t>售后保修服务</w:t>
        </w:r>
        <w:r>
          <w:tab/>
        </w:r>
        <w:r>
          <w:fldChar w:fldCharType="begin"/>
        </w:r>
        <w:r>
          <w:instrText xml:space="preserve"> PAGEREF _Toc30043 </w:instrText>
        </w:r>
        <w:r>
          <w:fldChar w:fldCharType="separate"/>
        </w:r>
        <w:r>
          <w:t>55</w:t>
        </w:r>
        <w:r>
          <w:fldChar w:fldCharType="end"/>
        </w:r>
      </w:hyperlink>
    </w:p>
    <w:p w:rsidR="008D4CCF">
      <w:pPr>
        <w:pStyle w:val="Normal0"/>
        <w:spacing w:line="480" w:lineRule="auto"/>
        <w:rPr>
          <w:rFonts w:ascii="宋体-PUA" w:eastAsia="宋体-PUA" w:hAnsi="宋体-PUA" w:cs="宋体-PUA"/>
          <w:sz w:val="21"/>
          <w:szCs w:val="21"/>
          <w:lang w:eastAsia="zh-CN"/>
        </w:rPr>
      </w:pPr>
      <w:r>
        <w:rPr>
          <w:rFonts w:ascii="宋体-PUA" w:eastAsia="宋体-PUA" w:hAnsi="宋体-PUA" w:cs="宋体-PUA" w:hint="eastAsia"/>
          <w:szCs w:val="21"/>
          <w:lang w:eastAsia="zh-CN"/>
        </w:rPr>
        <w:fldChar w:fldCharType="end"/>
      </w:r>
    </w:p>
    <w:p w:rsidR="008D4CCF">
      <w:pPr>
        <w:pStyle w:val="Normal0"/>
        <w:spacing w:line="360" w:lineRule="auto"/>
        <w:rPr>
          <w:rFonts w:ascii="宋体-PUA" w:eastAsia="宋体-PUA" w:hAnsi="宋体-PUA" w:cs="宋体-PUA"/>
          <w:sz w:val="21"/>
          <w:szCs w:val="21"/>
          <w:lang w:eastAsia="zh-CN"/>
        </w:rPr>
      </w:pPr>
    </w:p>
    <w:p w:rsidR="008D4CCF">
      <w:pPr>
        <w:pStyle w:val="Normal0"/>
        <w:spacing w:line="360" w:lineRule="auto"/>
        <w:rPr>
          <w:rFonts w:ascii="宋体-PUA" w:eastAsia="宋体-PUA" w:hAnsi="宋体-PUA" w:cs="宋体-PUA"/>
          <w:sz w:val="21"/>
          <w:szCs w:val="21"/>
          <w:lang w:eastAsia="zh-CN"/>
        </w:rPr>
      </w:pPr>
    </w:p>
    <w:p w:rsidR="008D4CCF">
      <w:pPr>
        <w:pStyle w:val="Normal0"/>
        <w:spacing w:line="360" w:lineRule="auto"/>
        <w:rPr>
          <w:rFonts w:ascii="宋体-PUA" w:eastAsia="宋体-PUA" w:hAnsi="宋体-PUA" w:cs="宋体-PUA"/>
          <w:sz w:val="21"/>
          <w:szCs w:val="21"/>
          <w:lang w:eastAsia="zh-CN"/>
        </w:rPr>
      </w:pPr>
    </w:p>
    <w:p w:rsidR="008D4CCF">
      <w:pPr>
        <w:pStyle w:val="Normal0"/>
        <w:spacing w:line="360" w:lineRule="auto"/>
        <w:rPr>
          <w:rFonts w:ascii="宋体-PUA" w:eastAsia="宋体-PUA" w:hAnsi="宋体-PUA" w:cs="宋体-PUA"/>
          <w:sz w:val="21"/>
          <w:szCs w:val="21"/>
          <w:lang w:eastAsia="zh-CN"/>
        </w:rPr>
      </w:pPr>
    </w:p>
    <w:p w:rsidR="008D4CCF">
      <w:pPr>
        <w:pStyle w:val="Normal0"/>
        <w:spacing w:line="360" w:lineRule="auto"/>
        <w:rPr>
          <w:rFonts w:ascii="宋体-PUA" w:eastAsia="宋体-PUA" w:hAnsi="宋体-PUA" w:cs="宋体-PUA"/>
          <w:sz w:val="21"/>
          <w:szCs w:val="21"/>
          <w:lang w:eastAsia="zh-CN"/>
        </w:rPr>
      </w:pPr>
    </w:p>
    <w:p w:rsidR="008D4CCF">
      <w:pPr>
        <w:pStyle w:val="Heading1"/>
        <w:spacing w:line="440" w:lineRule="atLeast"/>
        <w:rPr>
          <w:rFonts w:ascii="宋体-PUA" w:eastAsia="宋体-PUA" w:hAnsi="宋体-PUA" w:cs="宋体-PUA"/>
          <w:sz w:val="21"/>
          <w:szCs w:val="21"/>
          <w:lang w:eastAsia="zh-CN"/>
        </w:rPr>
      </w:pPr>
      <w:bookmarkStart w:id="4" w:name="_Toc28596"/>
      <w:r>
        <w:rPr>
          <w:rFonts w:ascii="宋体-PUA" w:eastAsia="宋体-PUA" w:hAnsi="宋体-PUA" w:cs="宋体-PUA" w:hint="eastAsia"/>
          <w:sz w:val="21"/>
          <w:szCs w:val="21"/>
          <w:lang w:eastAsia="zh-CN"/>
        </w:rPr>
        <w:t>第一章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各分部分项施工方法</w:t>
      </w:r>
      <w:bookmarkEnd w:id="4"/>
    </w:p>
    <w:p w:rsidR="008D4CCF">
      <w:pPr>
        <w:pStyle w:val="Heading2"/>
        <w:numPr>
          <w:ilvl w:val="0"/>
          <w:numId w:val="2"/>
        </w:numPr>
        <w:spacing w:line="440" w:lineRule="atLeast"/>
        <w:ind w:firstLine="0"/>
        <w:rPr>
          <w:rFonts w:ascii="宋体-PUA" w:eastAsia="宋体-PUA" w:hAnsi="宋体-PUA" w:cs="宋体-PUA"/>
          <w:b/>
          <w:bCs/>
          <w:sz w:val="21"/>
          <w:szCs w:val="21"/>
        </w:rPr>
      </w:pPr>
      <w:bookmarkStart w:id="5" w:name="_Toc22725"/>
      <w:r>
        <w:rPr>
          <w:rFonts w:ascii="宋体-PUA" w:eastAsia="宋体-PUA" w:hAnsi="宋体-PUA" w:cs="宋体-PUA" w:hint="eastAsia"/>
          <w:b/>
          <w:bCs/>
          <w:sz w:val="21"/>
          <w:szCs w:val="21"/>
        </w:rPr>
        <w:t>石材幕墙施工工艺</w:t>
      </w:r>
      <w:bookmarkEnd w:id="0"/>
      <w:bookmarkEnd w:id="1"/>
      <w:bookmarkEnd w:id="5"/>
    </w:p>
    <w:p w:rsidR="008D4CCF">
      <w:pPr>
        <w:pStyle w:val="Normal0"/>
        <w:numPr>
          <w:ilvl w:val="1"/>
          <w:numId w:val="3"/>
        </w:numPr>
        <w:spacing w:line="440" w:lineRule="atLeast"/>
        <w:ind w:firstLine="0"/>
        <w:rPr>
          <w:rFonts w:ascii="宋体-PUA" w:eastAsia="宋体-PUA" w:hAnsi="宋体-PUA" w:cs="宋体-PUA"/>
          <w:sz w:val="21"/>
          <w:szCs w:val="21"/>
          <w:lang w:eastAsia="zh-CN"/>
        </w:rPr>
        <w:sectPr>
          <w:type w:val="nextPage"/>
          <w:pgSz w:w="11906" w:h="16838"/>
          <w:pgMar w:top="1417" w:right="1134" w:bottom="1134" w:left="1134" w:header="851" w:footer="992" w:gutter="0"/>
          <w:pgNumType w:start="3"/>
          <w:cols w:space="708"/>
          <w:titlePg w:val="0"/>
          <w:docGrid w:type="lines" w:linePitch="312"/>
        </w:sectPr>
      </w:pPr>
      <w:r>
        <w:rPr>
          <w:rFonts w:ascii="宋体-PUA" w:eastAsia="宋体-PUA" w:hAnsi="宋体-PUA" w:cs="宋体-PUA" w:hint="eastAsia"/>
          <w:sz w:val="21"/>
          <w:szCs w:val="21"/>
          <w:lang w:eastAsia="zh-CN"/>
        </w:rPr>
        <w:t>石材幕墙安装工艺流程</w:t>
      </w:r>
      <w:r>
        <w:rPr>
          <w:rFonts w:ascii="宋体-PUA" w:eastAsia="宋体-PUA" w:hAnsi="宋体-PUA" w:cs="宋体-PUA" w:hint="eastAsia"/>
          <w:sz w:val="21"/>
          <w:szCs w:val="21"/>
          <w:lang w:eastAsia="zh-CN"/>
        </w:rPr>
        <w:t> </w:t>
      </w:r>
    </w:p>
    <w:p w:rsidR="008D4CCF">
      <w:pPr>
        <w:pStyle w:val="Normal0"/>
        <w:spacing w:line="440" w:lineRule="atLeast"/>
        <w:ind w:left="420"/>
        <w:rPr>
          <w:rFonts w:ascii="宋体-PUA" w:eastAsia="宋体-PUA" w:hAnsi="宋体-PUA" w:cs="宋体-PUA"/>
          <w:sz w:val="21"/>
          <w:szCs w:val="21"/>
          <w:lang w:eastAsia="zh-CN"/>
        </w:rPr>
      </w:pP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基层处理→墙面分格放线→钢架制作→热镀锌→钢架校正→钢架固定→检验分格、平整度和牢固性→挑选石材→开料→挑色编号→石材干挂→填嵌密封条→</w:t>
      </w:r>
      <w:r>
        <w:rPr>
          <w:rFonts w:ascii="宋体-PUA" w:eastAsia="宋体-PUA" w:hAnsi="宋体-PUA" w:cs="宋体-PUA" w:hint="eastAsia"/>
          <w:sz w:val="21"/>
          <w:szCs w:val="21"/>
          <w:lang w:eastAsia="zh-CN"/>
        </w:rPr>
        <w:t>打胶密封→墙面清理→检验。</w:t>
      </w:r>
    </w:p>
    <w:p w:rsidR="008D4CCF">
      <w:pPr>
        <w:pStyle w:val="Normal0"/>
        <w:numPr>
          <w:ilvl w:val="1"/>
          <w:numId w:val="37"/>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操作工艺</w:t>
      </w:r>
    </w:p>
    <w:p w:rsidR="008D4CCF">
      <w:pPr>
        <w:pStyle w:val="Normal0"/>
        <w:numPr>
          <w:ilvl w:val="0"/>
          <w:numId w:val="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安装施工准备</w:t>
      </w:r>
    </w:p>
    <w:p w:rsidR="008D4CCF">
      <w:pPr>
        <w:pStyle w:val="Normal0"/>
        <w:numPr>
          <w:ilvl w:val="0"/>
          <w:numId w:val="5"/>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制材料、制品、机具的详细进场计划；</w:t>
      </w:r>
    </w:p>
    <w:p w:rsidR="008D4CCF">
      <w:pPr>
        <w:pStyle w:val="Normal0"/>
        <w:numPr>
          <w:ilvl w:val="0"/>
          <w:numId w:val="5"/>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落实各项需用计划；</w:t>
      </w:r>
    </w:p>
    <w:p w:rsidR="008D4CCF">
      <w:pPr>
        <w:pStyle w:val="Normal0"/>
        <w:numPr>
          <w:ilvl w:val="0"/>
          <w:numId w:val="5"/>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编制施工进度计划；</w:t>
      </w:r>
    </w:p>
    <w:p w:rsidR="008D4CCF">
      <w:pPr>
        <w:pStyle w:val="Normal0"/>
        <w:numPr>
          <w:ilvl w:val="0"/>
          <w:numId w:val="5"/>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做好技术交底工作；</w:t>
      </w:r>
    </w:p>
    <w:p w:rsidR="008D4CCF">
      <w:pPr>
        <w:pStyle w:val="Normal0"/>
        <w:numPr>
          <w:ilvl w:val="0"/>
          <w:numId w:val="5"/>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搬运、吊装构件时不得碰撞、损坏和污染构件。</w:t>
      </w:r>
    </w:p>
    <w:p w:rsidR="008D4CCF">
      <w:pPr>
        <w:pStyle w:val="Normal0"/>
        <w:numPr>
          <w:ilvl w:val="0"/>
          <w:numId w:val="5"/>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构件储存时应依照安装顺序排列放置，放置架应有足够的承载力和刚度。在室外储存时应采取保护措施。</w:t>
      </w:r>
    </w:p>
    <w:p w:rsidR="008D4CCF">
      <w:pPr>
        <w:pStyle w:val="Normal0"/>
        <w:numPr>
          <w:ilvl w:val="0"/>
          <w:numId w:val="5"/>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构件安装前应检查制造合格证，不合格的构件不得安装。</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r>
        <w:rPr>
          <w:rFonts w:ascii="宋体-PUA" w:eastAsia="宋体-PUA" w:hAnsi="宋体-PUA" w:cs="宋体-PUA" w:hint="eastAsia"/>
          <w:sz w:val="21"/>
          <w:szCs w:val="21"/>
        </w:rPr>
        <w:t>）预埋件的安装</w:t>
      </w:r>
    </w:p>
    <w:p w:rsidR="008D4CCF">
      <w:pPr>
        <w:pStyle w:val="Normal0"/>
        <w:numPr>
          <w:ilvl w:val="0"/>
          <w:numId w:val="6"/>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按照土建进度，从下向上逐层安装预埋件；</w:t>
      </w:r>
    </w:p>
    <w:p w:rsidR="008D4CCF">
      <w:pPr>
        <w:pStyle w:val="Normal0"/>
        <w:numPr>
          <w:ilvl w:val="0"/>
          <w:numId w:val="6"/>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按照幕墙的设计分格尺寸用经纬仪或其他测量仪器进行分格定位；</w:t>
      </w:r>
    </w:p>
    <w:p w:rsidR="008D4CCF">
      <w:pPr>
        <w:pStyle w:val="Normal0"/>
        <w:numPr>
          <w:ilvl w:val="0"/>
          <w:numId w:val="6"/>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检查定位无误后，按图纸要求埋设铁件；</w:t>
      </w:r>
    </w:p>
    <w:p w:rsidR="008D4CCF">
      <w:pPr>
        <w:pStyle w:val="Normal0"/>
        <w:numPr>
          <w:ilvl w:val="0"/>
          <w:numId w:val="6"/>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安装埋件时要采取措施防止浇筑混凝土时埋件位移，控制好埋件表面的</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水平或垂直，严禁歪、斜、倾等。</w:t>
      </w:r>
    </w:p>
    <w:p w:rsidR="008D4CCF">
      <w:pPr>
        <w:pStyle w:val="Normal0"/>
        <w:numPr>
          <w:ilvl w:val="0"/>
          <w:numId w:val="6"/>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检查预埋件是否牢固、位置是否准确。预埋件的位置误差应按设计要求</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进行复查。预埋件的标高偏差不应大于</w:t>
      </w:r>
      <w:r>
        <w:rPr>
          <w:rFonts w:ascii="宋体-PUA" w:eastAsia="宋体-PUA" w:hAnsi="宋体-PUA" w:cs="宋体-PUA" w:hint="eastAsia"/>
          <w:sz w:val="21"/>
          <w:szCs w:val="21"/>
          <w:lang w:eastAsia="zh-CN"/>
        </w:rPr>
        <w:t>10mm</w:t>
      </w:r>
      <w:r>
        <w:rPr>
          <w:rFonts w:ascii="宋体-PUA" w:eastAsia="宋体-PUA" w:hAnsi="宋体-PUA" w:cs="宋体-PUA" w:hint="eastAsia"/>
          <w:sz w:val="21"/>
          <w:szCs w:val="21"/>
          <w:lang w:eastAsia="zh-CN"/>
        </w:rPr>
        <w:t>，预埋件的位置与设计位置偏差不应大于</w:t>
      </w:r>
      <w:r>
        <w:rPr>
          <w:rFonts w:ascii="宋体-PUA" w:eastAsia="宋体-PUA" w:hAnsi="宋体-PUA" w:cs="宋体-PUA" w:hint="eastAsia"/>
          <w:sz w:val="21"/>
          <w:szCs w:val="21"/>
          <w:lang w:eastAsia="zh-CN"/>
        </w:rPr>
        <w:t>20mm</w:t>
      </w:r>
      <w:r>
        <w:rPr>
          <w:rFonts w:ascii="宋体-PUA" w:eastAsia="宋体-PUA" w:hAnsi="宋体-PUA" w:cs="宋体-PUA" w:hint="eastAsia"/>
          <w:sz w:val="21"/>
          <w:szCs w:val="21"/>
          <w:lang w:eastAsia="zh-CN"/>
        </w:rPr>
        <w:t>。</w:t>
      </w:r>
    </w:p>
    <w:p w:rsidR="008D4CCF">
      <w:pPr>
        <w:pStyle w:val="Normal0"/>
        <w:numPr>
          <w:ilvl w:val="0"/>
          <w:numId w:val="6"/>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当原有埋件不够时需采用后补埋件。后补埋件的作法详见图</w:t>
      </w:r>
      <w:r>
        <w:rPr>
          <w:rFonts w:ascii="宋体-PUA" w:eastAsia="宋体-PUA" w:hAnsi="宋体-PUA" w:cs="宋体-PUA" w:hint="eastAsia"/>
          <w:sz w:val="21"/>
          <w:szCs w:val="21"/>
          <w:lang w:eastAsia="zh-CN"/>
        </w:rPr>
        <w:t>1</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50pt;height:171.6pt;margin-top:1.6pt;margin-left:117pt;mso-wrap-style:square;position:absolute;z-index:-251658240" wrapcoords="-108 0 -108 21488 21600 21488 21600 0 -108 0">
            <v:imagedata r:id="rId5" o:title=""/>
            <w10:wrap type="tight"/>
          </v:shape>
        </w:pict>
      </w: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3</w:t>
      </w:r>
      <w:r>
        <w:rPr>
          <w:rFonts w:ascii="宋体-PUA" w:eastAsia="宋体-PUA" w:hAnsi="宋体-PUA" w:cs="宋体-PUA" w:hint="eastAsia"/>
          <w:sz w:val="21"/>
          <w:szCs w:val="21"/>
        </w:rPr>
        <w:t>）施工测量放线</w:t>
      </w:r>
    </w:p>
    <w:p w:rsidR="008D4CCF">
      <w:pPr>
        <w:pStyle w:val="Normal0"/>
        <w:numPr>
          <w:ilvl w:val="0"/>
          <w:numId w:val="7"/>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复查由招标方移交的基准线；</w:t>
      </w:r>
    </w:p>
    <w:p w:rsidR="008D4CCF">
      <w:pPr>
        <w:pStyle w:val="Normal0"/>
        <w:numPr>
          <w:ilvl w:val="0"/>
          <w:numId w:val="7"/>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放标准线：在每一层将室内标高线移至外墙施工面，并进行检查；在石</w:t>
      </w:r>
    </w:p>
    <w:p w:rsidR="008D4CCF">
      <w:pPr>
        <w:pStyle w:val="Normal0"/>
        <w:spacing w:line="440" w:lineRule="atLeast"/>
        <w:rPr>
          <w:rFonts w:ascii="宋体-PUA" w:eastAsia="宋体-PUA" w:hAnsi="宋体-PUA" w:cs="宋体-PUA"/>
          <w:sz w:val="21"/>
          <w:szCs w:val="21"/>
          <w:lang w:eastAsia="zh-CN"/>
        </w:rPr>
        <w:sectPr>
          <w:type w:val="nextPage"/>
          <w:pgSz w:w="11906" w:h="16838"/>
          <w:pgMar w:top="1417" w:right="1134" w:bottom="1134" w:left="1134" w:header="851" w:footer="992" w:gutter="0"/>
          <w:pgNumType w:start="4"/>
          <w:cols w:space="708"/>
          <w:titlePg w:val="0"/>
          <w:docGrid w:type="lines" w:linePitch="312"/>
        </w:sectPr>
      </w:pPr>
      <w:r>
        <w:rPr>
          <w:rFonts w:ascii="宋体-PUA" w:eastAsia="宋体-PUA" w:hAnsi="宋体-PUA" w:cs="宋体-PUA" w:hint="eastAsia"/>
          <w:sz w:val="21"/>
          <w:szCs w:val="21"/>
          <w:lang w:eastAsia="zh-CN"/>
        </w:rPr>
        <w:t>材挂板放线前，应首先对建筑物外形尺寸进行偏差测量，根据测量结果，确定出干线挂板的基准面。</w:t>
      </w:r>
    </w:p>
    <w:p w:rsidR="008D4CCF">
      <w:pPr>
        <w:pStyle w:val="Normal0"/>
        <w:numPr>
          <w:ilvl w:val="0"/>
          <w:numId w:val="7"/>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以标准线为基准，按照图纸将分格线放在墙上，并做好标记；</w:t>
      </w:r>
    </w:p>
    <w:p w:rsidR="008D4CCF">
      <w:pPr>
        <w:pStyle w:val="Normal0"/>
        <w:numPr>
          <w:ilvl w:val="0"/>
          <w:numId w:val="7"/>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分格线放完后，应检查预埋件的位置是否与设计相符，否则应进行调整或预埋件补救处理；</w:t>
      </w:r>
    </w:p>
    <w:p w:rsidR="008D4CCF">
      <w:pPr>
        <w:pStyle w:val="Normal0"/>
        <w:numPr>
          <w:ilvl w:val="0"/>
          <w:numId w:val="7"/>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最后，用</w:t>
      </w:r>
      <w:r>
        <w:rPr>
          <w:rFonts w:ascii="宋体-PUA" w:eastAsia="宋体-PUA" w:hAnsi="宋体-PUA" w:cs="宋体-PUA" w:hint="eastAsia"/>
          <w:sz w:val="21"/>
          <w:szCs w:val="21"/>
        </w:rPr>
        <w:t>φ</w:t>
      </w:r>
      <w:r>
        <w:rPr>
          <w:rFonts w:ascii="宋体-PUA" w:eastAsia="宋体-PUA" w:hAnsi="宋体-PUA" w:cs="宋体-PUA" w:hint="eastAsia"/>
          <w:sz w:val="21"/>
          <w:szCs w:val="21"/>
          <w:lang w:eastAsia="zh-CN"/>
        </w:rPr>
        <w:t>0.5</w:t>
      </w: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1.0mm</w:t>
      </w:r>
      <w:r>
        <w:rPr>
          <w:rFonts w:ascii="宋体-PUA" w:eastAsia="宋体-PUA" w:hAnsi="宋体-PUA" w:cs="宋体-PUA" w:hint="eastAsia"/>
          <w:sz w:val="21"/>
          <w:szCs w:val="21"/>
          <w:lang w:eastAsia="zh-CN"/>
        </w:rPr>
        <w:t>的钢丝在单橙幕墙的垂直、水平方向各拉两根，</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作为安装的控制线，水平钢丝应每层拉一根（宽度过宽，应每间隔</w:t>
      </w:r>
      <w:r>
        <w:rPr>
          <w:rFonts w:ascii="宋体-PUA" w:eastAsia="宋体-PUA" w:hAnsi="宋体-PUA" w:cs="宋体-PUA" w:hint="eastAsia"/>
          <w:sz w:val="21"/>
          <w:szCs w:val="21"/>
          <w:lang w:eastAsia="zh-CN"/>
        </w:rPr>
        <w:t>20m</w:t>
      </w:r>
      <w:r>
        <w:rPr>
          <w:rFonts w:ascii="宋体-PUA" w:eastAsia="宋体-PUA" w:hAnsi="宋体-PUA" w:cs="宋体-PUA" w:hint="eastAsia"/>
          <w:sz w:val="21"/>
          <w:szCs w:val="21"/>
          <w:lang w:eastAsia="zh-CN"/>
        </w:rPr>
        <w:t>设</w:t>
      </w: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支点，以防钢丝下垂），垂直钢丝应间隔</w:t>
      </w:r>
      <w:r>
        <w:rPr>
          <w:rFonts w:ascii="宋体-PUA" w:eastAsia="宋体-PUA" w:hAnsi="宋体-PUA" w:cs="宋体-PUA" w:hint="eastAsia"/>
          <w:sz w:val="21"/>
          <w:szCs w:val="21"/>
          <w:lang w:eastAsia="zh-CN"/>
        </w:rPr>
        <w:t>20m</w:t>
      </w:r>
      <w:r>
        <w:rPr>
          <w:rFonts w:ascii="宋体-PUA" w:eastAsia="宋体-PUA" w:hAnsi="宋体-PUA" w:cs="宋体-PUA" w:hint="eastAsia"/>
          <w:sz w:val="21"/>
          <w:szCs w:val="21"/>
          <w:lang w:eastAsia="zh-CN"/>
        </w:rPr>
        <w:t>拉一根；</w:t>
      </w:r>
    </w:p>
    <w:p w:rsidR="008D4CCF">
      <w:pPr>
        <w:pStyle w:val="Normal0"/>
        <w:numPr>
          <w:ilvl w:val="0"/>
          <w:numId w:val="7"/>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注意事项：</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放线时，应结合土</w:t>
      </w:r>
      <w:r>
        <w:rPr>
          <w:rFonts w:ascii="宋体-PUA" w:eastAsia="宋体-PUA" w:hAnsi="宋体-PUA" w:cs="宋体-PUA" w:hint="eastAsia"/>
          <w:sz w:val="21"/>
          <w:szCs w:val="21"/>
          <w:lang w:eastAsia="zh-CN"/>
        </w:rPr>
        <w:t>建的结构偏差，将偏差分解；并应防止误差积累；</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放线时，应考虑好与其他装饰面的接口；</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拉好的钢丝应在两端紧固点做好标记，以便钢丝断了，快速重拉；</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严格按照图纸放线；</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控制重点为：基准线</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4</w:t>
      </w:r>
      <w:r>
        <w:rPr>
          <w:rFonts w:ascii="宋体-PUA" w:eastAsia="宋体-PUA" w:hAnsi="宋体-PUA" w:cs="宋体-PUA" w:hint="eastAsia"/>
          <w:sz w:val="21"/>
          <w:szCs w:val="21"/>
        </w:rPr>
        <w:t>）石材幕墙安装工艺</w:t>
      </w:r>
    </w:p>
    <w:p w:rsidR="008D4CCF">
      <w:pPr>
        <w:pStyle w:val="Normal0"/>
        <w:numPr>
          <w:ilvl w:val="0"/>
          <w:numId w:val="8"/>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石材幕墙骨架的安装</w:t>
      </w:r>
    </w:p>
    <w:p w:rsidR="008D4CCF">
      <w:pPr>
        <w:pStyle w:val="Normal0"/>
        <w:numPr>
          <w:ilvl w:val="1"/>
          <w:numId w:val="8"/>
        </w:numPr>
        <w:tabs>
          <w:tab w:val="left" w:pos="720"/>
          <w:tab w:val="clear" w:pos="1620"/>
        </w:tabs>
        <w:spacing w:line="440" w:lineRule="atLeast"/>
        <w:ind w:left="18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施工准备：先复查主体结构的外形尺寸，要求结构外形尺寸达到幕墙尺寸的配合允许误差在允许偏差范围内，对偏差达大者要进行修正处理。</w:t>
      </w:r>
    </w:p>
    <w:p w:rsidR="008D4CCF">
      <w:pPr>
        <w:pStyle w:val="Normal0"/>
        <w:numPr>
          <w:ilvl w:val="1"/>
          <w:numId w:val="8"/>
        </w:numPr>
        <w:tabs>
          <w:tab w:val="left" w:pos="720"/>
          <w:tab w:val="clear" w:pos="1620"/>
        </w:tabs>
        <w:spacing w:line="440" w:lineRule="atLeast"/>
        <w:ind w:left="18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检查埋件：应牢固，位置准确；</w:t>
      </w:r>
    </w:p>
    <w:p w:rsidR="008D4CCF">
      <w:pPr>
        <w:pStyle w:val="Normal0"/>
        <w:numPr>
          <w:ilvl w:val="1"/>
          <w:numId w:val="8"/>
        </w:numPr>
        <w:tabs>
          <w:tab w:val="left" w:pos="720"/>
          <w:tab w:val="clear" w:pos="1620"/>
        </w:tabs>
        <w:spacing w:line="440" w:lineRule="atLeast"/>
        <w:ind w:left="18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根据控制线确定骨架位置，严格控制骨架位置偏差；确定组件在立面上的水平、垂直位置，并在框格上画线，对平面度逐层设控制点，根据控制点</w:t>
      </w:r>
      <w:r>
        <w:rPr>
          <w:rFonts w:ascii="宋体-PUA" w:eastAsia="宋体-PUA" w:hAnsi="宋体-PUA" w:cs="宋体-PUA" w:hint="eastAsia"/>
          <w:sz w:val="21"/>
          <w:szCs w:val="21"/>
          <w:lang w:eastAsia="zh-CN"/>
        </w:rPr>
        <w:t>拉线，拉线调整，使组件按要求就位。</w:t>
      </w:r>
    </w:p>
    <w:p w:rsidR="008D4CCF">
      <w:pPr>
        <w:pStyle w:val="Normal0"/>
        <w:numPr>
          <w:ilvl w:val="1"/>
          <w:numId w:val="8"/>
        </w:numPr>
        <w:tabs>
          <w:tab w:val="left" w:pos="720"/>
          <w:tab w:val="clear" w:pos="1620"/>
        </w:tabs>
        <w:spacing w:line="440" w:lineRule="atLeast"/>
        <w:ind w:left="18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安装竖框：先将竖框与连接件连接，连接件与主体埋件点焊连接，然后及时进行调整和固定。每根竖框均用线坠调整垂直度，每三层用经纬仪调一次按垂直度，全部调整完后满焊焊牢。</w:t>
      </w:r>
    </w:p>
    <w:p w:rsidR="008D4CCF">
      <w:pPr>
        <w:pStyle w:val="Normal0"/>
        <w:numPr>
          <w:ilvl w:val="1"/>
          <w:numId w:val="8"/>
        </w:numPr>
        <w:tabs>
          <w:tab w:val="left" w:pos="720"/>
          <w:tab w:val="clear" w:pos="1620"/>
        </w:tabs>
        <w:spacing w:line="440" w:lineRule="atLeast"/>
        <w:ind w:left="18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安装横框：同一层横框安装由下而上进行。每安装完一层高度应进行检查、调整、校正和固定。</w:t>
      </w:r>
    </w:p>
    <w:p w:rsidR="008D4CCF">
      <w:pPr>
        <w:pStyle w:val="Normal0"/>
        <w:numPr>
          <w:ilvl w:val="1"/>
          <w:numId w:val="8"/>
        </w:numPr>
        <w:tabs>
          <w:tab w:val="left" w:pos="720"/>
          <w:tab w:val="clear" w:pos="1620"/>
        </w:tabs>
        <w:spacing w:line="440" w:lineRule="atLeast"/>
        <w:ind w:left="18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干挂石材板主要骨架固定，保证骨架安装的牢固性；</w:t>
      </w:r>
    </w:p>
    <w:p w:rsidR="008D4CCF">
      <w:pPr>
        <w:pStyle w:val="Normal0"/>
        <w:numPr>
          <w:ilvl w:val="1"/>
          <w:numId w:val="8"/>
        </w:numPr>
        <w:tabs>
          <w:tab w:val="left" w:pos="720"/>
          <w:tab w:val="clear" w:pos="1620"/>
        </w:tabs>
        <w:spacing w:line="440" w:lineRule="atLeast"/>
        <w:ind w:left="18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在挂件安装前全面检查骨架位置是否准确、焊接是否牢固，并检查焊缝质量；</w:t>
      </w:r>
    </w:p>
    <w:p w:rsidR="008D4CCF">
      <w:pPr>
        <w:pStyle w:val="Normal0"/>
        <w:numPr>
          <w:ilvl w:val="0"/>
          <w:numId w:val="8"/>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石材幕墙骨架的防锈</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A</w:t>
      </w:r>
      <w:r>
        <w:rPr>
          <w:rFonts w:ascii="宋体-PUA" w:eastAsia="宋体-PUA" w:hAnsi="宋体-PUA" w:cs="宋体-PUA" w:hint="eastAsia"/>
          <w:sz w:val="21"/>
          <w:szCs w:val="21"/>
          <w:lang w:eastAsia="zh-CN"/>
        </w:rPr>
        <w:t>）槽钢主龙骨、预埋件及各类镀锌角钢焊接破坏镀锌层后均满涂两遍防</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锈漆（含补刷部分）进行防锈处理并控制第一道二道的间隔时间不小于</w:t>
      </w:r>
      <w:r>
        <w:rPr>
          <w:rFonts w:ascii="宋体-PUA" w:eastAsia="宋体-PUA" w:hAnsi="宋体-PUA" w:cs="宋体-PUA" w:hint="eastAsia"/>
          <w:sz w:val="21"/>
          <w:szCs w:val="21"/>
          <w:lang w:eastAsia="zh-CN"/>
        </w:rPr>
        <w:t>12</w:t>
      </w:r>
      <w:r>
        <w:rPr>
          <w:rFonts w:ascii="宋体-PUA" w:eastAsia="宋体-PUA" w:hAnsi="宋体-PUA" w:cs="宋体-PUA" w:hint="eastAsia"/>
          <w:sz w:val="21"/>
          <w:szCs w:val="21"/>
          <w:lang w:eastAsia="zh-CN"/>
        </w:rPr>
        <w:t>小时。</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B</w:t>
      </w:r>
      <w:r>
        <w:rPr>
          <w:rFonts w:ascii="宋体-PUA" w:eastAsia="宋体-PUA" w:hAnsi="宋体-PUA" w:cs="宋体-PUA" w:hint="eastAsia"/>
          <w:sz w:val="21"/>
          <w:szCs w:val="21"/>
          <w:lang w:eastAsia="zh-CN"/>
        </w:rPr>
        <w:t>）型钢进场必须有防潮措施并在除去灰尘及污物后进行防锈操作。</w:t>
      </w:r>
    </w:p>
    <w:p w:rsidR="008D4CCF">
      <w:pPr>
        <w:pStyle w:val="Normal0"/>
        <w:spacing w:line="440" w:lineRule="atLeast"/>
        <w:ind w:left="480"/>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C</w:t>
      </w:r>
      <w:r>
        <w:rPr>
          <w:rFonts w:ascii="宋体-PUA" w:eastAsia="宋体-PUA" w:hAnsi="宋体-PUA" w:cs="宋体-PUA" w:hint="eastAsia"/>
          <w:sz w:val="21"/>
          <w:szCs w:val="21"/>
          <w:lang w:eastAsia="zh-CN"/>
        </w:rPr>
        <w:t>）严格控制不得漏刷防锈漆，特别控制为焊接而预留的缓刷部位在焊后</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涂刷不得少于两遍。</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）背栓式石材安装程序</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为了达到外立面的整体效果，要求板材加工精度比较高，要精心挑选板</w:t>
      </w:r>
      <w:r>
        <w:rPr>
          <w:rFonts w:ascii="宋体-PUA" w:eastAsia="宋体-PUA" w:hAnsi="宋体-PUA" w:cs="宋体-PUA" w:hint="eastAsia"/>
          <w:sz w:val="21"/>
          <w:szCs w:val="21"/>
          <w:lang w:eastAsia="zh-CN"/>
        </w:rPr>
        <w:t xml:space="preserve">     </w:t>
      </w:r>
    </w:p>
    <w:p w:rsidR="008D4CCF">
      <w:pPr>
        <w:pStyle w:val="Normal0"/>
        <w:spacing w:line="440" w:lineRule="atLeast"/>
        <w:ind w:left="239" w:leftChars="114"/>
        <w:rPr>
          <w:rFonts w:ascii="宋体-PUA" w:eastAsia="宋体-PUA" w:hAnsi="宋体-PUA" w:cs="宋体-PUA"/>
          <w:sz w:val="21"/>
          <w:szCs w:val="21"/>
          <w:lang w:eastAsia="zh-CN"/>
        </w:rPr>
        <w:sectPr>
          <w:type w:val="nextPage"/>
          <w:pgSz w:w="11906" w:h="16838"/>
          <w:pgMar w:top="1417" w:right="1134" w:bottom="1134" w:left="1134" w:header="851" w:footer="992" w:gutter="0"/>
          <w:pgNumType w:start="5"/>
          <w:cols w:space="708"/>
          <w:titlePg w:val="0"/>
          <w:docGrid w:type="lines" w:linePitch="312"/>
        </w:sectPr>
      </w:pPr>
      <w:r>
        <w:rPr>
          <w:rFonts w:ascii="宋体-PUA" w:eastAsia="宋体-PUA" w:hAnsi="宋体-PUA" w:cs="宋体-PUA" w:hint="eastAsia"/>
          <w:sz w:val="21"/>
          <w:szCs w:val="21"/>
          <w:lang w:eastAsia="zh-CN"/>
        </w:rPr>
        <w:t>材，减少色差。石材表面不得有气泡、裂纹、结疤、折叠、夹杂和端面分层，允许有不大于厚度公差一</w:t>
      </w:r>
    </w:p>
    <w:p w:rsidR="008D4CCF">
      <w:pPr>
        <w:pStyle w:val="Normal0"/>
        <w:spacing w:line="440" w:lineRule="atLeast"/>
        <w:ind w:left="239" w:leftChars="114"/>
        <w:rPr>
          <w:rFonts w:ascii="宋体-PUA" w:eastAsia="宋体-PUA" w:hAnsi="宋体-PUA" w:cs="宋体-PUA"/>
          <w:sz w:val="21"/>
          <w:szCs w:val="21"/>
          <w:lang w:eastAsia="zh-CN"/>
        </w:rPr>
      </w:pPr>
      <w:r>
        <w:rPr>
          <w:rFonts w:ascii="宋体-PUA" w:eastAsia="宋体-PUA" w:hAnsi="宋体-PUA" w:cs="宋体-PUA" w:hint="eastAsia"/>
          <w:sz w:val="21"/>
          <w:szCs w:val="21"/>
          <w:lang w:eastAsia="zh-CN"/>
        </w:rPr>
        <w:t>半的轻微凹坑、凸起、压痕、发纹、擦伤。选好石材根据图纸分格尺寸切割抛光，石材表面清洁。</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根据设计要求钻孔、定位，当采用一个螺栓时，螺孔中心到板边的距离</w:t>
      </w:r>
      <w:r>
        <w:rPr>
          <w:rFonts w:ascii="宋体-PUA" w:eastAsia="宋体-PUA" w:hAnsi="宋体-PUA" w:cs="宋体-PUA" w:hint="eastAsia"/>
          <w:sz w:val="21"/>
          <w:szCs w:val="21"/>
          <w:lang w:eastAsia="zh-CN"/>
        </w:rPr>
        <w:t xml:space="preserve"> </w:t>
      </w:r>
    </w:p>
    <w:p w:rsidR="008D4CCF">
      <w:pPr>
        <w:pStyle w:val="Normal0"/>
        <w:spacing w:line="440" w:lineRule="atLeast"/>
        <w:ind w:left="239" w:leftChars="114"/>
        <w:rPr>
          <w:rFonts w:ascii="宋体-PUA" w:eastAsia="宋体-PUA" w:hAnsi="宋体-PUA" w:cs="宋体-PUA"/>
          <w:sz w:val="21"/>
          <w:szCs w:val="21"/>
          <w:lang w:eastAsia="zh-CN"/>
        </w:rPr>
      </w:pPr>
      <w:r>
        <w:rPr>
          <w:rFonts w:ascii="宋体-PUA" w:eastAsia="宋体-PUA" w:hAnsi="宋体-PUA" w:cs="宋体-PUA" w:hint="eastAsia"/>
          <w:sz w:val="21"/>
          <w:szCs w:val="21"/>
          <w:lang w:eastAsia="zh-CN"/>
        </w:rPr>
        <w:t>不宜大于</w:t>
      </w:r>
      <w:r>
        <w:rPr>
          <w:rFonts w:ascii="宋体-PUA" w:eastAsia="宋体-PUA" w:hAnsi="宋体-PUA" w:cs="宋体-PUA" w:hint="eastAsia"/>
          <w:sz w:val="21"/>
          <w:szCs w:val="21"/>
          <w:lang w:eastAsia="zh-CN"/>
        </w:rPr>
        <w:t>300mm</w:t>
      </w:r>
      <w:r>
        <w:rPr>
          <w:rFonts w:ascii="宋体-PUA" w:eastAsia="宋体-PUA" w:hAnsi="宋体-PUA" w:cs="宋体-PUA" w:hint="eastAsia"/>
          <w:sz w:val="21"/>
          <w:szCs w:val="21"/>
          <w:lang w:eastAsia="zh-CN"/>
        </w:rPr>
        <w:t>；当采用两个螺栓时，螺孔中心到板端的距离不宜大于</w:t>
      </w:r>
      <w:r>
        <w:rPr>
          <w:rFonts w:ascii="宋体-PUA" w:eastAsia="宋体-PUA" w:hAnsi="宋体-PUA" w:cs="宋体-PUA" w:hint="eastAsia"/>
          <w:sz w:val="21"/>
          <w:szCs w:val="21"/>
          <w:lang w:eastAsia="zh-CN"/>
        </w:rPr>
        <w:t>400mm</w:t>
      </w:r>
      <w:r>
        <w:rPr>
          <w:rFonts w:ascii="宋体-PUA" w:eastAsia="宋体-PUA" w:hAnsi="宋体-PUA" w:cs="宋体-PUA" w:hint="eastAsia"/>
          <w:sz w:val="21"/>
          <w:szCs w:val="21"/>
          <w:lang w:eastAsia="zh-CN"/>
        </w:rPr>
        <w:t>，距两边不宜大于</w:t>
      </w:r>
      <w:r>
        <w:rPr>
          <w:rFonts w:ascii="宋体-PUA" w:eastAsia="宋体-PUA" w:hAnsi="宋体-PUA" w:cs="宋体-PUA" w:hint="eastAsia"/>
          <w:sz w:val="21"/>
          <w:szCs w:val="21"/>
          <w:lang w:eastAsia="zh-CN"/>
        </w:rPr>
        <w:t>300mm</w:t>
      </w:r>
      <w:r>
        <w:rPr>
          <w:rFonts w:ascii="宋体-PUA" w:eastAsia="宋体-PUA" w:hAnsi="宋体-PUA" w:cs="宋体-PUA" w:hint="eastAsia"/>
          <w:sz w:val="21"/>
          <w:szCs w:val="21"/>
          <w:lang w:eastAsia="zh-CN"/>
        </w:rPr>
        <w:t>；当采用四个螺栓时，螺孔中心到板边距离不宜大于</w:t>
      </w:r>
      <w:r>
        <w:rPr>
          <w:rFonts w:ascii="宋体-PUA" w:eastAsia="宋体-PUA" w:hAnsi="宋体-PUA" w:cs="宋体-PUA" w:hint="eastAsia"/>
          <w:sz w:val="21"/>
          <w:szCs w:val="21"/>
          <w:lang w:eastAsia="zh-CN"/>
        </w:rPr>
        <w:t>250mm</w:t>
      </w:r>
      <w:r>
        <w:rPr>
          <w:rFonts w:ascii="宋体-PUA" w:eastAsia="宋体-PUA" w:hAnsi="宋体-PUA" w:cs="宋体-PUA" w:hint="eastAsia"/>
          <w:sz w:val="21"/>
          <w:szCs w:val="21"/>
          <w:lang w:eastAsia="zh-CN"/>
        </w:rPr>
        <w:t>；当采用一（二）个后切螺栓时，要用四个尼龙螺栓顶住板内侧，以保持板的稳定。石板后作好钻孔定标志后，采用专用钻头</w:t>
      </w:r>
      <w:r>
        <w:rPr>
          <w:rFonts w:ascii="宋体-PUA" w:eastAsia="宋体-PUA" w:hAnsi="宋体-PUA" w:cs="宋体-PUA" w:hint="eastAsia"/>
          <w:sz w:val="21"/>
          <w:szCs w:val="21"/>
          <w:lang w:eastAsia="zh-CN"/>
        </w:rPr>
        <w:t>钻入，到钻孔深度后，控制钻头绕一个规定的旋转点环状旋转，对钻孔底部进行锥形扩削，这样就为锚栓提供了精确的底部侧凹。</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在板安装前，应根据结构轴线核定结构外表面与于挂石材外露面之间的</w:t>
      </w:r>
      <w:r>
        <w:rPr>
          <w:rFonts w:ascii="宋体-PUA" w:eastAsia="宋体-PUA" w:hAnsi="宋体-PUA" w:cs="宋体-PUA" w:hint="eastAsia"/>
          <w:sz w:val="21"/>
          <w:szCs w:val="21"/>
          <w:lang w:eastAsia="zh-CN"/>
        </w:rPr>
        <w:t xml:space="preserve"> </w:t>
      </w:r>
    </w:p>
    <w:p w:rsidR="008D4CCF">
      <w:pPr>
        <w:pStyle w:val="Normal0"/>
        <w:spacing w:line="440" w:lineRule="atLeast"/>
        <w:ind w:left="239" w:leftChars="114"/>
        <w:rPr>
          <w:rFonts w:ascii="宋体-PUA" w:eastAsia="宋体-PUA" w:hAnsi="宋体-PUA" w:cs="宋体-PUA"/>
          <w:sz w:val="21"/>
          <w:szCs w:val="21"/>
          <w:lang w:eastAsia="zh-CN"/>
        </w:rPr>
      </w:pPr>
      <w:r>
        <w:rPr>
          <w:rFonts w:ascii="宋体-PUA" w:eastAsia="宋体-PUA" w:hAnsi="宋体-PUA" w:cs="宋体-PUA" w:hint="eastAsia"/>
          <w:sz w:val="21"/>
          <w:szCs w:val="21"/>
          <w:lang w:eastAsia="zh-CN"/>
        </w:rPr>
        <w:t>尺寸后，在建筑物大角处做出上下生根的金属丝垂线，并以此为依据，根据建筑物宽度设置足以满足要求的垂线、水平线，确保槽钢钢骨架安装后处于同一平面上（误差不大于</w:t>
      </w:r>
      <w:r>
        <w:rPr>
          <w:rFonts w:ascii="宋体-PUA" w:eastAsia="宋体-PUA" w:hAnsi="宋体-PUA" w:cs="宋体-PUA" w:hint="eastAsia"/>
          <w:sz w:val="21"/>
          <w:szCs w:val="21"/>
          <w:lang w:eastAsia="zh-CN"/>
        </w:rPr>
        <w:t>5mm</w:t>
      </w:r>
      <w:r>
        <w:rPr>
          <w:rFonts w:ascii="宋体-PUA" w:eastAsia="宋体-PUA" w:hAnsi="宋体-PUA" w:cs="宋体-PUA" w:hint="eastAsia"/>
          <w:sz w:val="21"/>
          <w:szCs w:val="21"/>
          <w:lang w:eastAsia="zh-CN"/>
        </w:rPr>
        <w:t>）。</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通过室内的</w:t>
      </w:r>
      <w:r>
        <w:rPr>
          <w:rFonts w:ascii="宋体-PUA" w:eastAsia="宋体-PUA" w:hAnsi="宋体-PUA" w:cs="宋体-PUA" w:hint="eastAsia"/>
          <w:sz w:val="21"/>
          <w:szCs w:val="21"/>
          <w:lang w:eastAsia="zh-CN"/>
        </w:rPr>
        <w:t>50cm</w:t>
      </w:r>
      <w:r>
        <w:rPr>
          <w:rFonts w:ascii="宋体-PUA" w:eastAsia="宋体-PUA" w:hAnsi="宋体-PUA" w:cs="宋体-PUA" w:hint="eastAsia"/>
          <w:sz w:val="21"/>
          <w:szCs w:val="21"/>
          <w:lang w:eastAsia="zh-CN"/>
        </w:rPr>
        <w:t>线验证板材水平龙骨及水平线的正确，以此控制拟将</w:t>
      </w:r>
    </w:p>
    <w:p w:rsidR="008D4CCF">
      <w:pPr>
        <w:pStyle w:val="Normal0"/>
        <w:spacing w:line="440" w:lineRule="atLeast"/>
        <w:ind w:left="239" w:leftChars="114"/>
        <w:rPr>
          <w:rFonts w:ascii="宋体-PUA" w:eastAsia="宋体-PUA" w:hAnsi="宋体-PUA" w:cs="宋体-PUA"/>
          <w:sz w:val="21"/>
          <w:szCs w:val="21"/>
          <w:lang w:eastAsia="zh-CN"/>
        </w:rPr>
      </w:pPr>
      <w:r>
        <w:rPr>
          <w:rFonts w:ascii="宋体-PUA" w:eastAsia="宋体-PUA" w:hAnsi="宋体-PUA" w:cs="宋体-PUA" w:hint="eastAsia"/>
          <w:sz w:val="21"/>
          <w:szCs w:val="21"/>
          <w:lang w:eastAsia="zh-CN"/>
        </w:rPr>
        <w:t>安装的板缝水平程度。通过水平线及垂线形成的标准平面标测出结构垂直平面，为结构修补及安装龙骨提供依据</w:t>
      </w:r>
      <w:r>
        <w:rPr>
          <w:rFonts w:ascii="宋体-PUA" w:eastAsia="宋体-PUA" w:hAnsi="宋体-PUA" w:cs="宋体-PUA" w:hint="eastAsia"/>
          <w:sz w:val="21"/>
          <w:szCs w:val="21"/>
          <w:lang w:eastAsia="zh-CN"/>
        </w:rPr>
        <w:t>。</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石材板块自下而上安装，一般一组五人，将预制好的石材板块安装到横</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框上，通过调整固定螺丝调整其高度及左右立边，使缝宽满足要求。</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石材背后的铝挂件与背栓横框间隙不得小于</w:t>
      </w:r>
      <w:r>
        <w:rPr>
          <w:rFonts w:ascii="宋体-PUA" w:eastAsia="宋体-PUA" w:hAnsi="宋体-PUA" w:cs="宋体-PUA" w:hint="eastAsia"/>
          <w:sz w:val="21"/>
          <w:szCs w:val="21"/>
          <w:lang w:eastAsia="zh-CN"/>
        </w:rPr>
        <w:t>5mm</w:t>
      </w:r>
      <w:r>
        <w:rPr>
          <w:rFonts w:ascii="宋体-PUA" w:eastAsia="宋体-PUA" w:hAnsi="宋体-PUA" w:cs="宋体-PUA" w:hint="eastAsia"/>
          <w:sz w:val="21"/>
          <w:szCs w:val="21"/>
          <w:lang w:eastAsia="zh-CN"/>
        </w:rPr>
        <w:t>；</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sz w:val="21"/>
          <w:szCs w:val="21"/>
        </w:rPr>
        <w:pict>
          <v:shape id="_x0000_s1026" type="#_x0000_t75" style="width:173.2pt;height:280.2pt;margin-top:19.95pt;margin-left:308.35pt;mso-wrap-style:square;position:absolute;z-index:251659264">
            <v:imagedata r:id="rId6" o:title=""/>
          </v:shape>
        </w:pict>
      </w:r>
      <w:r>
        <w:rPr>
          <w:rFonts w:ascii="宋体-PUA" w:eastAsia="宋体-PUA" w:hAnsi="宋体-PUA" w:cs="宋体-PUA" w:hint="eastAsia"/>
          <w:sz w:val="21"/>
          <w:szCs w:val="21"/>
          <w:lang w:eastAsia="zh-CN"/>
        </w:rPr>
        <w:t>对石材本身误差（如对角线等）造成石材缝隙的不均匀，在安装完后用</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角磨机处理，使缝隙一致。</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安装完石材板块，用专用清洁剂对石材表面进行清洗后交付验收。</w:t>
      </w:r>
    </w:p>
    <w:p w:rsidR="008D4CCF">
      <w:pPr>
        <w:pStyle w:val="Normal0"/>
        <w:numPr>
          <w:ilvl w:val="1"/>
          <w:numId w:val="8"/>
        </w:numPr>
        <w:tabs>
          <w:tab w:val="clear" w:pos="1620"/>
        </w:tabs>
        <w:spacing w:line="440" w:lineRule="atLeast"/>
        <w:ind w:left="0"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背栓式石材幕墙的施工节点图：</w:t>
      </w: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5</w:t>
      </w:r>
      <w:r>
        <w:rPr>
          <w:rFonts w:ascii="宋体-PUA" w:eastAsia="宋体-PUA" w:hAnsi="宋体-PUA" w:cs="宋体-PUA" w:hint="eastAsia"/>
          <w:sz w:val="21"/>
          <w:szCs w:val="21"/>
          <w:lang w:eastAsia="zh-CN"/>
        </w:rPr>
        <w:t>）密封</w:t>
      </w:r>
    </w:p>
    <w:p w:rsidR="008D4CCF">
      <w:pPr>
        <w:pStyle w:val="Normal0"/>
        <w:spacing w:line="440" w:lineRule="atLeast"/>
        <w:rPr>
          <w:rFonts w:ascii="宋体-PUA" w:eastAsia="宋体-PUA" w:hAnsi="宋体-PUA" w:cs="宋体-PUA"/>
          <w:sz w:val="21"/>
          <w:szCs w:val="21"/>
          <w:lang w:eastAsia="zh-CN"/>
        </w:rPr>
        <w:sectPr>
          <w:type w:val="nextPage"/>
          <w:pgSz w:w="11906" w:h="16838"/>
          <w:pgMar w:top="1417" w:right="1134" w:bottom="1134" w:left="1134" w:header="851" w:footer="992" w:gutter="0"/>
          <w:pgNumType w:start="6"/>
          <w:cols w:space="708"/>
          <w:titlePg w:val="0"/>
          <w:docGrid w:type="lines" w:linePitch="312"/>
        </w:sectPr>
      </w:pP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）密封部位的清扫和干燥，采用甲苯对密封面进行清扫，清扫时应特别注意不要让溶液散发到接缝以外的场所，清扫用纱布脏污后应常更换，以保证清扫效果，最后用干燥清洁的纱布将溶剂蒸发后的痕迹试去，</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保持密封面干燥；</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）贴防护纸胶带：为防止密封材料使用时污染装饰面，同时为使密封胶缝与面材交界线平直，应贴好纸胶带，要注意纸胶带本身的平直；</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）注胶：注胶应均匀、密实、饱满，同时注意施胶方法，避免浪费；</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4</w:t>
      </w:r>
      <w:r>
        <w:rPr>
          <w:rFonts w:ascii="宋体-PUA" w:eastAsia="宋体-PUA" w:hAnsi="宋体-PUA" w:cs="宋体-PUA" w:hint="eastAsia"/>
          <w:sz w:val="21"/>
          <w:szCs w:val="21"/>
          <w:lang w:eastAsia="zh-CN"/>
        </w:rPr>
        <w:t>）胶缝修整：注胶后，应将胶缝用小铲沿注胶方向用力施压，将多余的胶刮掉，并将胶缝刮成设计形状，使胶缝光滑、流畅；</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5</w:t>
      </w:r>
      <w:r>
        <w:rPr>
          <w:rFonts w:ascii="宋体-PUA" w:eastAsia="宋体-PUA" w:hAnsi="宋体-PUA" w:cs="宋体-PUA" w:hint="eastAsia"/>
          <w:sz w:val="21"/>
          <w:szCs w:val="21"/>
          <w:lang w:eastAsia="zh-CN"/>
        </w:rPr>
        <w:t>）清</w:t>
      </w:r>
      <w:r>
        <w:rPr>
          <w:rFonts w:ascii="宋体-PUA" w:eastAsia="宋体-PUA" w:hAnsi="宋体-PUA" w:cs="宋体-PUA" w:hint="eastAsia"/>
          <w:sz w:val="21"/>
          <w:szCs w:val="21"/>
          <w:lang w:eastAsia="zh-CN"/>
        </w:rPr>
        <w:t>除纸胶带：胶缝修整好后，应及时去掉保护胶带，并注意撕下的胶带不要污染板材表面；及时清理粘在施工表面上的胶痕。</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6</w:t>
      </w:r>
      <w:r>
        <w:rPr>
          <w:rFonts w:ascii="宋体-PUA" w:eastAsia="宋体-PUA" w:hAnsi="宋体-PUA" w:cs="宋体-PUA" w:hint="eastAsia"/>
          <w:sz w:val="21"/>
          <w:szCs w:val="21"/>
          <w:lang w:eastAsia="zh-CN"/>
        </w:rPr>
        <w:t>）清扫</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）整个立面的挂板安装完毕，必须将挂板清理干净，并经监理检验合格后，方可拆除脚手架；</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）柱面阳角部位，结构转角部位的石材棱角应有保护措施，其他配合单位按规定相应保护；</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）防止石材表面的渗透污染。拆改脚手架时，应将石材遮蔽，避免碰撞墙面；</w:t>
      </w:r>
    </w:p>
    <w:p w:rsidR="008D4CCF">
      <w:pPr>
        <w:pStyle w:val="Normal0"/>
        <w:spacing w:line="440" w:lineRule="atLeast"/>
        <w:rPr>
          <w:rFonts w:ascii="宋体-PUA" w:eastAsia="宋体-PUA" w:hAnsi="宋体-PUA" w:cs="宋体-PUA"/>
          <w:sz w:val="21"/>
          <w:szCs w:val="21"/>
          <w:lang w:eastAsia="zh-CN"/>
        </w:rPr>
      </w:pPr>
      <w:r>
        <w:rPr>
          <w:rFonts w:ascii="宋体-PUA" w:eastAsia="宋体-PUA" w:hAnsi="宋体-PUA" w:cs="宋体-PUA" w:hint="eastAsia"/>
          <w:sz w:val="21"/>
          <w:szCs w:val="21"/>
          <w:lang w:eastAsia="zh-CN"/>
        </w:rPr>
        <w:t>4</w:t>
      </w:r>
      <w:r>
        <w:rPr>
          <w:rFonts w:ascii="宋体-PUA" w:eastAsia="宋体-PUA" w:hAnsi="宋体-PUA" w:cs="宋体-PUA" w:hint="eastAsia"/>
          <w:sz w:val="21"/>
          <w:szCs w:val="21"/>
          <w:lang w:eastAsia="zh-CN"/>
        </w:rPr>
        <w:t>）对石材表面进行有效保护，施工后及时清除表面污物，避免腐蚀性咬伤。易于污染或损坏料的木材或其他胶结材料不应与石料表面直接接触；</w:t>
      </w:r>
    </w:p>
    <w:p w:rsidR="008D4CCF">
      <w:pPr>
        <w:pStyle w:val="Normal0"/>
        <w:numPr>
          <w:ilvl w:val="0"/>
          <w:numId w:val="38"/>
        </w:numPr>
        <w:spacing w:line="440" w:lineRule="atLeas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完工时需要更换有缺</w:t>
      </w:r>
      <w:r>
        <w:rPr>
          <w:rFonts w:ascii="宋体-PUA" w:eastAsia="宋体-PUA" w:hAnsi="宋体-PUA" w:cs="宋体-PUA" w:hint="eastAsia"/>
          <w:sz w:val="21"/>
          <w:szCs w:val="21"/>
          <w:lang w:eastAsia="zh-CN"/>
        </w:rPr>
        <w:t>陷、断裂或损伤的石料。更换工作完成后，应用干</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lang w:eastAsia="zh-CN"/>
        </w:rPr>
        <w:t>净水或硬毛刷对所有石材表面清洗。</w:t>
      </w:r>
      <w:r>
        <w:rPr>
          <w:rFonts w:ascii="宋体-PUA" w:eastAsia="宋体-PUA" w:hAnsi="宋体-PUA" w:cs="宋体-PUA" w:hint="eastAsia"/>
          <w:sz w:val="21"/>
          <w:szCs w:val="21"/>
        </w:rPr>
        <w:t>直到所有尘土、污染物被除。不能使用钢丝刷、金属刮削器。在清洗过程中应保护相邻表面免受损伤；</w:t>
      </w:r>
    </w:p>
    <w:p w:rsidR="008D4CCF">
      <w:pPr>
        <w:pStyle w:val="Normal0"/>
        <w:numPr>
          <w:ilvl w:val="0"/>
          <w:numId w:val="38"/>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在清洗及修补工作完成时，临时保护措施移去。</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7</w:t>
      </w:r>
      <w:r>
        <w:rPr>
          <w:rFonts w:ascii="宋体-PUA" w:eastAsia="宋体-PUA" w:hAnsi="宋体-PUA" w:cs="宋体-PUA" w:hint="eastAsia"/>
          <w:sz w:val="21"/>
          <w:szCs w:val="21"/>
        </w:rPr>
        <w:t>）竣工交付</w:t>
      </w:r>
    </w:p>
    <w:p w:rsidR="008D4CCF">
      <w:pPr>
        <w:pStyle w:val="Normal0"/>
        <w:numPr>
          <w:ilvl w:val="0"/>
          <w:numId w:val="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先自检，然后上报甲方竣工资料；</w:t>
      </w:r>
    </w:p>
    <w:p w:rsidR="008D4CCF">
      <w:pPr>
        <w:pStyle w:val="Normal0"/>
        <w:numPr>
          <w:ilvl w:val="0"/>
          <w:numId w:val="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在甲方组织下，验收、竣工交付；</w:t>
      </w:r>
    </w:p>
    <w:p w:rsidR="008D4CCF">
      <w:pPr>
        <w:pStyle w:val="Normal0"/>
        <w:numPr>
          <w:ilvl w:val="0"/>
          <w:numId w:val="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办理相关竣工手续。</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以上工序完成后，此工序进入保修期，在保修期内，如有质量问题，则要满</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足用户要求，及时进行维修处理。</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幕墙安装施工注意事项</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1</w:t>
      </w:r>
      <w:r>
        <w:rPr>
          <w:rFonts w:ascii="宋体-PUA" w:eastAsia="宋体-PUA" w:hAnsi="宋体-PUA" w:cs="宋体-PUA" w:hint="eastAsia"/>
          <w:sz w:val="21"/>
          <w:szCs w:val="21"/>
        </w:rPr>
        <w:t>）安装施工测量应与主体结构的测量配合，其误差应及时调整。</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r>
        <w:rPr>
          <w:rFonts w:ascii="宋体-PUA" w:eastAsia="宋体-PUA" w:hAnsi="宋体-PUA" w:cs="宋体-PUA" w:hint="eastAsia"/>
          <w:sz w:val="21"/>
          <w:szCs w:val="21"/>
        </w:rPr>
        <w:t>）立柱安装标高偏差不应大于</w:t>
      </w:r>
      <w:r>
        <w:rPr>
          <w:rFonts w:ascii="宋体-PUA" w:eastAsia="宋体-PUA" w:hAnsi="宋体-PUA" w:cs="宋体-PUA" w:hint="eastAsia"/>
          <w:sz w:val="21"/>
          <w:szCs w:val="21"/>
        </w:rPr>
        <w:t>3mm</w:t>
      </w:r>
      <w:r>
        <w:rPr>
          <w:rFonts w:ascii="宋体-PUA" w:eastAsia="宋体-PUA" w:hAnsi="宋体-PUA" w:cs="宋体-PUA" w:hint="eastAsia"/>
          <w:sz w:val="21"/>
          <w:szCs w:val="21"/>
        </w:rPr>
        <w:t>，轴线前后偏差不应大</w:t>
      </w:r>
      <w:r>
        <w:rPr>
          <w:rFonts w:ascii="宋体-PUA" w:eastAsia="宋体-PUA" w:hAnsi="宋体-PUA" w:cs="宋体-PUA" w:hint="eastAsia"/>
          <w:sz w:val="21"/>
          <w:szCs w:val="21"/>
        </w:rPr>
        <w:t>2mm</w:t>
      </w:r>
      <w:r>
        <w:rPr>
          <w:rFonts w:ascii="宋体-PUA" w:eastAsia="宋体-PUA" w:hAnsi="宋体-PUA" w:cs="宋体-PUA" w:hint="eastAsia"/>
          <w:sz w:val="21"/>
          <w:szCs w:val="21"/>
        </w:rPr>
        <w:t>，左右偏差不应大于</w:t>
      </w:r>
      <w:r>
        <w:rPr>
          <w:rFonts w:ascii="宋体-PUA" w:eastAsia="宋体-PUA" w:hAnsi="宋体-PUA" w:cs="宋体-PUA" w:hint="eastAsia"/>
          <w:sz w:val="21"/>
          <w:szCs w:val="21"/>
        </w:rPr>
        <w:t>3mm</w:t>
      </w:r>
      <w:r>
        <w:rPr>
          <w:rFonts w:ascii="宋体-PUA" w:eastAsia="宋体-PUA" w:hAnsi="宋体-PUA" w:cs="宋体-PUA" w:hint="eastAsia"/>
          <w:sz w:val="21"/>
          <w:szCs w:val="21"/>
        </w:rPr>
        <w:t>；</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3</w:t>
      </w:r>
      <w:r>
        <w:rPr>
          <w:rFonts w:ascii="宋体-PUA" w:eastAsia="宋体-PUA" w:hAnsi="宋体-PUA" w:cs="宋体-PUA" w:hint="eastAsia"/>
          <w:sz w:val="21"/>
          <w:szCs w:val="21"/>
        </w:rPr>
        <w:t>）应将横梁两端的连接件及弹性橡胶垫安装在立柱的预定位置，并应安装牢固，其接缝应严密。</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4</w:t>
      </w:r>
      <w:r>
        <w:rPr>
          <w:rFonts w:ascii="宋体-PUA" w:eastAsia="宋体-PUA" w:hAnsi="宋体-PUA" w:cs="宋体-PUA" w:hint="eastAsia"/>
          <w:sz w:val="21"/>
          <w:szCs w:val="21"/>
        </w:rPr>
        <w:t>）相邻两根横梁水平标高偏差不应大于</w:t>
      </w:r>
      <w:r>
        <w:rPr>
          <w:rFonts w:ascii="宋体-PUA" w:eastAsia="宋体-PUA" w:hAnsi="宋体-PUA" w:cs="宋体-PUA" w:hint="eastAsia"/>
          <w:sz w:val="21"/>
          <w:szCs w:val="21"/>
        </w:rPr>
        <w:t xml:space="preserve">1 </w:t>
      </w:r>
      <w:r>
        <w:rPr>
          <w:rFonts w:ascii="宋体-PUA" w:eastAsia="宋体-PUA" w:hAnsi="宋体-PUA" w:cs="宋体-PUA" w:hint="eastAsia"/>
          <w:sz w:val="21"/>
          <w:szCs w:val="21"/>
        </w:rPr>
        <w:t>mm</w:t>
      </w:r>
      <w:r>
        <w:rPr>
          <w:rFonts w:ascii="宋体-PUA" w:eastAsia="宋体-PUA" w:hAnsi="宋体-PUA" w:cs="宋体-PUA" w:hint="eastAsia"/>
          <w:sz w:val="21"/>
          <w:szCs w:val="21"/>
        </w:rPr>
        <w:t>。同层标高偏差：当一幅幕墙宽度小于或等于</w:t>
      </w:r>
      <w:r>
        <w:rPr>
          <w:rFonts w:ascii="宋体-PUA" w:eastAsia="宋体-PUA" w:hAnsi="宋体-PUA" w:cs="宋体-PUA" w:hint="eastAsia"/>
          <w:sz w:val="21"/>
          <w:szCs w:val="21"/>
        </w:rPr>
        <w:t>35m</w:t>
      </w:r>
      <w:r>
        <w:rPr>
          <w:rFonts w:ascii="宋体-PUA" w:eastAsia="宋体-PUA" w:hAnsi="宋体-PUA" w:cs="宋体-PUA" w:hint="eastAsia"/>
          <w:sz w:val="21"/>
          <w:szCs w:val="21"/>
        </w:rPr>
        <w:t>时，不应大于</w:t>
      </w:r>
      <w:r>
        <w:rPr>
          <w:rFonts w:ascii="宋体-PUA" w:eastAsia="宋体-PUA" w:hAnsi="宋体-PUA" w:cs="宋体-PUA" w:hint="eastAsia"/>
          <w:sz w:val="21"/>
          <w:szCs w:val="21"/>
        </w:rPr>
        <w:t>5mm</w:t>
      </w:r>
      <w:r>
        <w:rPr>
          <w:rFonts w:ascii="宋体-PUA" w:eastAsia="宋体-PUA" w:hAnsi="宋体-PUA" w:cs="宋体-PUA" w:hint="eastAsia"/>
          <w:sz w:val="21"/>
          <w:szCs w:val="21"/>
        </w:rPr>
        <w:t>；当一幅幕墙宽度大于或等于</w:t>
      </w:r>
      <w:r>
        <w:rPr>
          <w:rFonts w:ascii="宋体-PUA" w:eastAsia="宋体-PUA" w:hAnsi="宋体-PUA" w:cs="宋体-PUA" w:hint="eastAsia"/>
          <w:sz w:val="21"/>
          <w:szCs w:val="21"/>
        </w:rPr>
        <w:t>35m</w:t>
      </w:r>
      <w:r>
        <w:rPr>
          <w:rFonts w:ascii="宋体-PUA" w:eastAsia="宋体-PUA" w:hAnsi="宋体-PUA" w:cs="宋体-PUA" w:hint="eastAsia"/>
          <w:sz w:val="21"/>
          <w:szCs w:val="21"/>
        </w:rPr>
        <w:t>时，不应大于</w:t>
      </w:r>
      <w:r>
        <w:rPr>
          <w:rFonts w:ascii="宋体-PUA" w:eastAsia="宋体-PUA" w:hAnsi="宋体-PUA" w:cs="宋体-PUA" w:hint="eastAsia"/>
          <w:sz w:val="21"/>
          <w:szCs w:val="21"/>
        </w:rPr>
        <w:t>7mm</w:t>
      </w:r>
      <w:r>
        <w:rPr>
          <w:rFonts w:ascii="宋体-PUA" w:eastAsia="宋体-PUA" w:hAnsi="宋体-PUA" w:cs="宋体-PUA" w:hint="eastAsia"/>
          <w:sz w:val="21"/>
          <w:szCs w:val="21"/>
        </w:rPr>
        <w:t>。</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5</w:t>
      </w:r>
      <w:r>
        <w:rPr>
          <w:rFonts w:ascii="宋体-PUA" w:eastAsia="宋体-PUA" w:hAnsi="宋体-PUA" w:cs="宋体-PUA" w:hint="eastAsia"/>
          <w:sz w:val="21"/>
          <w:szCs w:val="21"/>
        </w:rPr>
        <w:t>）应对横竖连接件进行检查、测量、调整。</w:t>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7"/>
          <w:cols w:space="708"/>
          <w:titlePg w:val="0"/>
          <w:docGrid w:type="lines" w:linePitch="312"/>
        </w:sectPr>
      </w:pPr>
      <w:r>
        <w:rPr>
          <w:rFonts w:ascii="宋体-PUA" w:eastAsia="宋体-PUA" w:hAnsi="宋体-PUA" w:cs="宋体-PUA" w:hint="eastAsia"/>
          <w:sz w:val="21"/>
          <w:szCs w:val="21"/>
        </w:rPr>
        <w:t>（</w:t>
      </w:r>
      <w:r>
        <w:rPr>
          <w:rFonts w:ascii="宋体-PUA" w:eastAsia="宋体-PUA" w:hAnsi="宋体-PUA" w:cs="宋体-PUA" w:hint="eastAsia"/>
          <w:sz w:val="21"/>
          <w:szCs w:val="21"/>
        </w:rPr>
        <w:t>6</w:t>
      </w:r>
      <w:r>
        <w:rPr>
          <w:rFonts w:ascii="宋体-PUA" w:eastAsia="宋体-PUA" w:hAnsi="宋体-PUA" w:cs="宋体-PUA" w:hint="eastAsia"/>
          <w:sz w:val="21"/>
          <w:szCs w:val="21"/>
        </w:rPr>
        <w:t>）固定防火保温材料应锚钉牢固，防火保温层应平整，拼接处不应留缝隙。</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7</w:t>
      </w:r>
      <w:r>
        <w:rPr>
          <w:rFonts w:ascii="宋体-PUA" w:eastAsia="宋体-PUA" w:hAnsi="宋体-PUA" w:cs="宋体-PUA" w:hint="eastAsia"/>
          <w:sz w:val="21"/>
          <w:szCs w:val="21"/>
        </w:rPr>
        <w:t>）冷凝水排出管及附件应与水平构件预留孔连接严密，与内衬板出水孔连接处应设橡胶密封条。</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8</w:t>
      </w:r>
      <w:r>
        <w:rPr>
          <w:rFonts w:ascii="宋体-PUA" w:eastAsia="宋体-PUA" w:hAnsi="宋体-PUA" w:cs="宋体-PUA" w:hint="eastAsia"/>
          <w:sz w:val="21"/>
          <w:szCs w:val="21"/>
        </w:rPr>
        <w:t>）其他通气槽孔及雨水排出口等应按设计施工，不得遗漏。</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9</w:t>
      </w:r>
      <w:r>
        <w:rPr>
          <w:rFonts w:ascii="宋体-PUA" w:eastAsia="宋体-PUA" w:hAnsi="宋体-PUA" w:cs="宋体-PUA" w:hint="eastAsia"/>
          <w:sz w:val="21"/>
          <w:szCs w:val="21"/>
        </w:rPr>
        <w:t>）现场焊接或高强螺栓紧固的构件固定后，应及时进行防锈处理。</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10</w:t>
      </w:r>
      <w:r>
        <w:rPr>
          <w:rFonts w:ascii="宋体-PUA" w:eastAsia="宋体-PUA" w:hAnsi="宋体-PUA" w:cs="宋体-PUA" w:hint="eastAsia"/>
          <w:sz w:val="21"/>
          <w:szCs w:val="21"/>
        </w:rPr>
        <w:t>）不同金属的接触面应采用垫片作隔离处理上。</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11</w:t>
      </w:r>
      <w:r>
        <w:rPr>
          <w:rFonts w:ascii="宋体-PUA" w:eastAsia="宋体-PUA" w:hAnsi="宋体-PUA" w:cs="宋体-PUA" w:hint="eastAsia"/>
          <w:sz w:val="21"/>
          <w:szCs w:val="21"/>
        </w:rPr>
        <w:t>）石材</w:t>
      </w:r>
      <w:r>
        <w:rPr>
          <w:rFonts w:ascii="宋体-PUA" w:eastAsia="宋体-PUA" w:hAnsi="宋体-PUA" w:cs="宋体-PUA" w:hint="eastAsia"/>
          <w:sz w:val="21"/>
          <w:szCs w:val="21"/>
        </w:rPr>
        <w:t>安装前应将表面尘土和污物擦试干净。</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12</w:t>
      </w:r>
      <w:r>
        <w:rPr>
          <w:rFonts w:ascii="宋体-PUA" w:eastAsia="宋体-PUA" w:hAnsi="宋体-PUA" w:cs="宋体-PUA" w:hint="eastAsia"/>
          <w:sz w:val="21"/>
          <w:szCs w:val="21"/>
        </w:rPr>
        <w:t>）石板安装时，左右上下的偏差不应大于</w:t>
      </w:r>
      <w:r>
        <w:rPr>
          <w:rFonts w:ascii="宋体-PUA" w:eastAsia="宋体-PUA" w:hAnsi="宋体-PUA" w:cs="宋体-PUA" w:hint="eastAsia"/>
          <w:sz w:val="21"/>
          <w:szCs w:val="21"/>
        </w:rPr>
        <w:t>1.5mm</w:t>
      </w:r>
      <w:r>
        <w:rPr>
          <w:rFonts w:ascii="宋体-PUA" w:eastAsia="宋体-PUA" w:hAnsi="宋体-PUA" w:cs="宋体-PUA" w:hint="eastAsia"/>
          <w:sz w:val="21"/>
          <w:szCs w:val="21"/>
        </w:rPr>
        <w:t>。</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13</w:t>
      </w:r>
      <w:r>
        <w:rPr>
          <w:rFonts w:ascii="宋体-PUA" w:eastAsia="宋体-PUA" w:hAnsi="宋体-PUA" w:cs="宋体-PUA" w:hint="eastAsia"/>
          <w:sz w:val="21"/>
          <w:szCs w:val="21"/>
        </w:rPr>
        <w:t>）石板空缝安装时，必须要防水措施，并有符合设计要求的排水出口。</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14</w:t>
      </w:r>
      <w:r>
        <w:rPr>
          <w:rFonts w:ascii="宋体-PUA" w:eastAsia="宋体-PUA" w:hAnsi="宋体-PUA" w:cs="宋体-PUA" w:hint="eastAsia"/>
          <w:sz w:val="21"/>
          <w:szCs w:val="21"/>
        </w:rPr>
        <w:t>）填充硅酮耐候密封胶时，金属板、石板缝的宽度，厚度应根据硅酮耐候胶的技术参数，经计算后确定。</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15</w:t>
      </w:r>
      <w:r>
        <w:rPr>
          <w:rFonts w:ascii="宋体-PUA" w:eastAsia="宋体-PUA" w:hAnsi="宋体-PUA" w:cs="宋体-PUA" w:hint="eastAsia"/>
          <w:sz w:val="21"/>
          <w:szCs w:val="21"/>
        </w:rPr>
        <w:t>）幕墙钢构件施焊后，其表面应采取有效的防腐措施。</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16</w:t>
      </w:r>
      <w:r>
        <w:rPr>
          <w:rFonts w:ascii="宋体-PUA" w:eastAsia="宋体-PUA" w:hAnsi="宋体-PUA" w:cs="宋体-PUA" w:hint="eastAsia"/>
          <w:sz w:val="21"/>
          <w:szCs w:val="21"/>
        </w:rPr>
        <w:t>）幕墙的竖向和横向板材安装的允许偏差应符合下表的规定：</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幕墙安装允许偏差</w:t>
      </w:r>
      <w:r>
        <w:rPr>
          <w:rFonts w:ascii="宋体-PUA" w:eastAsia="宋体-PUA" w:hAnsi="宋体-PUA" w:cs="宋体-PUA" w:hint="eastAsia"/>
          <w:sz w:val="21"/>
          <w:szCs w:val="21"/>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1"/>
        <w:gridCol w:w="2131"/>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13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项目</w:t>
            </w:r>
          </w:p>
        </w:tc>
        <w:tc>
          <w:tcPr>
            <w:tcW w:w="2130" w:type="dxa"/>
            <w:vAlign w:val="center"/>
          </w:tcPr>
          <w:p w:rsidR="008D4CCF">
            <w:pPr>
              <w:pStyle w:val="Normal0"/>
              <w:spacing w:line="440" w:lineRule="atLeast"/>
              <w:jc w:val="center"/>
              <w:rPr>
                <w:rFonts w:ascii="宋体-PUA" w:eastAsia="宋体-PUA" w:hAnsi="宋体-PUA" w:cs="宋体-PUA"/>
                <w:sz w:val="21"/>
                <w:szCs w:val="21"/>
              </w:rPr>
            </w:pP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允许偏差</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检查方法</w:t>
            </w:r>
          </w:p>
        </w:tc>
      </w:tr>
      <w:tr>
        <w:tblPrEx>
          <w:tblW w:w="0" w:type="auto"/>
          <w:tblLayout w:type="fixed"/>
          <w:tblLook w:val="0000"/>
        </w:tblPrEx>
        <w:trPr>
          <w:cantSplit/>
        </w:trPr>
        <w:tc>
          <w:tcPr>
            <w:tcW w:w="2130"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竖缝及墙面</w:t>
            </w:r>
          </w:p>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垂直度</w:t>
            </w:r>
          </w:p>
        </w:tc>
        <w:tc>
          <w:tcPr>
            <w:tcW w:w="213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幕墙高度（</w:t>
            </w:r>
            <w:r>
              <w:rPr>
                <w:rFonts w:ascii="宋体-PUA" w:eastAsia="宋体-PUA" w:hAnsi="宋体-PUA" w:cs="宋体-PUA" w:hint="eastAsia"/>
                <w:sz w:val="21"/>
                <w:szCs w:val="21"/>
              </w:rPr>
              <w:t>H</w:t>
            </w:r>
            <w:r>
              <w:rPr>
                <w:rFonts w:ascii="宋体-PUA" w:eastAsia="宋体-PUA" w:hAnsi="宋体-PUA" w:cs="宋体-PUA" w:hint="eastAsia"/>
                <w:sz w:val="21"/>
                <w:szCs w:val="21"/>
              </w:rPr>
              <w:t>）</w:t>
            </w:r>
          </w:p>
        </w:tc>
        <w:tc>
          <w:tcPr>
            <w:tcW w:w="2131"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10</w:t>
            </w:r>
          </w:p>
        </w:tc>
        <w:tc>
          <w:tcPr>
            <w:tcW w:w="2131"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激光经纬仪</w:t>
            </w:r>
          </w:p>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或经纬仪</w:t>
            </w:r>
          </w:p>
        </w:tc>
      </w:tr>
      <w:tr>
        <w:tblPrEx>
          <w:tblW w:w="0" w:type="auto"/>
          <w:tblLayout w:type="fixed"/>
          <w:tblLook w:val="0000"/>
        </w:tblPrEx>
        <w:trPr>
          <w:cantSplit/>
        </w:trPr>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213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H</w:t>
            </w:r>
            <w:r>
              <w:rPr>
                <w:rFonts w:ascii="宋体-PUA" w:eastAsia="宋体-PUA" w:hAnsi="宋体-PUA" w:cs="宋体-PUA" w:hint="eastAsia"/>
                <w:sz w:val="21"/>
                <w:szCs w:val="21"/>
              </w:rPr>
              <w:t>≤</w:t>
            </w: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r>
      <w:tr>
        <w:tblPrEx>
          <w:tblW w:w="0" w:type="auto"/>
          <w:tblLayout w:type="fixed"/>
          <w:tblLook w:val="0000"/>
        </w:tblPrEx>
        <w:trPr>
          <w:cantSplit/>
        </w:trPr>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213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60</w:t>
            </w:r>
            <w:r>
              <w:rPr>
                <w:rFonts w:ascii="宋体-PUA" w:eastAsia="宋体-PUA" w:hAnsi="宋体-PUA" w:cs="宋体-PUA" w:hint="eastAsia"/>
                <w:sz w:val="21"/>
                <w:szCs w:val="21"/>
              </w:rPr>
              <w:t>≤</w:t>
            </w:r>
            <w:r>
              <w:rPr>
                <w:rFonts w:ascii="宋体-PUA" w:eastAsia="宋体-PUA" w:hAnsi="宋体-PUA" w:cs="宋体-PUA" w:hint="eastAsia"/>
                <w:sz w:val="21"/>
                <w:szCs w:val="21"/>
              </w:rPr>
              <w:t>H</w:t>
            </w:r>
            <w:r>
              <w:rPr>
                <w:rFonts w:ascii="宋体-PUA" w:eastAsia="宋体-PUA" w:hAnsi="宋体-PUA" w:cs="宋体-PUA" w:hint="eastAsia"/>
                <w:sz w:val="21"/>
                <w:szCs w:val="21"/>
              </w:rPr>
              <w:t>＞</w:t>
            </w:r>
            <w:r>
              <w:rPr>
                <w:rFonts w:ascii="宋体-PUA" w:eastAsia="宋体-PUA" w:hAnsi="宋体-PUA" w:cs="宋体-PUA" w:hint="eastAsia"/>
                <w:sz w:val="21"/>
                <w:szCs w:val="21"/>
              </w:rPr>
              <w:t>30</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15</w:t>
            </w: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r>
      <w:tr>
        <w:tblPrEx>
          <w:tblW w:w="0" w:type="auto"/>
          <w:tblLayout w:type="fixed"/>
          <w:tblLook w:val="0000"/>
        </w:tblPrEx>
        <w:trPr>
          <w:cantSplit/>
        </w:trPr>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213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90</w:t>
            </w:r>
            <w:r>
              <w:rPr>
                <w:rFonts w:ascii="宋体-PUA" w:eastAsia="宋体-PUA" w:hAnsi="宋体-PUA" w:cs="宋体-PUA" w:hint="eastAsia"/>
                <w:sz w:val="21"/>
                <w:szCs w:val="21"/>
              </w:rPr>
              <w:t>≤</w:t>
            </w:r>
            <w:r>
              <w:rPr>
                <w:rFonts w:ascii="宋体-PUA" w:eastAsia="宋体-PUA" w:hAnsi="宋体-PUA" w:cs="宋体-PUA" w:hint="eastAsia"/>
                <w:sz w:val="21"/>
                <w:szCs w:val="21"/>
              </w:rPr>
              <w:t>H</w:t>
            </w:r>
            <w:r>
              <w:rPr>
                <w:rFonts w:ascii="宋体-PUA" w:eastAsia="宋体-PUA" w:hAnsi="宋体-PUA" w:cs="宋体-PUA" w:hint="eastAsia"/>
                <w:sz w:val="21"/>
                <w:szCs w:val="21"/>
              </w:rPr>
              <w:t>＞</w:t>
            </w:r>
            <w:r>
              <w:rPr>
                <w:rFonts w:ascii="宋体-PUA" w:eastAsia="宋体-PUA" w:hAnsi="宋体-PUA" w:cs="宋体-PUA" w:hint="eastAsia"/>
                <w:sz w:val="21"/>
                <w:szCs w:val="21"/>
              </w:rPr>
              <w:t>60</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20</w:t>
            </w: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r>
      <w:tr>
        <w:tblPrEx>
          <w:tblW w:w="0" w:type="auto"/>
          <w:tblLayout w:type="fixed"/>
          <w:tblLook w:val="0000"/>
        </w:tblPrEx>
        <w:trPr>
          <w:cantSplit/>
        </w:trPr>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213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H</w:t>
            </w:r>
            <w:r>
              <w:rPr>
                <w:rFonts w:ascii="宋体-PUA" w:eastAsia="宋体-PUA" w:hAnsi="宋体-PUA" w:cs="宋体-PUA" w:hint="eastAsia"/>
                <w:sz w:val="21"/>
                <w:szCs w:val="21"/>
              </w:rPr>
              <w:t>＞</w:t>
            </w:r>
            <w:r>
              <w:rPr>
                <w:rFonts w:ascii="宋体-PUA" w:eastAsia="宋体-PUA" w:hAnsi="宋体-PUA" w:cs="宋体-PUA" w:hint="eastAsia"/>
                <w:sz w:val="21"/>
                <w:szCs w:val="21"/>
              </w:rPr>
              <w:t>90</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25</w:t>
            </w: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r>
      <w:tr>
        <w:tblPrEx>
          <w:tblW w:w="0" w:type="auto"/>
          <w:tblLayout w:type="fixed"/>
          <w:tblLook w:val="0000"/>
        </w:tblPrEx>
        <w:trPr>
          <w:cantSplit/>
        </w:trPr>
        <w:tc>
          <w:tcPr>
            <w:tcW w:w="4260"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幕墙平面度</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2.5</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2m</w:t>
            </w:r>
            <w:r>
              <w:rPr>
                <w:rFonts w:ascii="宋体-PUA" w:eastAsia="宋体-PUA" w:hAnsi="宋体-PUA" w:cs="宋体-PUA" w:hint="eastAsia"/>
                <w:sz w:val="21"/>
                <w:szCs w:val="21"/>
              </w:rPr>
              <w:t>靠尺、钢板尺</w:t>
            </w:r>
          </w:p>
        </w:tc>
      </w:tr>
      <w:tr>
        <w:tblPrEx>
          <w:tblW w:w="0" w:type="auto"/>
          <w:tblLayout w:type="fixed"/>
          <w:tblLook w:val="0000"/>
        </w:tblPrEx>
        <w:trPr>
          <w:cantSplit/>
        </w:trPr>
        <w:tc>
          <w:tcPr>
            <w:tcW w:w="4260"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竖缝直线度</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2.5</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2m</w:t>
            </w:r>
            <w:r>
              <w:rPr>
                <w:rFonts w:ascii="宋体-PUA" w:eastAsia="宋体-PUA" w:hAnsi="宋体-PUA" w:cs="宋体-PUA" w:hint="eastAsia"/>
                <w:sz w:val="21"/>
                <w:szCs w:val="21"/>
              </w:rPr>
              <w:t>靠尺、钢板尺</w:t>
            </w:r>
          </w:p>
        </w:tc>
      </w:tr>
      <w:tr>
        <w:tblPrEx>
          <w:tblW w:w="0" w:type="auto"/>
          <w:tblLayout w:type="fixed"/>
          <w:tblLook w:val="0000"/>
        </w:tblPrEx>
        <w:trPr>
          <w:cantSplit/>
        </w:trPr>
        <w:tc>
          <w:tcPr>
            <w:tcW w:w="4260"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横缝直线度</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2.5</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2m</w:t>
            </w:r>
            <w:r>
              <w:rPr>
                <w:rFonts w:ascii="宋体-PUA" w:eastAsia="宋体-PUA" w:hAnsi="宋体-PUA" w:cs="宋体-PUA" w:hint="eastAsia"/>
                <w:sz w:val="21"/>
                <w:szCs w:val="21"/>
              </w:rPr>
              <w:t>靠尺、钢板尺</w:t>
            </w:r>
          </w:p>
        </w:tc>
      </w:tr>
      <w:tr>
        <w:tblPrEx>
          <w:tblW w:w="0" w:type="auto"/>
          <w:tblLayout w:type="fixed"/>
          <w:tblLook w:val="0000"/>
        </w:tblPrEx>
        <w:trPr>
          <w:cantSplit/>
        </w:trPr>
        <w:tc>
          <w:tcPr>
            <w:tcW w:w="4260"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缝宽度（与设计值比较）</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卡尺</w:t>
            </w:r>
          </w:p>
        </w:tc>
      </w:tr>
      <w:tr>
        <w:tblPrEx>
          <w:tblW w:w="0" w:type="auto"/>
          <w:tblLayout w:type="fixed"/>
          <w:tblLook w:val="0000"/>
        </w:tblPrEx>
        <w:trPr>
          <w:cantSplit/>
        </w:trPr>
        <w:tc>
          <w:tcPr>
            <w:tcW w:w="4260"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两相邻面板之间接缝高低差</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1.0</w:t>
            </w:r>
          </w:p>
        </w:tc>
        <w:tc>
          <w:tcPr>
            <w:tcW w:w="2131"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深度尺</w:t>
            </w:r>
          </w:p>
        </w:tc>
      </w:tr>
    </w:tbl>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17</w:t>
      </w:r>
      <w:r>
        <w:rPr>
          <w:rFonts w:ascii="宋体-PUA" w:eastAsia="宋体-PUA" w:hAnsi="宋体-PUA" w:cs="宋体-PUA" w:hint="eastAsia"/>
          <w:sz w:val="21"/>
          <w:szCs w:val="21"/>
        </w:rPr>
        <w:t>）单元幕墙安装允许偏差应除应符合上</w:t>
      </w:r>
      <w:r>
        <w:rPr>
          <w:rFonts w:ascii="宋体-PUA" w:eastAsia="宋体-PUA" w:hAnsi="宋体-PUA" w:cs="宋体-PUA" w:hint="eastAsia"/>
          <w:sz w:val="21"/>
          <w:szCs w:val="21"/>
        </w:rPr>
        <w:t>10.3.7.3-1</w:t>
      </w:r>
      <w:r>
        <w:rPr>
          <w:rFonts w:ascii="宋体-PUA" w:eastAsia="宋体-PUA" w:hAnsi="宋体-PUA" w:cs="宋体-PUA" w:hint="eastAsia"/>
          <w:sz w:val="21"/>
          <w:szCs w:val="21"/>
        </w:rPr>
        <w:t>的规定外，尚应符合下表的规定：</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单元幕墙安装允许偏差（</w:t>
      </w:r>
      <w:r>
        <w:rPr>
          <w:rFonts w:ascii="宋体-PUA" w:eastAsia="宋体-PUA" w:hAnsi="宋体-PUA" w:cs="宋体-PUA" w:hint="eastAsia"/>
          <w:sz w:val="21"/>
          <w:szCs w:val="21"/>
        </w:rPr>
        <w:t>mm</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2520"/>
        <w:gridCol w:w="1260"/>
        <w:gridCol w:w="247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Pr>
        <w:tc>
          <w:tcPr>
            <w:tcW w:w="4788"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项目</w:t>
            </w:r>
          </w:p>
        </w:tc>
        <w:tc>
          <w:tcPr>
            <w:tcW w:w="126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允许偏差</w:t>
            </w:r>
          </w:p>
        </w:tc>
        <w:tc>
          <w:tcPr>
            <w:tcW w:w="2474"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检查方法</w:t>
            </w:r>
          </w:p>
        </w:tc>
      </w:tr>
      <w:tr>
        <w:tblPrEx>
          <w:tblW w:w="0" w:type="auto"/>
          <w:tblLayout w:type="fixed"/>
          <w:tblLook w:val="0000"/>
        </w:tblPrEx>
        <w:tc>
          <w:tcPr>
            <w:tcW w:w="2268"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同层单元组件标高</w:t>
            </w:r>
          </w:p>
        </w:tc>
        <w:tc>
          <w:tcPr>
            <w:tcW w:w="252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宽度小于或等于</w:t>
            </w:r>
            <w:r>
              <w:rPr>
                <w:rFonts w:ascii="宋体-PUA" w:eastAsia="宋体-PUA" w:hAnsi="宋体-PUA" w:cs="宋体-PUA" w:hint="eastAsia"/>
                <w:sz w:val="21"/>
                <w:szCs w:val="21"/>
              </w:rPr>
              <w:t>35m</w:t>
            </w:r>
          </w:p>
        </w:tc>
        <w:tc>
          <w:tcPr>
            <w:tcW w:w="126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3.0</w:t>
            </w:r>
          </w:p>
        </w:tc>
        <w:tc>
          <w:tcPr>
            <w:tcW w:w="2474"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激光经纬仪或经纬仪</w:t>
            </w:r>
          </w:p>
        </w:tc>
      </w:tr>
      <w:tr>
        <w:tblPrEx>
          <w:tblW w:w="0" w:type="auto"/>
          <w:tblLayout w:type="fixed"/>
          <w:tblLook w:val="0000"/>
        </w:tblPrEx>
        <w:trPr>
          <w:cantSplit/>
        </w:trPr>
        <w:tc>
          <w:tcPr>
            <w:tcW w:w="4788"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相邻两组件面板表面高低差</w:t>
            </w:r>
          </w:p>
        </w:tc>
        <w:tc>
          <w:tcPr>
            <w:tcW w:w="126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1.0</w:t>
            </w:r>
          </w:p>
        </w:tc>
        <w:tc>
          <w:tcPr>
            <w:tcW w:w="2474"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深度尺</w:t>
            </w:r>
          </w:p>
        </w:tc>
      </w:tr>
      <w:tr>
        <w:tblPrEx>
          <w:tblW w:w="0" w:type="auto"/>
          <w:tblLayout w:type="fixed"/>
          <w:tblLook w:val="0000"/>
        </w:tblPrEx>
        <w:trPr>
          <w:cantSplit/>
        </w:trPr>
        <w:tc>
          <w:tcPr>
            <w:tcW w:w="4788"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两组件对插件接缝搭接长度（与设计值比）</w:t>
            </w:r>
          </w:p>
        </w:tc>
        <w:tc>
          <w:tcPr>
            <w:tcW w:w="126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1.0</w:t>
            </w:r>
          </w:p>
        </w:tc>
        <w:tc>
          <w:tcPr>
            <w:tcW w:w="2474"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卡尺</w:t>
            </w:r>
          </w:p>
        </w:tc>
      </w:tr>
      <w:tr>
        <w:tblPrEx>
          <w:tblW w:w="0" w:type="auto"/>
          <w:tblLayout w:type="fixed"/>
          <w:tblLook w:val="0000"/>
        </w:tblPrEx>
        <w:trPr>
          <w:cantSplit/>
        </w:trPr>
        <w:tc>
          <w:tcPr>
            <w:tcW w:w="4788"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两组件对插件距槽底距离（与设计值比）</w:t>
            </w:r>
          </w:p>
        </w:tc>
        <w:tc>
          <w:tcPr>
            <w:tcW w:w="126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1.0</w:t>
            </w:r>
          </w:p>
        </w:tc>
        <w:tc>
          <w:tcPr>
            <w:tcW w:w="2474"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卡尺</w:t>
            </w:r>
          </w:p>
        </w:tc>
      </w:tr>
    </w:tbl>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18</w:t>
      </w:r>
      <w:r>
        <w:rPr>
          <w:rFonts w:ascii="宋体-PUA" w:eastAsia="宋体-PUA" w:hAnsi="宋体-PUA" w:cs="宋体-PUA" w:hint="eastAsia"/>
          <w:sz w:val="21"/>
          <w:szCs w:val="21"/>
        </w:rPr>
        <w:t>）幕墙安装过程中应进行接缝部位的雨水渗漏检验。</w:t>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8"/>
          <w:cols w:space="708"/>
          <w:titlePg w:val="0"/>
          <w:docGrid w:type="lines" w:linePitch="312"/>
        </w:sectPr>
      </w:pPr>
      <w:r>
        <w:rPr>
          <w:rFonts w:ascii="宋体-PUA" w:eastAsia="宋体-PUA" w:hAnsi="宋体-PUA" w:cs="宋体-PUA" w:hint="eastAsia"/>
          <w:sz w:val="21"/>
          <w:szCs w:val="21"/>
        </w:rPr>
        <w:t>（</w:t>
      </w:r>
      <w:r>
        <w:rPr>
          <w:rFonts w:ascii="宋体-PUA" w:eastAsia="宋体-PUA" w:hAnsi="宋体-PUA" w:cs="宋体-PUA" w:hint="eastAsia"/>
          <w:sz w:val="21"/>
          <w:szCs w:val="21"/>
        </w:rPr>
        <w:t>19</w:t>
      </w:r>
      <w:r>
        <w:rPr>
          <w:rFonts w:ascii="宋体-PUA" w:eastAsia="宋体-PUA" w:hAnsi="宋体-PUA" w:cs="宋体-PUA" w:hint="eastAsia"/>
          <w:sz w:val="21"/>
          <w:szCs w:val="21"/>
        </w:rPr>
        <w:t>）石材幕墙四周与主体之间的间隙，应采用防水的保温材料填塞，内外表面应采用密封胶连续封闭，</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接缝应严密不漏水。</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20</w:t>
      </w:r>
      <w:r>
        <w:rPr>
          <w:rFonts w:ascii="宋体-PUA" w:eastAsia="宋体-PUA" w:hAnsi="宋体-PUA" w:cs="宋体-PUA" w:hint="eastAsia"/>
          <w:sz w:val="21"/>
          <w:szCs w:val="21"/>
        </w:rPr>
        <w:t>）石材幕墙安装施工应对下列项目进行隐蔽验收：</w:t>
      </w:r>
    </w:p>
    <w:p w:rsidR="008D4CCF">
      <w:pPr>
        <w:pStyle w:val="Normal0"/>
        <w:numPr>
          <w:ilvl w:val="0"/>
          <w:numId w:val="3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构件与主体结构的连接节点的安装。</w:t>
      </w:r>
    </w:p>
    <w:p w:rsidR="008D4CCF">
      <w:pPr>
        <w:pStyle w:val="Normal0"/>
        <w:numPr>
          <w:ilvl w:val="0"/>
          <w:numId w:val="3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幕墙四周、幕墙内表面与主体结构之间间隙节点的安装。</w:t>
      </w:r>
    </w:p>
    <w:p w:rsidR="008D4CCF">
      <w:pPr>
        <w:pStyle w:val="Normal0"/>
        <w:numPr>
          <w:ilvl w:val="0"/>
          <w:numId w:val="3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幕墙伸缩缝、沉降缝、防震缝及墙面转角节点的安装。</w:t>
      </w:r>
    </w:p>
    <w:p w:rsidR="008D4CCF">
      <w:pPr>
        <w:pStyle w:val="Normal0"/>
        <w:numPr>
          <w:ilvl w:val="0"/>
          <w:numId w:val="3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幕墙防雷接地节点的安装。</w:t>
      </w:r>
    </w:p>
    <w:p w:rsidR="008D4CCF">
      <w:pPr>
        <w:pStyle w:val="Normal0"/>
        <w:numPr>
          <w:ilvl w:val="0"/>
          <w:numId w:val="39"/>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其他带有隐蔽性质的项目。</w:t>
      </w:r>
    </w:p>
    <w:p w:rsidR="008D4CCF">
      <w:pPr>
        <w:pStyle w:val="Normal0"/>
        <w:tabs>
          <w:tab w:val="left" w:pos="900"/>
        </w:tabs>
        <w:spacing w:line="440" w:lineRule="atLeast"/>
        <w:rPr>
          <w:rFonts w:ascii="宋体-PUA" w:eastAsia="宋体-PUA" w:hAnsi="宋体-PUA" w:cs="宋体-PUA"/>
          <w:sz w:val="21"/>
          <w:szCs w:val="21"/>
        </w:rPr>
      </w:pPr>
      <w:r>
        <w:rPr>
          <w:rFonts w:ascii="宋体-PUA" w:eastAsia="宋体-PUA" w:hAnsi="宋体-PUA" w:cs="宋体-PUA" w:hint="eastAsia"/>
          <w:sz w:val="21"/>
          <w:szCs w:val="21"/>
        </w:rPr>
        <w:t>4</w:t>
      </w:r>
      <w:r>
        <w:rPr>
          <w:rFonts w:ascii="宋体-PUA" w:eastAsia="宋体-PUA" w:hAnsi="宋体-PUA" w:cs="宋体-PUA" w:hint="eastAsia"/>
          <w:sz w:val="21"/>
          <w:szCs w:val="21"/>
        </w:rPr>
        <w:t>．干挂石板安装工程质量预防措施</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①</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操作人员培训</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A</w:t>
      </w:r>
      <w:r>
        <w:rPr>
          <w:rFonts w:ascii="宋体-PUA" w:eastAsia="宋体-PUA" w:hAnsi="宋体-PUA" w:cs="宋体-PUA" w:hint="eastAsia"/>
          <w:sz w:val="21"/>
          <w:szCs w:val="21"/>
        </w:rPr>
        <w:t>．加强操作人员技能培训，提高技能素质。</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B</w:t>
      </w:r>
      <w:r>
        <w:rPr>
          <w:rFonts w:ascii="宋体-PUA" w:eastAsia="宋体-PUA" w:hAnsi="宋体-PUA" w:cs="宋体-PUA" w:hint="eastAsia"/>
          <w:sz w:val="21"/>
          <w:szCs w:val="21"/>
        </w:rPr>
        <w:t>．认真组织学习操作工艺，操作过程，并贯彻执行。</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C</w:t>
      </w:r>
      <w:r>
        <w:rPr>
          <w:rFonts w:ascii="宋体-PUA" w:eastAsia="宋体-PUA" w:hAnsi="宋体-PUA" w:cs="宋体-PUA" w:hint="eastAsia"/>
          <w:sz w:val="21"/>
          <w:szCs w:val="21"/>
        </w:rPr>
        <w:t>．进行质量意识教育，按</w:t>
      </w:r>
      <w:r>
        <w:rPr>
          <w:rFonts w:ascii="宋体-PUA" w:eastAsia="宋体-PUA" w:hAnsi="宋体-PUA" w:cs="宋体-PUA" w:hint="eastAsia"/>
          <w:sz w:val="21"/>
          <w:szCs w:val="21"/>
        </w:rPr>
        <w:t>ISO9001</w:t>
      </w:r>
      <w:r>
        <w:rPr>
          <w:rFonts w:ascii="宋体-PUA" w:eastAsia="宋体-PUA" w:hAnsi="宋体-PUA" w:cs="宋体-PUA" w:hint="eastAsia"/>
          <w:sz w:val="21"/>
          <w:szCs w:val="21"/>
        </w:rPr>
        <w:t>主导思想，质量就是市场就是信誉的思想。</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D</w:t>
      </w:r>
      <w:r>
        <w:rPr>
          <w:rFonts w:ascii="宋体-PUA" w:eastAsia="宋体-PUA" w:hAnsi="宋体-PUA" w:cs="宋体-PUA" w:hint="eastAsia"/>
          <w:sz w:val="21"/>
          <w:szCs w:val="21"/>
        </w:rPr>
        <w:t>．深入现场了解实际情况，核对图纸与现场情况差别，并作好记录。</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E</w:t>
      </w:r>
      <w:r>
        <w:rPr>
          <w:rFonts w:ascii="宋体-PUA" w:eastAsia="宋体-PUA" w:hAnsi="宋体-PUA" w:cs="宋体-PUA" w:hint="eastAsia"/>
          <w:sz w:val="21"/>
          <w:szCs w:val="21"/>
        </w:rPr>
        <w:t>．加强现场技术、质量、安全交底，提高工作能力。</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F</w:t>
      </w:r>
      <w:r>
        <w:rPr>
          <w:rFonts w:ascii="宋体-PUA" w:eastAsia="宋体-PUA" w:hAnsi="宋体-PUA" w:cs="宋体-PUA" w:hint="eastAsia"/>
          <w:sz w:val="21"/>
          <w:szCs w:val="21"/>
        </w:rPr>
        <w:t>．及时了解现场情况，及时发现问题，用典型事例进行分析，以提高解决问题的能力，杜绝重复事件出现。</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②</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加强材料供应检验制度</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A</w:t>
      </w:r>
      <w:r>
        <w:rPr>
          <w:rFonts w:ascii="宋体-PUA" w:eastAsia="宋体-PUA" w:hAnsi="宋体-PUA" w:cs="宋体-PUA" w:hint="eastAsia"/>
          <w:sz w:val="21"/>
          <w:szCs w:val="21"/>
        </w:rPr>
        <w:t>．加强材料员质量意识教育，选用责任心强、业务素质高的材料人员。</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B</w:t>
      </w:r>
      <w:r>
        <w:rPr>
          <w:rFonts w:ascii="宋体-PUA" w:eastAsia="宋体-PUA" w:hAnsi="宋体-PUA" w:cs="宋体-PUA" w:hint="eastAsia"/>
          <w:sz w:val="21"/>
          <w:szCs w:val="21"/>
        </w:rPr>
        <w:t>．提高质检人员质检精神，择优选用人员。</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C</w:t>
      </w:r>
      <w:r>
        <w:rPr>
          <w:rFonts w:ascii="宋体-PUA" w:eastAsia="宋体-PUA" w:hAnsi="宋体-PUA" w:cs="宋体-PUA" w:hint="eastAsia"/>
          <w:sz w:val="21"/>
          <w:szCs w:val="21"/>
        </w:rPr>
        <w:t>．认真考察，严格按封样标准验货，材质不合格坚决退货。</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D</w:t>
      </w:r>
      <w:r>
        <w:rPr>
          <w:rFonts w:ascii="宋体-PUA" w:eastAsia="宋体-PUA" w:hAnsi="宋体-PUA" w:cs="宋体-PUA" w:hint="eastAsia"/>
          <w:sz w:val="21"/>
          <w:szCs w:val="21"/>
        </w:rPr>
        <w:t>．严把石材加工过程质量标准，按标准验货。</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E</w:t>
      </w:r>
      <w:r>
        <w:rPr>
          <w:rFonts w:ascii="宋体-PUA" w:eastAsia="宋体-PUA" w:hAnsi="宋体-PUA" w:cs="宋体-PUA" w:hint="eastAsia"/>
          <w:sz w:val="21"/>
          <w:szCs w:val="21"/>
        </w:rPr>
        <w:t>．提前作固化剂试配，控制固化速度，作好各种情况的充分准备。</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③</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加强操作过程质量控制</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A</w:t>
      </w:r>
      <w:r>
        <w:rPr>
          <w:rFonts w:ascii="宋体-PUA" w:eastAsia="宋体-PUA" w:hAnsi="宋体-PUA" w:cs="宋体-PUA" w:hint="eastAsia"/>
          <w:sz w:val="21"/>
          <w:szCs w:val="21"/>
        </w:rPr>
        <w:t>．认真检查墙面螺栓的牢固程度，发现问题作</w:t>
      </w:r>
      <w:r>
        <w:rPr>
          <w:rFonts w:ascii="宋体-PUA" w:eastAsia="宋体-PUA" w:hAnsi="宋体-PUA" w:cs="宋体-PUA" w:hint="eastAsia"/>
          <w:sz w:val="21"/>
          <w:szCs w:val="21"/>
        </w:rPr>
        <w:t>调位补充处理。</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B</w:t>
      </w:r>
      <w:r>
        <w:rPr>
          <w:rFonts w:ascii="宋体-PUA" w:eastAsia="宋体-PUA" w:hAnsi="宋体-PUA" w:cs="宋体-PUA" w:hint="eastAsia"/>
          <w:sz w:val="21"/>
          <w:szCs w:val="21"/>
        </w:rPr>
        <w:t>．钢结构焊缝，是否满足设计要求，焊渣清理彻底，防锈处理得当。</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C</w:t>
      </w:r>
      <w:r>
        <w:rPr>
          <w:rFonts w:ascii="宋体-PUA" w:eastAsia="宋体-PUA" w:hAnsi="宋体-PUA" w:cs="宋体-PUA" w:hint="eastAsia"/>
          <w:sz w:val="21"/>
          <w:szCs w:val="21"/>
        </w:rPr>
        <w:t>．石材进场后作试装样板，检查合格后方可大面安装。</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D</w:t>
      </w:r>
      <w:r>
        <w:rPr>
          <w:rFonts w:ascii="宋体-PUA" w:eastAsia="宋体-PUA" w:hAnsi="宋体-PUA" w:cs="宋体-PUA" w:hint="eastAsia"/>
          <w:sz w:val="21"/>
          <w:szCs w:val="21"/>
        </w:rPr>
        <w:t>．板侧或石板背面开槽位置准确，槽深及槽宽满足不锈钢挂件安装。</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E</w:t>
      </w:r>
      <w:r>
        <w:rPr>
          <w:rFonts w:ascii="宋体-PUA" w:eastAsia="宋体-PUA" w:hAnsi="宋体-PUA" w:cs="宋体-PUA" w:hint="eastAsia"/>
          <w:sz w:val="21"/>
          <w:szCs w:val="21"/>
        </w:rPr>
        <w:t>．板材定位前作水平度、垂直度复检，认真调整无误后再固定。</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F</w:t>
      </w:r>
      <w:r>
        <w:rPr>
          <w:rFonts w:ascii="宋体-PUA" w:eastAsia="宋体-PUA" w:hAnsi="宋体-PUA" w:cs="宋体-PUA" w:hint="eastAsia"/>
          <w:sz w:val="21"/>
          <w:szCs w:val="21"/>
        </w:rPr>
        <w:t>．每层板的安装适当拉开操作时间间隔，保证每层板孔有足够固化强度，再进行上层板的安装。</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G</w:t>
      </w:r>
      <w:r>
        <w:rPr>
          <w:rFonts w:ascii="宋体-PUA" w:eastAsia="宋体-PUA" w:hAnsi="宋体-PUA" w:cs="宋体-PUA" w:hint="eastAsia"/>
          <w:sz w:val="21"/>
          <w:szCs w:val="21"/>
        </w:rPr>
        <w:t>．安装完毕及时全面清理板面。</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H</w:t>
      </w:r>
      <w:r>
        <w:rPr>
          <w:rFonts w:ascii="宋体-PUA" w:eastAsia="宋体-PUA" w:hAnsi="宋体-PUA" w:cs="宋体-PUA" w:hint="eastAsia"/>
          <w:sz w:val="21"/>
          <w:szCs w:val="21"/>
        </w:rPr>
        <w:t>．安装后及时派专人看管，严格保护成品。</w:t>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9"/>
          <w:cols w:space="708"/>
          <w:titlePg w:val="0"/>
          <w:docGrid w:type="lines" w:linePitch="312"/>
        </w:sectPr>
      </w:pPr>
      <w:r>
        <w:rPr>
          <w:rFonts w:ascii="宋体-PUA" w:eastAsia="宋体-PUA" w:hAnsi="宋体-PUA" w:cs="宋体-PUA" w:hint="eastAsia"/>
          <w:sz w:val="21"/>
          <w:szCs w:val="21"/>
        </w:rPr>
        <w:t>（</w:t>
      </w:r>
      <w:r>
        <w:rPr>
          <w:rFonts w:ascii="宋体-PUA" w:eastAsia="宋体-PUA" w:hAnsi="宋体-PUA" w:cs="宋体-PUA" w:hint="eastAsia"/>
          <w:sz w:val="21"/>
          <w:szCs w:val="21"/>
        </w:rPr>
        <w:t>5</w:t>
      </w:r>
      <w:r>
        <w:rPr>
          <w:rFonts w:ascii="宋体-PUA" w:eastAsia="宋体-PUA" w:hAnsi="宋体-PUA" w:cs="宋体-PUA" w:hint="eastAsia"/>
          <w:sz w:val="21"/>
          <w:szCs w:val="21"/>
        </w:rPr>
        <w:t>）石板安装质量应符合的规定：</w:t>
      </w:r>
    </w:p>
    <w:tbl>
      <w:tblPr>
        <w:tblStyle w:val="TableNormal"/>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8"/>
        <w:gridCol w:w="2132"/>
        <w:gridCol w:w="2132"/>
        <w:gridCol w:w="2438"/>
      </w:tblGrid>
      <w:tr>
        <w:tblPrEx>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500"/>
        </w:trPr>
        <w:tc>
          <w:tcPr>
            <w:tcW w:w="3830"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项</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目</w:t>
            </w:r>
          </w:p>
        </w:tc>
        <w:tc>
          <w:tcPr>
            <w:tcW w:w="2132"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允许偏差（</w:t>
            </w:r>
            <w:r>
              <w:rPr>
                <w:rFonts w:ascii="宋体-PUA" w:eastAsia="宋体-PUA" w:hAnsi="宋体-PUA" w:cs="宋体-PUA" w:hint="eastAsia"/>
                <w:sz w:val="21"/>
                <w:szCs w:val="21"/>
              </w:rPr>
              <w:t>mm</w:t>
            </w:r>
            <w:r>
              <w:rPr>
                <w:rFonts w:ascii="宋体-PUA" w:eastAsia="宋体-PUA" w:hAnsi="宋体-PUA" w:cs="宋体-PUA" w:hint="eastAsia"/>
                <w:sz w:val="21"/>
                <w:szCs w:val="21"/>
              </w:rPr>
              <w:t>）</w:t>
            </w:r>
          </w:p>
        </w:tc>
        <w:tc>
          <w:tcPr>
            <w:tcW w:w="2438"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检查方法</w:t>
            </w:r>
          </w:p>
        </w:tc>
      </w:tr>
      <w:tr>
        <w:tblPrEx>
          <w:tblW w:w="0" w:type="auto"/>
          <w:tblInd w:w="3" w:type="dxa"/>
          <w:tblLayout w:type="fixed"/>
          <w:tblLook w:val="0000"/>
        </w:tblPrEx>
        <w:trPr>
          <w:cantSplit/>
          <w:trHeight w:hRule="exact" w:val="500"/>
        </w:trPr>
        <w:tc>
          <w:tcPr>
            <w:tcW w:w="1698"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坚缝及墙</w:t>
            </w:r>
          </w:p>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面垂直缝</w:t>
            </w:r>
          </w:p>
        </w:tc>
        <w:tc>
          <w:tcPr>
            <w:tcW w:w="2132"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幕墙层高不大于</w:t>
            </w:r>
            <w:r>
              <w:rPr>
                <w:rFonts w:ascii="宋体-PUA" w:eastAsia="宋体-PUA" w:hAnsi="宋体-PUA" w:cs="宋体-PUA" w:hint="eastAsia"/>
                <w:sz w:val="21"/>
                <w:szCs w:val="21"/>
              </w:rPr>
              <w:t>3m</w:t>
            </w:r>
          </w:p>
        </w:tc>
        <w:tc>
          <w:tcPr>
            <w:tcW w:w="2132" w:type="dxa"/>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p>
        </w:tc>
        <w:tc>
          <w:tcPr>
            <w:tcW w:w="2438"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激光经纬仪</w:t>
            </w:r>
          </w:p>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或经续仪</w:t>
            </w:r>
          </w:p>
        </w:tc>
      </w:tr>
      <w:tr>
        <w:tblPrEx>
          <w:tblW w:w="0" w:type="auto"/>
          <w:tblInd w:w="3" w:type="dxa"/>
          <w:tblLayout w:type="fixed"/>
          <w:tblLook w:val="0000"/>
        </w:tblPrEx>
        <w:trPr>
          <w:cantSplit/>
          <w:trHeight w:hRule="exact" w:val="500"/>
        </w:trPr>
        <w:tc>
          <w:tcPr>
            <w:tcW w:w="1" w:type="dxa"/>
            <w:vMerge/>
          </w:tcPr>
          <w:p w:rsidR="008D4CCF">
            <w:pPr>
              <w:pStyle w:val="Normal0"/>
              <w:spacing w:line="440" w:lineRule="atLeast"/>
              <w:rPr>
                <w:rFonts w:ascii="宋体-PUA" w:eastAsia="宋体-PUA" w:hAnsi="宋体-PUA" w:cs="宋体-PUA"/>
                <w:sz w:val="21"/>
                <w:szCs w:val="21"/>
              </w:rPr>
            </w:pPr>
          </w:p>
        </w:tc>
        <w:tc>
          <w:tcPr>
            <w:tcW w:w="2132" w:type="dxa"/>
          </w:tcPr>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幕墙层大于</w:t>
            </w:r>
            <w:r>
              <w:rPr>
                <w:rFonts w:ascii="宋体-PUA" w:eastAsia="宋体-PUA" w:hAnsi="宋体-PUA" w:cs="宋体-PUA" w:hint="eastAsia"/>
                <w:sz w:val="21"/>
                <w:szCs w:val="21"/>
              </w:rPr>
              <w:t>3m</w:t>
            </w:r>
          </w:p>
        </w:tc>
        <w:tc>
          <w:tcPr>
            <w:tcW w:w="2132" w:type="dxa"/>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3</w:t>
            </w: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r>
      <w:tr>
        <w:tblPrEx>
          <w:tblW w:w="0" w:type="auto"/>
          <w:tblInd w:w="3" w:type="dxa"/>
          <w:tblLayout w:type="fixed"/>
          <w:tblLook w:val="0000"/>
        </w:tblPrEx>
        <w:trPr>
          <w:cantSplit/>
          <w:trHeight w:hRule="exact" w:val="500"/>
        </w:trPr>
        <w:tc>
          <w:tcPr>
            <w:tcW w:w="3830" w:type="dxa"/>
            <w:gridSpan w:val="2"/>
            <w:vAlign w:val="center"/>
          </w:tcPr>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幕墙水平度（层高）</w:t>
            </w:r>
          </w:p>
        </w:tc>
        <w:tc>
          <w:tcPr>
            <w:tcW w:w="2132" w:type="dxa"/>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p>
        </w:tc>
        <w:tc>
          <w:tcPr>
            <w:tcW w:w="2438"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2m</w:t>
            </w:r>
            <w:r>
              <w:rPr>
                <w:rFonts w:ascii="宋体-PUA" w:eastAsia="宋体-PUA" w:hAnsi="宋体-PUA" w:cs="宋体-PUA" w:hint="eastAsia"/>
                <w:sz w:val="21"/>
                <w:szCs w:val="21"/>
              </w:rPr>
              <w:t>靠尺、钢板尺</w:t>
            </w:r>
          </w:p>
        </w:tc>
      </w:tr>
      <w:tr>
        <w:tblPrEx>
          <w:tblW w:w="0" w:type="auto"/>
          <w:tblInd w:w="3" w:type="dxa"/>
          <w:tblLayout w:type="fixed"/>
          <w:tblLook w:val="0000"/>
        </w:tblPrEx>
        <w:trPr>
          <w:cantSplit/>
          <w:trHeight w:hRule="exact" w:val="500"/>
        </w:trPr>
        <w:tc>
          <w:tcPr>
            <w:tcW w:w="3830" w:type="dxa"/>
            <w:gridSpan w:val="2"/>
            <w:vAlign w:val="center"/>
          </w:tcPr>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竖缝直线度（层高）</w:t>
            </w:r>
          </w:p>
        </w:tc>
        <w:tc>
          <w:tcPr>
            <w:tcW w:w="2132" w:type="dxa"/>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p>
        </w:tc>
        <w:tc>
          <w:tcPr>
            <w:tcW w:w="2438"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2M</w:t>
            </w:r>
            <w:r>
              <w:rPr>
                <w:rFonts w:ascii="宋体-PUA" w:eastAsia="宋体-PUA" w:hAnsi="宋体-PUA" w:cs="宋体-PUA" w:hint="eastAsia"/>
                <w:sz w:val="21"/>
                <w:szCs w:val="21"/>
              </w:rPr>
              <w:t>靠尺、钢扳尺</w:t>
            </w:r>
          </w:p>
        </w:tc>
      </w:tr>
      <w:tr>
        <w:tblPrEx>
          <w:tblW w:w="0" w:type="auto"/>
          <w:tblInd w:w="3" w:type="dxa"/>
          <w:tblLayout w:type="fixed"/>
          <w:tblLook w:val="0000"/>
        </w:tblPrEx>
        <w:trPr>
          <w:cantSplit/>
          <w:trHeight w:hRule="exact" w:val="500"/>
        </w:trPr>
        <w:tc>
          <w:tcPr>
            <w:tcW w:w="3830" w:type="dxa"/>
            <w:gridSpan w:val="2"/>
            <w:vAlign w:val="center"/>
          </w:tcPr>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横缝直线度（层高）</w:t>
            </w:r>
          </w:p>
        </w:tc>
        <w:tc>
          <w:tcPr>
            <w:tcW w:w="2132" w:type="dxa"/>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p>
        </w:tc>
        <w:tc>
          <w:tcPr>
            <w:tcW w:w="2438"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2M</w:t>
            </w:r>
            <w:r>
              <w:rPr>
                <w:rFonts w:ascii="宋体-PUA" w:eastAsia="宋体-PUA" w:hAnsi="宋体-PUA" w:cs="宋体-PUA" w:hint="eastAsia"/>
                <w:sz w:val="21"/>
                <w:szCs w:val="21"/>
              </w:rPr>
              <w:t>靠尺、钢扳</w:t>
            </w:r>
          </w:p>
        </w:tc>
      </w:tr>
      <w:tr>
        <w:tblPrEx>
          <w:tblW w:w="0" w:type="auto"/>
          <w:tblInd w:w="3" w:type="dxa"/>
          <w:tblLayout w:type="fixed"/>
          <w:tblLook w:val="0000"/>
        </w:tblPrEx>
        <w:trPr>
          <w:cantSplit/>
          <w:trHeight w:hRule="exact" w:val="500"/>
        </w:trPr>
        <w:tc>
          <w:tcPr>
            <w:tcW w:w="3830" w:type="dxa"/>
            <w:gridSpan w:val="2"/>
            <w:vAlign w:val="center"/>
          </w:tcPr>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拼缝宽度（与设计值比）</w:t>
            </w:r>
          </w:p>
        </w:tc>
        <w:tc>
          <w:tcPr>
            <w:tcW w:w="2132" w:type="dxa"/>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w:t>
            </w:r>
          </w:p>
        </w:tc>
        <w:tc>
          <w:tcPr>
            <w:tcW w:w="2438"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卡尺</w:t>
            </w:r>
          </w:p>
        </w:tc>
      </w:tr>
    </w:tbl>
    <w:p w:rsidR="008D4CCF">
      <w:pPr>
        <w:pStyle w:val="Normal0"/>
        <w:spacing w:line="440" w:lineRule="atLeast"/>
        <w:rPr>
          <w:rFonts w:ascii="宋体-PUA" w:eastAsia="宋体-PUA" w:hAnsi="宋体-PUA" w:cs="宋体-PUA"/>
          <w:sz w:val="21"/>
          <w:szCs w:val="21"/>
        </w:rPr>
      </w:pPr>
    </w:p>
    <w:p w:rsidR="008D4CCF">
      <w:pPr>
        <w:pStyle w:val="Heading2"/>
        <w:numPr>
          <w:ilvl w:val="0"/>
          <w:numId w:val="0"/>
        </w:numPr>
        <w:spacing w:line="440" w:lineRule="atLeast"/>
        <w:ind w:left="280"/>
        <w:rPr>
          <w:rFonts w:ascii="宋体-PUA" w:eastAsia="宋体-PUA" w:hAnsi="宋体-PUA" w:cs="宋体-PUA"/>
          <w:b/>
          <w:bCs/>
          <w:sz w:val="21"/>
          <w:szCs w:val="21"/>
        </w:rPr>
      </w:pPr>
      <w:bookmarkStart w:id="6" w:name="_Toc7584"/>
      <w:bookmarkStart w:id="7" w:name="_Toc32573"/>
      <w:bookmarkStart w:id="8" w:name="_Toc32129"/>
      <w:r>
        <w:rPr>
          <w:rFonts w:ascii="宋体-PUA" w:eastAsia="宋体-PUA" w:hAnsi="宋体-PUA" w:cs="宋体-PUA" w:hint="eastAsia"/>
          <w:b/>
          <w:bCs/>
          <w:sz w:val="21"/>
          <w:szCs w:val="21"/>
          <w:lang w:eastAsia="zh-CN"/>
        </w:rPr>
        <w:t>二、</w:t>
      </w:r>
      <w:r>
        <w:rPr>
          <w:rFonts w:ascii="宋体-PUA" w:eastAsia="宋体-PUA" w:hAnsi="宋体-PUA" w:cs="宋体-PUA" w:hint="eastAsia"/>
          <w:b/>
          <w:bCs/>
          <w:sz w:val="21"/>
          <w:szCs w:val="21"/>
          <w:lang w:eastAsia="zh-CN"/>
        </w:rPr>
        <w:t>铝塑板檐口施工工艺</w:t>
      </w:r>
      <w:bookmarkEnd w:id="6"/>
      <w:bookmarkEnd w:id="7"/>
      <w:bookmarkEnd w:id="8"/>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lang w:eastAsia="zh-CN"/>
        </w:rPr>
        <w:t>（</w:t>
      </w:r>
      <w:r>
        <w:rPr>
          <w:rFonts w:ascii="宋体-PUA" w:eastAsia="宋体-PUA" w:hAnsi="宋体-PUA" w:cs="宋体-PUA" w:hint="eastAsia"/>
          <w:snapToGrid/>
          <w:sz w:val="21"/>
          <w:szCs w:val="21"/>
          <w:shd w:val="clear" w:color="auto" w:fill="FFFFFF"/>
          <w:lang w:eastAsia="zh-CN"/>
        </w:rPr>
        <w:t>1</w:t>
      </w:r>
      <w:r>
        <w:rPr>
          <w:rFonts w:ascii="宋体-PUA" w:eastAsia="宋体-PUA" w:hAnsi="宋体-PUA" w:cs="宋体-PUA" w:hint="eastAsia"/>
          <w:snapToGrid/>
          <w:sz w:val="21"/>
          <w:szCs w:val="21"/>
          <w:shd w:val="clear" w:color="auto" w:fill="FFFFFF"/>
          <w:lang w:eastAsia="zh-CN"/>
        </w:rPr>
        <w:t>）</w:t>
      </w:r>
      <w:r>
        <w:rPr>
          <w:rFonts w:ascii="宋体-PUA" w:eastAsia="宋体-PUA" w:hAnsi="宋体-PUA" w:cs="宋体-PUA" w:hint="eastAsia"/>
          <w:snapToGrid/>
          <w:sz w:val="21"/>
          <w:szCs w:val="21"/>
          <w:shd w:val="clear" w:color="auto" w:fill="FFFFFF"/>
        </w:rPr>
        <w:t>安装流程</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搭设脚手架→放线→固定钢架的连接件→焊接钢骨架→安装铝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板→收口构造处理→检验</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lang w:eastAsia="zh-CN"/>
        </w:rPr>
        <w:t>（</w:t>
      </w:r>
      <w:r>
        <w:rPr>
          <w:rFonts w:ascii="宋体-PUA" w:eastAsia="宋体-PUA" w:hAnsi="宋体-PUA" w:cs="宋体-PUA" w:hint="eastAsia"/>
          <w:snapToGrid/>
          <w:sz w:val="21"/>
          <w:szCs w:val="21"/>
          <w:shd w:val="clear" w:color="auto" w:fill="FFFFFF"/>
          <w:lang w:eastAsia="zh-CN"/>
        </w:rPr>
        <w:t>2</w:t>
      </w:r>
      <w:r>
        <w:rPr>
          <w:rFonts w:ascii="宋体-PUA" w:eastAsia="宋体-PUA" w:hAnsi="宋体-PUA" w:cs="宋体-PUA" w:hint="eastAsia"/>
          <w:snapToGrid/>
          <w:sz w:val="21"/>
          <w:szCs w:val="21"/>
          <w:shd w:val="clear" w:color="auto" w:fill="FFFFFF"/>
          <w:lang w:eastAsia="zh-CN"/>
        </w:rPr>
        <w:t>）</w:t>
      </w:r>
      <w:r>
        <w:rPr>
          <w:rFonts w:ascii="宋体-PUA" w:eastAsia="宋体-PUA" w:hAnsi="宋体-PUA" w:cs="宋体-PUA" w:hint="eastAsia"/>
          <w:snapToGrid/>
          <w:sz w:val="21"/>
          <w:szCs w:val="21"/>
          <w:shd w:val="clear" w:color="auto" w:fill="FFFFFF"/>
        </w:rPr>
        <w:t>安装注意事项</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1</w:t>
      </w:r>
      <w:r>
        <w:rPr>
          <w:rFonts w:ascii="宋体-PUA" w:eastAsia="宋体-PUA" w:hAnsi="宋体-PUA" w:cs="宋体-PUA" w:hint="eastAsia"/>
          <w:snapToGrid/>
          <w:sz w:val="21"/>
          <w:szCs w:val="21"/>
          <w:shd w:val="clear" w:color="auto" w:fill="FFFFFF"/>
        </w:rPr>
        <w:t>、</w:t>
      </w:r>
      <w:hyperlink r:id="rId7" w:history="1">
        <w:r>
          <w:rPr>
            <w:rFonts w:ascii="宋体-PUA" w:eastAsia="宋体-PUA" w:hAnsi="宋体-PUA" w:cs="宋体-PUA" w:hint="eastAsia"/>
            <w:snapToGrid/>
            <w:sz w:val="21"/>
            <w:szCs w:val="21"/>
            <w:shd w:val="clear" w:color="auto" w:fill="FFFFFF"/>
          </w:rPr>
          <w:t>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w:t>
        </w:r>
      </w:hyperlink>
      <w:r>
        <w:rPr>
          <w:rFonts w:ascii="宋体-PUA" w:eastAsia="宋体-PUA" w:hAnsi="宋体-PUA" w:cs="宋体-PUA" w:hint="eastAsia"/>
          <w:snapToGrid/>
          <w:sz w:val="21"/>
          <w:szCs w:val="21"/>
          <w:shd w:val="clear" w:color="auto" w:fill="FFFFFF"/>
        </w:rPr>
        <w:t>的品种、质量、颜色、花型、线条应符合设计要求，并应有产品合格证。</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2</w:t>
      </w:r>
      <w:r>
        <w:rPr>
          <w:rFonts w:ascii="宋体-PUA" w:eastAsia="宋体-PUA" w:hAnsi="宋体-PUA" w:cs="宋体-PUA" w:hint="eastAsia"/>
          <w:snapToGrid/>
          <w:sz w:val="21"/>
          <w:szCs w:val="21"/>
          <w:shd w:val="clear" w:color="auto" w:fill="FFFFFF"/>
        </w:rPr>
        <w:t>、雨棚钢骨架其规格、形状应符合设计要求，并应进行除锈、防锈处理。</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3</w:t>
      </w:r>
      <w:r>
        <w:rPr>
          <w:rFonts w:ascii="宋体-PUA" w:eastAsia="宋体-PUA" w:hAnsi="宋体-PUA" w:cs="宋体-PUA" w:hint="eastAsia"/>
          <w:snapToGrid/>
          <w:sz w:val="21"/>
          <w:szCs w:val="21"/>
          <w:shd w:val="clear" w:color="auto" w:fill="FFFFFF"/>
        </w:rPr>
        <w:t>、</w:t>
      </w:r>
      <w:hyperlink r:id="rId7" w:history="1">
        <w:r>
          <w:rPr>
            <w:rFonts w:ascii="宋体-PUA" w:eastAsia="宋体-PUA" w:hAnsi="宋体-PUA" w:cs="宋体-PUA" w:hint="eastAsia"/>
            <w:snapToGrid/>
            <w:sz w:val="21"/>
            <w:szCs w:val="21"/>
            <w:shd w:val="clear" w:color="auto" w:fill="FFFFFF"/>
          </w:rPr>
          <w:t>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板安装</w:t>
        </w:r>
      </w:hyperlink>
      <w:r>
        <w:rPr>
          <w:rFonts w:ascii="宋体-PUA" w:eastAsia="宋体-PUA" w:hAnsi="宋体-PUA" w:cs="宋体-PUA" w:hint="eastAsia"/>
          <w:snapToGrid/>
          <w:sz w:val="21"/>
          <w:szCs w:val="21"/>
          <w:shd w:val="clear" w:color="auto" w:fill="FFFFFF"/>
        </w:rPr>
        <w:t>，当设计无要求时，宜采用抽芯铝铆钉，中间必须垫橡胶圈。抽芯铆钉间距以控制在</w:t>
      </w:r>
      <w:r>
        <w:rPr>
          <w:rFonts w:ascii="宋体-PUA" w:eastAsia="宋体-PUA" w:hAnsi="宋体-PUA" w:cs="宋体-PUA" w:hint="eastAsia"/>
          <w:snapToGrid/>
          <w:sz w:val="21"/>
          <w:szCs w:val="21"/>
          <w:shd w:val="clear" w:color="auto" w:fill="FFFFFF"/>
        </w:rPr>
        <w:t>100-150mm</w:t>
      </w:r>
      <w:r>
        <w:rPr>
          <w:rFonts w:ascii="宋体-PUA" w:eastAsia="宋体-PUA" w:hAnsi="宋体-PUA" w:cs="宋体-PUA" w:hint="eastAsia"/>
          <w:snapToGrid/>
          <w:sz w:val="21"/>
          <w:szCs w:val="21"/>
          <w:shd w:val="clear" w:color="auto" w:fill="FFFFFF"/>
        </w:rPr>
        <w:t>内。</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rPr>
        <w:t>一</w:t>
      </w: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放线</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固定钢骨架，将骨架的位置弹到基层上。骨架固定在主体结构上，放线前检查主体结构的质量。</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（二）固定骨架的连接件</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在主体结构的柱上焊接连接件固定骨架。</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（三）固定骨架</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骨架焊接后进行防腐处理。安装骨架位置准确，结构牢固。安装完检查中心线、表面标高等。为了保证板的安装精度，宜用经纬仪对横梁竖框杆件进行贯通。对变形缝、沉降缝、变截面处等进行妥善处理，使其满足使用要求。</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（四）</w:t>
      </w:r>
      <w:hyperlink r:id="rId7" w:history="1">
        <w:r>
          <w:rPr>
            <w:rFonts w:ascii="宋体-PUA" w:eastAsia="宋体-PUA" w:hAnsi="宋体-PUA" w:cs="宋体-PUA" w:hint="eastAsia"/>
            <w:snapToGrid/>
            <w:sz w:val="21"/>
            <w:szCs w:val="21"/>
            <w:shd w:val="clear" w:color="auto" w:fill="FFFFFF"/>
          </w:rPr>
          <w:t>安装铝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w:t>
        </w:r>
      </w:hyperlink>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板的安装固定要牢固可靠，简便易行。</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1</w:t>
      </w:r>
      <w:r>
        <w:rPr>
          <w:rFonts w:ascii="宋体-PUA" w:eastAsia="宋体-PUA" w:hAnsi="宋体-PUA" w:cs="宋体-PUA" w:hint="eastAsia"/>
          <w:snapToGrid/>
          <w:sz w:val="21"/>
          <w:szCs w:val="21"/>
          <w:shd w:val="clear" w:color="auto" w:fill="FFFFFF"/>
        </w:rPr>
        <w:t>、板与板之间的间隙要进行内部处理，使其平整、光滑。</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2</w:t>
      </w:r>
      <w:r>
        <w:rPr>
          <w:rFonts w:ascii="宋体-PUA" w:eastAsia="宋体-PUA" w:hAnsi="宋体-PUA" w:cs="宋体-PUA" w:hint="eastAsia"/>
          <w:snapToGrid/>
          <w:sz w:val="21"/>
          <w:szCs w:val="21"/>
          <w:shd w:val="clear" w:color="auto" w:fill="FFFFFF"/>
        </w:rPr>
        <w:t>、铝板安装完毕，在易于被污染的部位，用塑料薄膜或其他材料覆盖保护。</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rPr>
        <w:t>一、幕墙所用工具：</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sectPr>
          <w:type w:val="nextPage"/>
          <w:pgSz w:w="11906" w:h="16838"/>
          <w:pgMar w:top="1417" w:right="1134" w:bottom="1134" w:left="1134" w:header="851" w:footer="992" w:gutter="0"/>
          <w:pgNumType w:start="10"/>
          <w:cols w:space="708"/>
          <w:titlePg w:val="0"/>
          <w:docGrid w:type="lines" w:linePitch="312"/>
        </w:sectPr>
      </w:pPr>
      <w:r>
        <w:rPr>
          <w:rFonts w:ascii="宋体-PUA" w:eastAsia="宋体-PUA" w:hAnsi="宋体-PUA" w:cs="宋体-PUA" w:hint="eastAsia"/>
          <w:snapToGrid/>
          <w:sz w:val="21"/>
          <w:szCs w:val="21"/>
          <w:shd w:val="clear" w:color="auto" w:fill="FFFFFF"/>
        </w:rPr>
        <w:t>无齿锯片切割机、手电钻、冲击电钻、射钉枪、各种规格的钻花、扳手、螺丝刀、手锤、墨线、线垂、尼龙线、钢卷尺、电焊机、氧切设备、受动吸盘、电动吊蓝、注胶枪、风动拉铆枪、安全带等。</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rPr>
        <w:t>二、材料进场前的准备工作</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rPr>
        <w:t>此部分工作为工程的起始阶段，要以为施工服务为原则，按期、保质、保量地完成，具体如下：</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（一）设计人员需在合同签订后，根据本工程的建筑图和幕墙工程方案图，在最短的时间内提出本工程的用料计划表。</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（二）项目经理部与生产部互相配合</w:t>
      </w: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依据施工进度计划表和工程现场的实际情况作出本工程的加工计划</w:t>
      </w: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合理组织、</w:t>
      </w:r>
      <w:r>
        <w:rPr>
          <w:rFonts w:ascii="宋体-PUA" w:eastAsia="宋体-PUA" w:hAnsi="宋体-PUA" w:cs="宋体-PUA" w:hint="eastAsia"/>
          <w:snapToGrid/>
          <w:sz w:val="21"/>
          <w:szCs w:val="21"/>
          <w:shd w:val="clear" w:color="auto" w:fill="FFFFFF"/>
        </w:rPr>
        <w:t>安排生产，保证产品及时到场。</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三、安装工艺流程</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放线→固定骨架的连接件→固定骨架→安装铝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板→收口构造处理→检验</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rPr>
        <w:t>四、安装注意事项</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1</w:t>
      </w:r>
      <w:r>
        <w:rPr>
          <w:rFonts w:ascii="宋体-PUA" w:eastAsia="宋体-PUA" w:hAnsi="宋体-PUA" w:cs="宋体-PUA" w:hint="eastAsia"/>
          <w:snapToGrid/>
          <w:sz w:val="21"/>
          <w:szCs w:val="21"/>
          <w:shd w:val="clear" w:color="auto" w:fill="FFFFFF"/>
        </w:rPr>
        <w:t>、铝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板的品种、质量、颜色、花型、线条应符合设计要求，并应有产品合格证。</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2</w:t>
      </w:r>
      <w:r>
        <w:rPr>
          <w:rFonts w:ascii="宋体-PUA" w:eastAsia="宋体-PUA" w:hAnsi="宋体-PUA" w:cs="宋体-PUA" w:hint="eastAsia"/>
          <w:snapToGrid/>
          <w:sz w:val="21"/>
          <w:szCs w:val="21"/>
          <w:shd w:val="clear" w:color="auto" w:fill="FFFFFF"/>
        </w:rPr>
        <w:t>、幕墙墙体骨架如采用型钢龙骨时，其规格、形状应符合设计要求，并应进行除锈、防锈处理。</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3</w:t>
      </w:r>
      <w:r>
        <w:rPr>
          <w:rFonts w:ascii="宋体-PUA" w:eastAsia="宋体-PUA" w:hAnsi="宋体-PUA" w:cs="宋体-PUA" w:hint="eastAsia"/>
          <w:snapToGrid/>
          <w:sz w:val="21"/>
          <w:szCs w:val="21"/>
          <w:shd w:val="clear" w:color="auto" w:fill="FFFFFF"/>
        </w:rPr>
        <w:t>、铝板安装，当设计无要求时，宜采用抽芯铝铆钉，中间必须垫橡胶圈。抽芯铆钉间距以控制在</w:t>
      </w:r>
      <w:r>
        <w:rPr>
          <w:rFonts w:ascii="宋体-PUA" w:eastAsia="宋体-PUA" w:hAnsi="宋体-PUA" w:cs="宋体-PUA" w:hint="eastAsia"/>
          <w:snapToGrid/>
          <w:sz w:val="21"/>
          <w:szCs w:val="21"/>
          <w:shd w:val="clear" w:color="auto" w:fill="FFFFFF"/>
        </w:rPr>
        <w:t>100-150mm</w:t>
      </w:r>
      <w:r>
        <w:rPr>
          <w:rFonts w:ascii="宋体-PUA" w:eastAsia="宋体-PUA" w:hAnsi="宋体-PUA" w:cs="宋体-PUA" w:hint="eastAsia"/>
          <w:snapToGrid/>
          <w:sz w:val="21"/>
          <w:szCs w:val="21"/>
          <w:shd w:val="clear" w:color="auto" w:fill="FFFFFF"/>
        </w:rPr>
        <w:t>内。</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rPr>
        <w:t>一</w:t>
      </w: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放线</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固定骨架，将骨架的位置弹到基层上。骨架固定在主体结构上，放线前检查主体结构的质量。</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（二）固定骨架的连接件</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在主体结构的柱上焊接连接件固定骨架。</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（三）固定骨架</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骨架预先进行防腐处理。安装骨架位置准确，结合牢固。安装完检查中心线、表面标高等。为了保证板的安装精度，宜用经纬仪对横梁竖框杆件进行贯通。对变形缝、沉降缝、变截面处等进行妥善处理，使其满足使用要求。</w:t>
      </w:r>
    </w:p>
    <w:p w:rsidR="008D4CCF">
      <w:pPr>
        <w:pStyle w:val="Normal0"/>
        <w:shd w:val="solid" w:color="FFFFFF" w:fill="auto"/>
        <w:autoSpaceDN w:val="0"/>
        <w:spacing w:line="440" w:lineRule="atLeast"/>
        <w:rPr>
          <w:rFonts w:ascii="宋体-PUA" w:eastAsia="宋体-PUA" w:hAnsi="宋体-PUA" w:cs="宋体-PUA"/>
          <w:snapToGrid/>
          <w:sz w:val="21"/>
          <w:szCs w:val="21"/>
        </w:rPr>
      </w:pPr>
      <w:r>
        <w:rPr>
          <w:rFonts w:ascii="宋体-PUA" w:eastAsia="宋体-PUA" w:hAnsi="宋体-PUA" w:cs="宋体-PUA" w:hint="eastAsia"/>
          <w:snapToGrid/>
          <w:sz w:val="21"/>
          <w:szCs w:val="21"/>
          <w:shd w:val="clear" w:color="auto" w:fill="FFFFFF"/>
        </w:rPr>
        <w:t>（四）安装</w:t>
      </w:r>
      <w:hyperlink r:id="rId7" w:history="1">
        <w:r>
          <w:rPr>
            <w:rFonts w:ascii="宋体-PUA" w:eastAsia="宋体-PUA" w:hAnsi="宋体-PUA" w:cs="宋体-PUA" w:hint="eastAsia"/>
            <w:snapToGrid/>
            <w:sz w:val="21"/>
            <w:szCs w:val="21"/>
          </w:rPr>
          <w:t>铝</w:t>
        </w:r>
        <w:r>
          <w:rPr>
            <w:rFonts w:ascii="宋体-PUA" w:eastAsia="宋体-PUA" w:hAnsi="宋体-PUA" w:cs="宋体-PUA" w:hint="eastAsia"/>
            <w:snapToGrid/>
            <w:sz w:val="21"/>
            <w:szCs w:val="21"/>
            <w:lang w:eastAsia="zh-CN"/>
          </w:rPr>
          <w:t>塑</w:t>
        </w:r>
        <w:r>
          <w:rPr>
            <w:rFonts w:ascii="宋体-PUA" w:eastAsia="宋体-PUA" w:hAnsi="宋体-PUA" w:cs="宋体-PUA" w:hint="eastAsia"/>
            <w:snapToGrid/>
            <w:sz w:val="21"/>
            <w:szCs w:val="21"/>
          </w:rPr>
          <w:t>板</w:t>
        </w:r>
      </w:hyperlink>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xml:space="preserve">   </w:t>
      </w:r>
      <w:r>
        <w:rPr>
          <w:rFonts w:ascii="宋体-PUA" w:eastAsia="宋体-PUA" w:hAnsi="宋体-PUA" w:cs="宋体-PUA" w:hint="eastAsia"/>
          <w:snapToGrid/>
          <w:sz w:val="21"/>
          <w:szCs w:val="21"/>
          <w:shd w:val="clear" w:color="auto" w:fill="FFFFFF"/>
        </w:rPr>
        <w:t>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板的安装固定要牢固可靠，简便易行。</w:t>
      </w:r>
    </w:p>
    <w:p w:rsidR="008D4CCF">
      <w:pPr>
        <w:pStyle w:val="Normal0"/>
        <w:shd w:val="solid" w:color="FFFFFF" w:fill="auto"/>
        <w:autoSpaceDN w:v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1</w:t>
      </w:r>
      <w:r>
        <w:rPr>
          <w:rFonts w:ascii="宋体-PUA" w:eastAsia="宋体-PUA" w:hAnsi="宋体-PUA" w:cs="宋体-PUA" w:hint="eastAsia"/>
          <w:snapToGrid/>
          <w:sz w:val="21"/>
          <w:szCs w:val="21"/>
          <w:shd w:val="clear" w:color="auto" w:fill="FFFFFF"/>
        </w:rPr>
        <w:t>、板与板之间的间隙要进行内部处理，使其平整、光滑。</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2</w:t>
      </w:r>
      <w:r>
        <w:rPr>
          <w:rFonts w:ascii="宋体-PUA" w:eastAsia="宋体-PUA" w:hAnsi="宋体-PUA" w:cs="宋体-PUA" w:hint="eastAsia"/>
          <w:snapToGrid/>
          <w:sz w:val="21"/>
          <w:szCs w:val="21"/>
          <w:shd w:val="clear" w:color="auto" w:fill="FFFFFF"/>
        </w:rPr>
        <w:t>、铝</w:t>
      </w:r>
      <w:r>
        <w:rPr>
          <w:rFonts w:ascii="宋体-PUA" w:eastAsia="宋体-PUA" w:hAnsi="宋体-PUA" w:cs="宋体-PUA" w:hint="eastAsia"/>
          <w:snapToGrid/>
          <w:sz w:val="21"/>
          <w:szCs w:val="21"/>
          <w:shd w:val="clear" w:color="auto" w:fill="FFFFFF"/>
          <w:lang w:eastAsia="zh-CN"/>
        </w:rPr>
        <w:t>塑</w:t>
      </w:r>
      <w:r>
        <w:rPr>
          <w:rFonts w:ascii="宋体-PUA" w:eastAsia="宋体-PUA" w:hAnsi="宋体-PUA" w:cs="宋体-PUA" w:hint="eastAsia"/>
          <w:snapToGrid/>
          <w:sz w:val="21"/>
          <w:szCs w:val="21"/>
          <w:shd w:val="clear" w:color="auto" w:fill="FFFFFF"/>
        </w:rPr>
        <w:t>板安装完毕，在易于被污染的部位，用塑料薄膜或其他材料覆盖保护。</w:t>
      </w:r>
    </w:p>
    <w:p w:rsidR="008D4CCF">
      <w:pPr>
        <w:pStyle w:val="Heading2"/>
        <w:numPr>
          <w:ilvl w:val="0"/>
          <w:numId w:val="0"/>
        </w:numPr>
        <w:spacing w:line="440" w:lineRule="atLeast"/>
        <w:ind w:left="280"/>
        <w:rPr>
          <w:rFonts w:ascii="宋体-PUA" w:eastAsia="宋体-PUA" w:hAnsi="宋体-PUA" w:cs="宋体-PUA"/>
          <w:b/>
          <w:bCs/>
          <w:sz w:val="21"/>
          <w:szCs w:val="21"/>
        </w:rPr>
      </w:pPr>
      <w:bookmarkStart w:id="9" w:name="_Toc27781"/>
      <w:bookmarkStart w:id="10" w:name="_Toc6127"/>
      <w:r>
        <w:rPr>
          <w:rFonts w:ascii="宋体-PUA" w:eastAsia="宋体-PUA" w:hAnsi="宋体-PUA" w:cs="宋体-PUA" w:hint="eastAsia"/>
          <w:b/>
          <w:bCs/>
          <w:sz w:val="21"/>
          <w:szCs w:val="21"/>
          <w:lang w:eastAsia="zh-CN"/>
        </w:rPr>
        <w:t>三、</w:t>
      </w:r>
      <w:r>
        <w:rPr>
          <w:rFonts w:ascii="宋体-PUA" w:eastAsia="宋体-PUA" w:hAnsi="宋体-PUA" w:cs="宋体-PUA" w:hint="eastAsia"/>
          <w:b/>
          <w:bCs/>
          <w:sz w:val="21"/>
          <w:szCs w:val="21"/>
        </w:rPr>
        <w:t>玻璃幕墙施工工艺</w:t>
      </w:r>
      <w:bookmarkEnd w:id="9"/>
      <w:bookmarkEnd w:id="10"/>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11"/>
          <w:cols w:space="708"/>
          <w:titlePg w:val="0"/>
          <w:docGrid w:type="lines" w:linePitch="312"/>
        </w:sectPr>
      </w:pPr>
      <w:r>
        <w:rPr>
          <w:rFonts w:ascii="宋体-PUA" w:eastAsia="宋体-PUA" w:hAnsi="宋体-PUA" w:cs="宋体-PUA" w:hint="eastAsia"/>
          <w:sz w:val="21"/>
          <w:szCs w:val="21"/>
        </w:rPr>
        <w:t>一、工艺特点</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（一）玻璃用硅酮结构密封胶固定在副框上，副框再用机械夹持的方法固定到主框格（立柱、横梁）上。结构玻璃装配组件与主框格完全分离，这是隐框玻璃幕墙构件式施工的最大特点之一。</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（二）结构玻璃装配组件在专业的生产车间制作，注胶质量、加工精度有保证，节约硅酮结构密封胶。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（三）立柱、横梁在生产厂家下料，加工精度高、材料浪费少。</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12"/>
          <w:cols w:space="708"/>
          <w:titlePg w:val="0"/>
          <w:docGrid w:type="lines" w:linePitch="312"/>
        </w:sectPr>
      </w:pPr>
      <w:r>
        <w:rPr>
          <w:rFonts w:ascii="宋体-PUA" w:eastAsia="宋体-PUA" w:hAnsi="宋体-PUA" w:cs="宋体-PUA" w:hint="eastAsia"/>
          <w:sz w:val="21"/>
          <w:szCs w:val="21"/>
        </w:rPr>
        <w:t>　　（四）施工现场减少结构玻璃装配组件制作这一关键工序，工期缩短、施工机具减少。</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（五）立柱、横梁、玻璃板材现场逐件安装，安装方便，调整容易。</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（六）施工简便，工</w:t>
      </w:r>
      <w:r>
        <w:rPr>
          <w:rFonts w:ascii="宋体-PUA" w:eastAsia="宋体-PUA" w:hAnsi="宋体-PUA" w:cs="宋体-PUA" w:hint="eastAsia"/>
          <w:sz w:val="21"/>
          <w:szCs w:val="21"/>
        </w:rPr>
        <w:t>艺流程清晰易懂，操作工人易于掌握，但对管理者的专业技能和统筹能力要求较高。</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二、工艺流程</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施工准备→测量放线→预埋件处理→连接角码安装→立柱安装→横梁安装→结构玻璃装配组件制作安装→清洁检查→竣工验收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三、施工操作要点</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（一）</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施工准备</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、材料准备：根据图纸及工程情况，编制详细的材料订货供应计划单。</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、施工机具：对所用机具进行检测，确保其性能良好。</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3</w:t>
      </w:r>
      <w:r>
        <w:rPr>
          <w:rFonts w:ascii="宋体-PUA" w:eastAsia="宋体-PUA" w:hAnsi="宋体-PUA" w:cs="宋体-PUA" w:hint="eastAsia"/>
          <w:sz w:val="21"/>
          <w:szCs w:val="21"/>
        </w:rPr>
        <w:t>、人员准备：对技术工人进行技术培训、交底。</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4</w:t>
      </w:r>
      <w:r>
        <w:rPr>
          <w:rFonts w:ascii="宋体-PUA" w:eastAsia="宋体-PUA" w:hAnsi="宋体-PUA" w:cs="宋体-PUA" w:hint="eastAsia"/>
          <w:sz w:val="21"/>
          <w:szCs w:val="21"/>
        </w:rPr>
        <w:t>、技术准备：熟悉图纸，准备有关图集、质量验收标准和内业资料所用的表格。</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（二）测量放线</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、测量依据</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测量放线是根据土建单位提供的中心线及标高点进行。幕墙设计一般是以建筑物的轴线为依据，玻璃幕墙的布置应与轴线取得一定的关系。所以必须对巳完工的土建结构进行测量。</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、测量方法</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建筑物外轮廓测量：根据土建标高基准线复测每一层预埋件标高中心线，据此线检查预埋件标高偏差，并作好记录；找出幕墙立柱与建筑轴线的关系，根据土建轴线测量立柱轴线，据此检查预埋件左右偏差，并作好记录。整理以上测量结果，确定幕墙立柱分隔的调整处理方案。</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幕墙立柱外平面定位：根据设计图</w:t>
      </w:r>
      <w:r>
        <w:rPr>
          <w:rFonts w:ascii="宋体-PUA" w:eastAsia="宋体-PUA" w:hAnsi="宋体-PUA" w:cs="宋体-PUA" w:hint="eastAsia"/>
          <w:sz w:val="21"/>
          <w:szCs w:val="21"/>
        </w:rPr>
        <w:t>纸和土建结构误差确定幕墙立柱外平面轴线距建筑物外平面轴线的距离，在墙面顶部合适位置用钢琴线定出。</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幕墙立柱外平面轴线。</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幕墙立柱轴线定位：幕墙前后位置确定后，结合建筑物外轮廓测量结果，用钢琴线定出每条立柱的左右位置。每一定位轴线间的误差在本定位轴线间消化，误差在每个分格间分摊小于</w:t>
      </w:r>
      <w:r>
        <w:rPr>
          <w:rFonts w:ascii="宋体-PUA" w:eastAsia="宋体-PUA" w:hAnsi="宋体-PUA" w:cs="宋体-PUA" w:hint="eastAsia"/>
          <w:sz w:val="21"/>
          <w:szCs w:val="21"/>
        </w:rPr>
        <w:t>2mm</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幕墙立柱标高定位：确定每层立柱顶标高与楼层标高的关系，沿楼板外沿弹出墨线定出立柱顶标高线。</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3</w:t>
      </w:r>
      <w:r>
        <w:rPr>
          <w:rFonts w:ascii="宋体-PUA" w:eastAsia="宋体-PUA" w:hAnsi="宋体-PUA" w:cs="宋体-PUA" w:hint="eastAsia"/>
          <w:sz w:val="21"/>
          <w:szCs w:val="21"/>
        </w:rPr>
        <w:t>、测量工具</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经纬仪、水准仪（有时也用水平管）和线坠。</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（三）预埋件偏差过大的修补</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、预埋</w:t>
      </w:r>
      <w:r>
        <w:rPr>
          <w:rFonts w:ascii="宋体-PUA" w:eastAsia="宋体-PUA" w:hAnsi="宋体-PUA" w:cs="宋体-PUA" w:hint="eastAsia"/>
          <w:sz w:val="21"/>
          <w:szCs w:val="21"/>
        </w:rPr>
        <w:t>件安装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13"/>
          <w:cols w:space="708"/>
          <w:titlePg w:val="0"/>
          <w:docGrid w:type="lines" w:linePitch="312"/>
        </w:sectPr>
      </w:pP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、质量要求</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预埋件位置准确、埋设牢固。标高偏差不大于</w:t>
      </w:r>
      <w:r>
        <w:rPr>
          <w:rFonts w:ascii="宋体-PUA" w:eastAsia="宋体-PUA" w:hAnsi="宋体-PUA" w:cs="宋体-PUA" w:hint="eastAsia"/>
          <w:sz w:val="21"/>
          <w:szCs w:val="21"/>
        </w:rPr>
        <w:t>9mm</w:t>
      </w:r>
      <w:r>
        <w:rPr>
          <w:rFonts w:ascii="宋体-PUA" w:eastAsia="宋体-PUA" w:hAnsi="宋体-PUA" w:cs="宋体-PUA" w:hint="eastAsia"/>
          <w:sz w:val="21"/>
          <w:szCs w:val="21"/>
        </w:rPr>
        <w:t>，左右位移不大于</w:t>
      </w:r>
      <w:r>
        <w:rPr>
          <w:rFonts w:ascii="宋体-PUA" w:eastAsia="宋体-PUA" w:hAnsi="宋体-PUA" w:cs="宋体-PUA" w:hint="eastAsia"/>
          <w:sz w:val="21"/>
          <w:szCs w:val="21"/>
        </w:rPr>
        <w:t>20mm</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3</w:t>
      </w:r>
      <w:r>
        <w:rPr>
          <w:rFonts w:ascii="宋体-PUA" w:eastAsia="宋体-PUA" w:hAnsi="宋体-PUA" w:cs="宋体-PUA" w:hint="eastAsia"/>
          <w:sz w:val="21"/>
          <w:szCs w:val="21"/>
        </w:rPr>
        <w:t>、预埋件偏差过大的修补办法</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连接角码端部在钢板外无法焊接时，切短角码，增加焊缝长度；角码侧边无法焊接时，切去角码边缘，留出焊缝；预埋板两个方向偏差很大时，补钢板；预埋板凹入或倾斜过大时，补加垫板。</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（四）立柱制作安装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立柱制作</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为节约铝材和减少现场加工，在立柱材料订购时，附上准确的立柱加工图，委托铝材生产厂家按图加工。立柱加工图在立柱测量放线完毕后由现场技术员绘制。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立柱安装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立柱安装前，先把芯套（接长立柱与立柱用，上下层立柱之间留</w:t>
      </w:r>
      <w:r>
        <w:rPr>
          <w:rFonts w:ascii="宋体-PUA" w:eastAsia="宋体-PUA" w:hAnsi="宋体-PUA" w:cs="宋体-PUA" w:hint="eastAsia"/>
          <w:sz w:val="21"/>
          <w:szCs w:val="21"/>
        </w:rPr>
        <w:t>20mm</w:t>
      </w:r>
      <w:r>
        <w:rPr>
          <w:rFonts w:ascii="宋体-PUA" w:eastAsia="宋体-PUA" w:hAnsi="宋体-PUA" w:cs="宋体-PUA" w:hint="eastAsia"/>
          <w:sz w:val="21"/>
          <w:szCs w:val="21"/>
        </w:rPr>
        <w:t>以上的伸人缝。）插入立柱内，然后在立柱上钻孔，将连接角码用不锈钢螺栓安装在立柱上，二者之间用防腐垫片隔开。</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立柱安装顺序由下至上。</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第一条立柱安装：两个操作工人把立柱搬运到安装工作面上，使立柱上巳有的中心线和测量时所定的立柱站线（钢琴线）重合，立柱顶和测量时所定的标高控制线水平，另一焊工把连接角码临时点焊在预埋钢板上，然后调整立柱位置。第一条立柱准确无误后，把上一层立柱套入下一层立柱芯套，就位准确后点焊。</w:t>
      </w:r>
      <w:r>
        <w:rPr>
          <w:rFonts w:ascii="宋体-PUA" w:eastAsia="宋体-PUA" w:hAnsi="宋体-PUA" w:cs="宋体-PUA" w:hint="eastAsia"/>
          <w:sz w:val="21"/>
          <w:szCs w:val="21"/>
        </w:rPr>
        <w:t>如此循环，完成一组立柱安装。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一面幕墙立柱安装完毕，经检查位置准确、安装牢固后，再按焊缝要求加焊。立柱安装标高偏差不应大于</w:t>
      </w:r>
      <w:r>
        <w:rPr>
          <w:rFonts w:ascii="宋体-PUA" w:eastAsia="宋体-PUA" w:hAnsi="宋体-PUA" w:cs="宋体-PUA" w:hint="eastAsia"/>
          <w:sz w:val="21"/>
          <w:szCs w:val="21"/>
        </w:rPr>
        <w:t>3mm</w:t>
      </w:r>
      <w:r>
        <w:rPr>
          <w:rFonts w:ascii="宋体-PUA" w:eastAsia="宋体-PUA" w:hAnsi="宋体-PUA" w:cs="宋体-PUA" w:hint="eastAsia"/>
          <w:sz w:val="21"/>
          <w:szCs w:val="21"/>
        </w:rPr>
        <w:t>，轴线前后偏差不应大于</w:t>
      </w:r>
      <w:r>
        <w:rPr>
          <w:rFonts w:ascii="宋体-PUA" w:eastAsia="宋体-PUA" w:hAnsi="宋体-PUA" w:cs="宋体-PUA" w:hint="eastAsia"/>
          <w:sz w:val="21"/>
          <w:szCs w:val="21"/>
        </w:rPr>
        <w:t>2mm</w:t>
      </w:r>
      <w:r>
        <w:rPr>
          <w:rFonts w:ascii="宋体-PUA" w:eastAsia="宋体-PUA" w:hAnsi="宋体-PUA" w:cs="宋体-PUA" w:hint="eastAsia"/>
          <w:sz w:val="21"/>
          <w:szCs w:val="21"/>
        </w:rPr>
        <w:t>，左右偏差应大于</w:t>
      </w:r>
      <w:r>
        <w:rPr>
          <w:rFonts w:ascii="宋体-PUA" w:eastAsia="宋体-PUA" w:hAnsi="宋体-PUA" w:cs="宋体-PUA" w:hint="eastAsia"/>
          <w:sz w:val="21"/>
          <w:szCs w:val="21"/>
        </w:rPr>
        <w:t>3mm</w:t>
      </w:r>
      <w:r>
        <w:rPr>
          <w:rFonts w:ascii="宋体-PUA" w:eastAsia="宋体-PUA" w:hAnsi="宋体-PUA" w:cs="宋体-PUA" w:hint="eastAsia"/>
          <w:sz w:val="21"/>
          <w:szCs w:val="21"/>
        </w:rPr>
        <w:t>；相邻两根立柱安装标高偏差不应大于</w:t>
      </w:r>
      <w:r>
        <w:rPr>
          <w:rFonts w:ascii="宋体-PUA" w:eastAsia="宋体-PUA" w:hAnsi="宋体-PUA" w:cs="宋体-PUA" w:hint="eastAsia"/>
          <w:sz w:val="21"/>
          <w:szCs w:val="21"/>
        </w:rPr>
        <w:t>3mm</w:t>
      </w:r>
      <w:r>
        <w:rPr>
          <w:rFonts w:ascii="宋体-PUA" w:eastAsia="宋体-PUA" w:hAnsi="宋体-PUA" w:cs="宋体-PUA" w:hint="eastAsia"/>
          <w:sz w:val="21"/>
          <w:szCs w:val="21"/>
        </w:rPr>
        <w:t>，同层立柱的最大标高偏差不应大于</w:t>
      </w:r>
      <w:r>
        <w:rPr>
          <w:rFonts w:ascii="宋体-PUA" w:eastAsia="宋体-PUA" w:hAnsi="宋体-PUA" w:cs="宋体-PUA" w:hint="eastAsia"/>
          <w:sz w:val="21"/>
          <w:szCs w:val="21"/>
        </w:rPr>
        <w:t>5mm</w:t>
      </w:r>
      <w:r>
        <w:rPr>
          <w:rFonts w:ascii="宋体-PUA" w:eastAsia="宋体-PUA" w:hAnsi="宋体-PUA" w:cs="宋体-PUA" w:hint="eastAsia"/>
          <w:sz w:val="21"/>
          <w:szCs w:val="21"/>
        </w:rPr>
        <w:t>；相邻两根立柱的距离偏差不应大于</w:t>
      </w:r>
      <w:r>
        <w:rPr>
          <w:rFonts w:ascii="宋体-PUA" w:eastAsia="宋体-PUA" w:hAnsi="宋体-PUA" w:cs="宋体-PUA" w:hint="eastAsia"/>
          <w:sz w:val="21"/>
          <w:szCs w:val="21"/>
        </w:rPr>
        <w:t>2mm</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（五）横梁制作安装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、横梁由厂家根据加工图加工好后送工地现场安装。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、横梁位置测量</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用水准仪把楼层标高线引到立柱上。以楼层标高线为基准，在立柱侧面标出横梁位置。每一层间横梁分隔的误差在</w:t>
      </w:r>
      <w:r>
        <w:rPr>
          <w:rFonts w:ascii="宋体-PUA" w:eastAsia="宋体-PUA" w:hAnsi="宋体-PUA" w:cs="宋体-PUA" w:hint="eastAsia"/>
          <w:sz w:val="21"/>
          <w:szCs w:val="21"/>
        </w:rPr>
        <w:t>本层内消化，不得积累。</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3</w:t>
      </w:r>
      <w:r>
        <w:rPr>
          <w:rFonts w:ascii="宋体-PUA" w:eastAsia="宋体-PUA" w:hAnsi="宋体-PUA" w:cs="宋体-PUA" w:hint="eastAsia"/>
          <w:sz w:val="21"/>
          <w:szCs w:val="21"/>
        </w:rPr>
        <w:t>、横梁安装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将横梁两端的连接件（铝角码）和弹性橡胶垫安装在立柱的预定位置，要求安装牢固、接缝严密。同一层横梁的安装应由下向上进行，当安装完一层高度时，应进行检查、调整、校正、固定，使其符合质量要求。相邻两根横梁的水平标高偏差不应大于</w:t>
      </w:r>
      <w:r>
        <w:rPr>
          <w:rFonts w:ascii="宋体-PUA" w:eastAsia="宋体-PUA" w:hAnsi="宋体-PUA" w:cs="宋体-PUA" w:hint="eastAsia"/>
          <w:sz w:val="21"/>
          <w:szCs w:val="21"/>
        </w:rPr>
        <w:t>1mm</w:t>
      </w:r>
      <w:r>
        <w:rPr>
          <w:rFonts w:ascii="宋体-PUA" w:eastAsia="宋体-PUA" w:hAnsi="宋体-PUA" w:cs="宋体-PUA" w:hint="eastAsia"/>
          <w:sz w:val="21"/>
          <w:szCs w:val="21"/>
        </w:rPr>
        <w:t>。同层标高偏差：当一幅宽度小于或等于</w:t>
      </w:r>
      <w:r>
        <w:rPr>
          <w:rFonts w:ascii="宋体-PUA" w:eastAsia="宋体-PUA" w:hAnsi="宋体-PUA" w:cs="宋体-PUA" w:hint="eastAsia"/>
          <w:sz w:val="21"/>
          <w:szCs w:val="21"/>
        </w:rPr>
        <w:t>35m</w:t>
      </w:r>
      <w:r>
        <w:rPr>
          <w:rFonts w:ascii="宋体-PUA" w:eastAsia="宋体-PUA" w:hAnsi="宋体-PUA" w:cs="宋体-PUA" w:hint="eastAsia"/>
          <w:sz w:val="21"/>
          <w:szCs w:val="21"/>
        </w:rPr>
        <w:t>时，不应大于</w:t>
      </w:r>
      <w:r>
        <w:rPr>
          <w:rFonts w:ascii="宋体-PUA" w:eastAsia="宋体-PUA" w:hAnsi="宋体-PUA" w:cs="宋体-PUA" w:hint="eastAsia"/>
          <w:sz w:val="21"/>
          <w:szCs w:val="21"/>
        </w:rPr>
        <w:t>5mm</w:t>
      </w:r>
      <w:r>
        <w:rPr>
          <w:rFonts w:ascii="宋体-PUA" w:eastAsia="宋体-PUA" w:hAnsi="宋体-PUA" w:cs="宋体-PUA" w:hint="eastAsia"/>
          <w:sz w:val="21"/>
          <w:szCs w:val="21"/>
        </w:rPr>
        <w:t>；当一幅宽度大于</w:t>
      </w:r>
      <w:r>
        <w:rPr>
          <w:rFonts w:ascii="宋体-PUA" w:eastAsia="宋体-PUA" w:hAnsi="宋体-PUA" w:cs="宋体-PUA" w:hint="eastAsia"/>
          <w:sz w:val="21"/>
          <w:szCs w:val="21"/>
        </w:rPr>
        <w:t>35m</w:t>
      </w:r>
      <w:r>
        <w:rPr>
          <w:rFonts w:ascii="宋体-PUA" w:eastAsia="宋体-PUA" w:hAnsi="宋体-PUA" w:cs="宋体-PUA" w:hint="eastAsia"/>
          <w:sz w:val="21"/>
          <w:szCs w:val="21"/>
        </w:rPr>
        <w:t>时，不应大于</w:t>
      </w:r>
      <w:r>
        <w:rPr>
          <w:rFonts w:ascii="宋体-PUA" w:eastAsia="宋体-PUA" w:hAnsi="宋体-PUA" w:cs="宋体-PUA" w:hint="eastAsia"/>
          <w:sz w:val="21"/>
          <w:szCs w:val="21"/>
        </w:rPr>
        <w:t>7mm</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（六）结构玻璃装配组件制作</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结构玻璃装配组件在专业的生产车间制作，加工工艺如下：</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14"/>
          <w:cols w:space="708"/>
          <w:titlePg w:val="0"/>
          <w:docGrid w:type="lines" w:linePitch="312"/>
        </w:sectPr>
      </w:pP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、铝框装配</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铝型材下料后，应</w:t>
      </w:r>
      <w:r>
        <w:rPr>
          <w:rFonts w:ascii="宋体-PUA" w:eastAsia="宋体-PUA" w:hAnsi="宋体-PUA" w:cs="宋体-PUA" w:hint="eastAsia"/>
          <w:sz w:val="21"/>
          <w:szCs w:val="21"/>
        </w:rPr>
        <w:t>在专门的工作台上进行装配。大批量生产铝框时应在工作台上设置模具，按固定的模具装配，保证铝框装配的均一性。装配后的铝框应进行下列项目检查：铝框对边尺寸长度差；铝框对角线长度差；铝料之间的装配缝隙；相邻铝料之间的平整度。</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、玻璃制作</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玻璃由产家按要求加工好后送铝框装配车间。</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3</w:t>
      </w:r>
      <w:r>
        <w:rPr>
          <w:rFonts w:ascii="宋体-PUA" w:eastAsia="宋体-PUA" w:hAnsi="宋体-PUA" w:cs="宋体-PUA" w:hint="eastAsia"/>
          <w:sz w:val="21"/>
          <w:szCs w:val="21"/>
        </w:rPr>
        <w:t>、净化</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净化是结构玻璃装配生产最关键的工序，只有对基材表面认真按工艺要求进行净化，才能制造出具有规定可靠度的结构玻璃装配组件。对油性污渍用二甲苯，；对非油性污渍，用异丙醇、水各一半的混合溶剂。净化方法用两块抹布法</w:t>
      </w:r>
      <w:r>
        <w:rPr>
          <w:rFonts w:ascii="宋体-PUA" w:eastAsia="宋体-PUA" w:hAnsi="宋体-PUA" w:cs="宋体-PUA" w:hint="eastAsia"/>
          <w:sz w:val="21"/>
          <w:szCs w:val="21"/>
        </w:rPr>
        <w:t>：将溶剂倒在一块抹布上，对基材表面顺一个方向依次擦抹，在溶解了污渍的溶剂未挥发前，用一块干净的抹布将溶解了污渍的溶剂擦抹干净（如果这块抹布巳脏要再换一块干净的抹布）。不能在溶剂挥发后再擦，因为溶剂挥发后，污渍仍残留在基材表面，干抹布是擦不掉的。</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抹布要用不脱色，不脱绒的棉布，同时要注意溶剂只能倒到抹布上，不能用抹布到容器内去蘸溶剂，以防止巳沾有污渍的抹布污染了溶剂。净化后</w:t>
      </w:r>
      <w:r>
        <w:rPr>
          <w:rFonts w:ascii="宋体-PUA" w:eastAsia="宋体-PUA" w:hAnsi="宋体-PUA" w:cs="宋体-PUA" w:hint="eastAsia"/>
          <w:sz w:val="21"/>
          <w:szCs w:val="21"/>
        </w:rPr>
        <w:t>30</w:t>
      </w:r>
      <w:r>
        <w:rPr>
          <w:rFonts w:ascii="宋体-PUA" w:eastAsia="宋体-PUA" w:hAnsi="宋体-PUA" w:cs="宋体-PUA" w:hint="eastAsia"/>
          <w:sz w:val="21"/>
          <w:szCs w:val="21"/>
        </w:rPr>
        <w:t>分钟内立即进行涂胶，因为如果净化后停留的时间太长，基材表面又会受到周围环境中污染物的污染，这时要重新净化后才能涂胶。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4</w:t>
      </w:r>
      <w:r>
        <w:rPr>
          <w:rFonts w:ascii="宋体-PUA" w:eastAsia="宋体-PUA" w:hAnsi="宋体-PUA" w:cs="宋体-PUA" w:hint="eastAsia"/>
          <w:sz w:val="21"/>
          <w:szCs w:val="21"/>
        </w:rPr>
        <w:t>、</w:t>
      </w:r>
      <w:r>
        <w:rPr>
          <w:rFonts w:ascii="宋体-PUA" w:eastAsia="宋体-PUA" w:hAnsi="宋体-PUA" w:cs="宋体-PUA" w:hint="eastAsia"/>
          <w:sz w:val="21"/>
          <w:szCs w:val="21"/>
        </w:rPr>
        <w:t>定位</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定位是使玻璃固定在铝框的规定位置上。一般采用定位夹具以保证两者的基准线重合。在定位平台上，沿平台一组相邻边设高约</w:t>
      </w:r>
      <w:r>
        <w:rPr>
          <w:rFonts w:ascii="宋体-PUA" w:eastAsia="宋体-PUA" w:hAnsi="宋体-PUA" w:cs="宋体-PUA" w:hint="eastAsia"/>
          <w:sz w:val="21"/>
          <w:szCs w:val="21"/>
        </w:rPr>
        <w:t>100mm</w:t>
      </w:r>
      <w:r>
        <w:rPr>
          <w:rFonts w:ascii="宋体-PUA" w:eastAsia="宋体-PUA" w:hAnsi="宋体-PUA" w:cs="宋体-PUA" w:hint="eastAsia"/>
          <w:sz w:val="21"/>
          <w:szCs w:val="21"/>
        </w:rPr>
        <w:t>的挡板，作为玻璃的定位基准，平台面上装置铝框定位夹具，按预定玻璃与铝框的设计位置，将铝框固定在平台上，按设计位置将双面胶条粘贴在铝框上，使玻璃沿挡扳落下，达到两者基准线重合。</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玻璃要做到一次定位成功，不能在定位不准时移动玻璃，因为玻璃一旦与双面胶条接触，不干胶粘在玻璃上，在这层不干胶上涂结构胶不能保证其与玻璃粘接牢固。玻璃定位后形成以玻璃与铝框为侧壁、垫条为底的空腹，其</w:t>
      </w:r>
      <w:r>
        <w:rPr>
          <w:rFonts w:ascii="宋体-PUA" w:eastAsia="宋体-PUA" w:hAnsi="宋体-PUA" w:cs="宋体-PUA" w:hint="eastAsia"/>
          <w:sz w:val="21"/>
          <w:szCs w:val="21"/>
        </w:rPr>
        <w:t>尺寸应与胶缝宽、厚尺寸一样。</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5</w:t>
      </w:r>
      <w:r>
        <w:rPr>
          <w:rFonts w:ascii="宋体-PUA" w:eastAsia="宋体-PUA" w:hAnsi="宋体-PUA" w:cs="宋体-PUA" w:hint="eastAsia"/>
          <w:sz w:val="21"/>
          <w:szCs w:val="21"/>
        </w:rPr>
        <w:t>、注胶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将注胶处周围</w:t>
      </w:r>
      <w:r>
        <w:rPr>
          <w:rFonts w:ascii="宋体-PUA" w:eastAsia="宋体-PUA" w:hAnsi="宋体-PUA" w:cs="宋体-PUA" w:hint="eastAsia"/>
          <w:sz w:val="21"/>
          <w:szCs w:val="21"/>
        </w:rPr>
        <w:t>5cm</w:t>
      </w:r>
      <w:r>
        <w:rPr>
          <w:rFonts w:ascii="宋体-PUA" w:eastAsia="宋体-PUA" w:hAnsi="宋体-PUA" w:cs="宋体-PUA" w:hint="eastAsia"/>
          <w:sz w:val="21"/>
          <w:szCs w:val="21"/>
        </w:rPr>
        <w:t>左右范围的铝型材或玻璃表面用不沾胶带纸保护起来，防止这些部位受胶污染；核对结构胶的品种、牌号、生产日期；用打胶机注胶，注胶时要保持适当的速度，使空腔内的空气排出，防止空穴，并将压缩空气挤胶时的空气排出，防止胶缝内残留气泡，保证胶缝饱满；一个组件注胶结束，立即用刮刀将胶缝压实刮平。注胶要求在无尘环境中进行。</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6</w:t>
      </w:r>
      <w:r>
        <w:rPr>
          <w:rFonts w:ascii="宋体-PUA" w:eastAsia="宋体-PUA" w:hAnsi="宋体-PUA" w:cs="宋体-PUA" w:hint="eastAsia"/>
          <w:sz w:val="21"/>
          <w:szCs w:val="21"/>
        </w:rPr>
        <w:t>、养护</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注胶后的板材应在静置场静置养护，单组份结构胶静置</w:t>
      </w:r>
      <w:r>
        <w:rPr>
          <w:rFonts w:ascii="宋体-PUA" w:eastAsia="宋体-PUA" w:hAnsi="宋体-PUA" w:cs="宋体-PUA" w:hint="eastAsia"/>
          <w:sz w:val="21"/>
          <w:szCs w:val="21"/>
        </w:rPr>
        <w:t>7</w:t>
      </w:r>
      <w:r>
        <w:rPr>
          <w:rFonts w:ascii="宋体-PUA" w:eastAsia="宋体-PUA" w:hAnsi="宋体-PUA" w:cs="宋体-PUA" w:hint="eastAsia"/>
          <w:sz w:val="21"/>
          <w:szCs w:val="21"/>
        </w:rPr>
        <w:t>天后才能运输。</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养护环境要求温度为</w:t>
      </w:r>
      <w:r>
        <w:rPr>
          <w:rFonts w:ascii="宋体-PUA" w:eastAsia="宋体-PUA" w:hAnsi="宋体-PUA" w:cs="宋体-PUA" w:hint="eastAsia"/>
          <w:sz w:val="21"/>
          <w:szCs w:val="21"/>
        </w:rPr>
        <w:t>23</w:t>
      </w:r>
      <w:r>
        <w:rPr>
          <w:rFonts w:ascii="宋体-PUA" w:eastAsia="宋体-PUA" w:hAnsi="宋体-PUA" w:cs="宋体-PUA" w:hint="eastAsia"/>
          <w:sz w:val="21"/>
          <w:szCs w:val="21"/>
        </w:rPr>
        <w:t>±</w:t>
      </w:r>
      <w:r>
        <w:rPr>
          <w:rFonts w:ascii="宋体-PUA" w:eastAsia="宋体-PUA" w:hAnsi="宋体-PUA" w:cs="宋体-PUA" w:hint="eastAsia"/>
          <w:sz w:val="21"/>
          <w:szCs w:val="21"/>
        </w:rPr>
        <w:t>5</w:t>
      </w:r>
      <w:r>
        <w:rPr>
          <w:rFonts w:ascii="宋体-PUA" w:eastAsia="宋体-PUA" w:hAnsi="宋体-PUA" w:cs="宋体-PUA" w:hint="eastAsia"/>
          <w:sz w:val="21"/>
          <w:szCs w:val="21"/>
        </w:rPr>
        <w:t>℃，相对湿度为</w:t>
      </w:r>
      <w:r>
        <w:rPr>
          <w:rFonts w:ascii="宋体-PUA" w:eastAsia="宋体-PUA" w:hAnsi="宋体-PUA" w:cs="宋体-PUA" w:hint="eastAsia"/>
          <w:sz w:val="21"/>
          <w:szCs w:val="21"/>
        </w:rPr>
        <w:t>70</w:t>
      </w:r>
      <w:r>
        <w:rPr>
          <w:rFonts w:ascii="宋体-PUA" w:eastAsia="宋体-PUA" w:hAnsi="宋体-PUA" w:cs="宋体-PUA" w:hint="eastAsia"/>
          <w:sz w:val="21"/>
          <w:szCs w:val="21"/>
        </w:rPr>
        <w:t>%</w:t>
      </w:r>
      <w:r>
        <w:rPr>
          <w:rFonts w:ascii="宋体-PUA" w:eastAsia="宋体-PUA" w:hAnsi="宋体-PUA" w:cs="宋体-PUA" w:hint="eastAsia"/>
          <w:sz w:val="21"/>
          <w:szCs w:val="21"/>
        </w:rPr>
        <w:t>±</w:t>
      </w:r>
      <w:r>
        <w:rPr>
          <w:rFonts w:ascii="宋体-PUA" w:eastAsia="宋体-PUA" w:hAnsi="宋体-PUA" w:cs="宋体-PUA" w:hint="eastAsia"/>
          <w:sz w:val="21"/>
          <w:szCs w:val="21"/>
        </w:rPr>
        <w:t>5%</w:t>
      </w:r>
      <w:r>
        <w:rPr>
          <w:rFonts w:ascii="宋体-PUA" w:eastAsia="宋体-PUA" w:hAnsi="宋体-PUA" w:cs="宋体-PUA" w:hint="eastAsia"/>
          <w:sz w:val="21"/>
          <w:szCs w:val="21"/>
        </w:rPr>
        <w:t>；养护时玻璃板块要搁平；叠放时叠高不宜超过</w:t>
      </w:r>
      <w:r>
        <w:rPr>
          <w:rFonts w:ascii="宋体-PUA" w:eastAsia="宋体-PUA" w:hAnsi="宋体-PUA" w:cs="宋体-PUA" w:hint="eastAsia"/>
          <w:sz w:val="21"/>
          <w:szCs w:val="21"/>
        </w:rPr>
        <w:t>7</w:t>
      </w:r>
      <w:r>
        <w:rPr>
          <w:rFonts w:ascii="宋体-PUA" w:eastAsia="宋体-PUA" w:hAnsi="宋体-PUA" w:cs="宋体-PUA" w:hint="eastAsia"/>
          <w:sz w:val="21"/>
          <w:szCs w:val="21"/>
        </w:rPr>
        <w:t>层，每块用</w:t>
      </w:r>
      <w:r>
        <w:rPr>
          <w:rFonts w:ascii="宋体-PUA" w:eastAsia="宋体-PUA" w:hAnsi="宋体-PUA" w:cs="宋体-PUA" w:hint="eastAsia"/>
          <w:sz w:val="21"/>
          <w:szCs w:val="21"/>
        </w:rPr>
        <w:t>4</w:t>
      </w:r>
      <w:r>
        <w:rPr>
          <w:rFonts w:ascii="宋体-PUA" w:eastAsia="宋体-PUA" w:hAnsi="宋体-PUA" w:cs="宋体-PUA" w:hint="eastAsia"/>
          <w:sz w:val="21"/>
          <w:szCs w:val="21"/>
        </w:rPr>
        <w:t>个等边立方体泡沫塑料块垫于下一层，立方体尺寸偏差≤</w:t>
      </w:r>
      <w:r>
        <w:rPr>
          <w:rFonts w:ascii="宋体-PUA" w:eastAsia="宋体-PUA" w:hAnsi="宋体-PUA" w:cs="宋体-PUA" w:hint="eastAsia"/>
          <w:sz w:val="21"/>
          <w:szCs w:val="21"/>
        </w:rPr>
        <w:t>0.5mm</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br/>
        <w:t xml:space="preserve"> </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 xml:space="preserve"> 7</w:t>
      </w:r>
      <w:r>
        <w:rPr>
          <w:rFonts w:ascii="宋体-PUA" w:eastAsia="宋体-PUA" w:hAnsi="宋体-PUA" w:cs="宋体-PUA" w:hint="eastAsia"/>
          <w:sz w:val="21"/>
          <w:szCs w:val="21"/>
        </w:rPr>
        <w:t>、试验</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在玻璃基材上用抽样时的单组份密封胶注堆</w:t>
      </w:r>
      <w:r>
        <w:rPr>
          <w:rFonts w:ascii="宋体-PUA" w:eastAsia="宋体-PUA" w:hAnsi="宋体-PUA" w:cs="宋体-PUA" w:hint="eastAsia"/>
          <w:sz w:val="21"/>
          <w:szCs w:val="21"/>
        </w:rPr>
        <w:t>15.3cm</w:t>
      </w:r>
      <w:r>
        <w:rPr>
          <w:rFonts w:ascii="宋体-PUA" w:eastAsia="宋体-PUA" w:hAnsi="宋体-PUA" w:cs="宋体-PUA" w:hint="eastAsia"/>
          <w:sz w:val="21"/>
          <w:szCs w:val="21"/>
        </w:rPr>
        <w:t>×</w:t>
      </w:r>
      <w:r>
        <w:rPr>
          <w:rFonts w:ascii="宋体-PUA" w:eastAsia="宋体-PUA" w:hAnsi="宋体-PUA" w:cs="宋体-PUA" w:hint="eastAsia"/>
          <w:sz w:val="21"/>
          <w:szCs w:val="21"/>
        </w:rPr>
        <w:t>7.7cm</w:t>
      </w:r>
      <w:r>
        <w:rPr>
          <w:rFonts w:ascii="宋体-PUA" w:eastAsia="宋体-PUA" w:hAnsi="宋体-PUA" w:cs="宋体-PUA" w:hint="eastAsia"/>
          <w:sz w:val="21"/>
          <w:szCs w:val="21"/>
        </w:rPr>
        <w:t>×</w:t>
      </w:r>
      <w:r>
        <w:rPr>
          <w:rFonts w:ascii="宋体-PUA" w:eastAsia="宋体-PUA" w:hAnsi="宋体-PUA" w:cs="宋体-PUA" w:hint="eastAsia"/>
          <w:sz w:val="21"/>
          <w:szCs w:val="21"/>
        </w:rPr>
        <w:t>0.65cm</w:t>
      </w:r>
      <w:r>
        <w:rPr>
          <w:rFonts w:ascii="宋体-PUA" w:eastAsia="宋体-PUA" w:hAnsi="宋体-PUA" w:cs="宋体-PUA" w:hint="eastAsia"/>
          <w:sz w:val="21"/>
          <w:szCs w:val="21"/>
        </w:rPr>
        <w:t>～</w:t>
      </w:r>
      <w:r>
        <w:rPr>
          <w:rFonts w:ascii="宋体-PUA" w:eastAsia="宋体-PUA" w:hAnsi="宋体-PUA" w:cs="宋体-PUA" w:hint="eastAsia"/>
          <w:sz w:val="21"/>
          <w:szCs w:val="21"/>
        </w:rPr>
        <w:t>1.3cm</w:t>
      </w:r>
      <w:r>
        <w:rPr>
          <w:rFonts w:ascii="宋体-PUA" w:eastAsia="宋体-PUA" w:hAnsi="宋体-PUA" w:cs="宋体-PUA" w:hint="eastAsia"/>
          <w:sz w:val="21"/>
          <w:szCs w:val="21"/>
        </w:rPr>
        <w:t>胶体作为切开试验样品；玻璃板块在规定的环境中养护</w:t>
      </w:r>
      <w:r>
        <w:rPr>
          <w:rFonts w:ascii="宋体-PUA" w:eastAsia="宋体-PUA" w:hAnsi="宋体-PUA" w:cs="宋体-PUA" w:hint="eastAsia"/>
          <w:sz w:val="21"/>
          <w:szCs w:val="21"/>
        </w:rPr>
        <w:t>7</w:t>
      </w:r>
      <w:r>
        <w:rPr>
          <w:rFonts w:ascii="宋体-PUA" w:eastAsia="宋体-PUA" w:hAnsi="宋体-PUA" w:cs="宋体-PUA" w:hint="eastAsia"/>
          <w:sz w:val="21"/>
          <w:szCs w:val="21"/>
        </w:rPr>
        <w:t>天后，将切开试验样品中部切开，观察切口胶体，如果是闪光的表面，则密封胶未完全固化，如果是平整或暗淡的表面则巳完全固化；如检查到</w:t>
      </w:r>
      <w:r>
        <w:rPr>
          <w:rFonts w:ascii="宋体-PUA" w:eastAsia="宋体-PUA" w:hAnsi="宋体-PUA" w:cs="宋体-PUA" w:hint="eastAsia"/>
          <w:sz w:val="21"/>
          <w:szCs w:val="21"/>
        </w:rPr>
        <w:t>14</w:t>
      </w:r>
      <w:r>
        <w:rPr>
          <w:rFonts w:ascii="宋体-PUA" w:eastAsia="宋体-PUA" w:hAnsi="宋体-PUA" w:cs="宋体-PUA" w:hint="eastAsia"/>
          <w:sz w:val="21"/>
          <w:szCs w:val="21"/>
        </w:rPr>
        <w:t>天还未完全固化，说明胶的质量有问题。在基材表面注堆</w:t>
      </w:r>
      <w:r>
        <w:rPr>
          <w:rFonts w:ascii="宋体-PUA" w:eastAsia="宋体-PUA" w:hAnsi="宋体-PUA" w:cs="宋体-PUA" w:hint="eastAsia"/>
          <w:sz w:val="21"/>
          <w:szCs w:val="21"/>
        </w:rPr>
        <w:t>20cm</w:t>
      </w:r>
      <w:r>
        <w:rPr>
          <w:rFonts w:ascii="宋体-PUA" w:eastAsia="宋体-PUA" w:hAnsi="宋体-PUA" w:cs="宋体-PUA" w:hint="eastAsia"/>
          <w:sz w:val="21"/>
          <w:szCs w:val="21"/>
        </w:rPr>
        <w:t>×</w:t>
      </w:r>
      <w:r>
        <w:rPr>
          <w:rFonts w:ascii="宋体-PUA" w:eastAsia="宋体-PUA" w:hAnsi="宋体-PUA" w:cs="宋体-PUA" w:hint="eastAsia"/>
          <w:sz w:val="21"/>
          <w:szCs w:val="21"/>
        </w:rPr>
        <w:t>1.5cm</w:t>
      </w:r>
      <w:r>
        <w:rPr>
          <w:rFonts w:ascii="宋体-PUA" w:eastAsia="宋体-PUA" w:hAnsi="宋体-PUA" w:cs="宋体-PUA" w:hint="eastAsia"/>
          <w:sz w:val="21"/>
          <w:szCs w:val="21"/>
        </w:rPr>
        <w:t>×</w:t>
      </w:r>
      <w:r>
        <w:rPr>
          <w:rFonts w:ascii="宋体-PUA" w:eastAsia="宋体-PUA" w:hAnsi="宋体-PUA" w:cs="宋体-PUA" w:hint="eastAsia"/>
          <w:sz w:val="21"/>
          <w:szCs w:val="21"/>
        </w:rPr>
        <w:t>1.5cm</w:t>
      </w:r>
      <w:r>
        <w:rPr>
          <w:rFonts w:ascii="宋体-PUA" w:eastAsia="宋体-PUA" w:hAnsi="宋体-PUA" w:cs="宋体-PUA" w:hint="eastAsia"/>
          <w:sz w:val="21"/>
          <w:szCs w:val="21"/>
        </w:rPr>
        <w:t>胶体作为</w:t>
      </w:r>
      <w:r>
        <w:rPr>
          <w:rFonts w:ascii="宋体-PUA" w:eastAsia="宋体-PUA" w:hAnsi="宋体-PUA" w:cs="宋体-PUA" w:hint="eastAsia"/>
          <w:sz w:val="21"/>
          <w:szCs w:val="21"/>
        </w:rPr>
        <w:t>剥离试验样品；</w:t>
      </w:r>
      <w:r>
        <w:rPr>
          <w:rFonts w:ascii="宋体-PUA" w:eastAsia="宋体-PUA" w:hAnsi="宋体-PUA" w:cs="宋体-PUA" w:hint="eastAsia"/>
          <w:sz w:val="21"/>
          <w:szCs w:val="21"/>
        </w:rPr>
        <w:t>21</w:t>
      </w:r>
      <w:r>
        <w:rPr>
          <w:rFonts w:ascii="宋体-PUA" w:eastAsia="宋体-PUA" w:hAnsi="宋体-PUA" w:cs="宋体-PUA" w:hint="eastAsia"/>
          <w:sz w:val="21"/>
          <w:szCs w:val="21"/>
        </w:rPr>
        <w:t>天后对剥离试验样品进行剥离试验，在胶样一头用刀在胶体厚度中部切开长</w:t>
      </w:r>
      <w:r>
        <w:rPr>
          <w:rFonts w:ascii="宋体-PUA" w:eastAsia="宋体-PUA" w:hAnsi="宋体-PUA" w:cs="宋体-PUA" w:hint="eastAsia"/>
          <w:sz w:val="21"/>
          <w:szCs w:val="21"/>
        </w:rPr>
        <w:t>5cm</w:t>
      </w:r>
      <w:r>
        <w:rPr>
          <w:rFonts w:ascii="宋体-PUA" w:eastAsia="宋体-PUA" w:hAnsi="宋体-PUA" w:cs="宋体-PUA" w:hint="eastAsia"/>
          <w:sz w:val="21"/>
          <w:szCs w:val="21"/>
        </w:rPr>
        <w:t>切口，用手捏住切头，用</w:t>
      </w:r>
      <w:r>
        <w:rPr>
          <w:rFonts w:ascii="宋体-PUA" w:eastAsia="宋体-PUA" w:hAnsi="宋体-PUA" w:cs="宋体-PUA" w:hint="eastAsia"/>
          <w:sz w:val="21"/>
          <w:szCs w:val="21"/>
        </w:rPr>
        <w:t>&gt;90</w:t>
      </w:r>
      <w:r>
        <w:rPr>
          <w:rFonts w:ascii="宋体-PUA" w:eastAsia="宋体-PUA" w:hAnsi="宋体-PUA" w:cs="宋体-PUA" w:hint="eastAsia"/>
          <w:sz w:val="21"/>
          <w:szCs w:val="21"/>
        </w:rPr>
        <w:t>度的角度向后撕扯，只允许沿胶体撕开，如果发现胶体与基材剥离，则剥离试验不合格。</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8</w:t>
      </w:r>
      <w:r>
        <w:rPr>
          <w:rFonts w:ascii="宋体-PUA" w:eastAsia="宋体-PUA" w:hAnsi="宋体-PUA" w:cs="宋体-PUA" w:hint="eastAsia"/>
          <w:sz w:val="21"/>
          <w:szCs w:val="21"/>
        </w:rPr>
        <w:t>、组件质量要求做到结构胶充满空腔，粘接牢固，胶缝平整，胶缝外无胶污渍，胶缝固化后铝框翘曲不大于</w:t>
      </w:r>
      <w:r>
        <w:rPr>
          <w:rFonts w:ascii="宋体-PUA" w:eastAsia="宋体-PUA" w:hAnsi="宋体-PUA" w:cs="宋体-PUA" w:hint="eastAsia"/>
          <w:sz w:val="21"/>
          <w:szCs w:val="21"/>
        </w:rPr>
        <w:t xml:space="preserve">1mm. </w:t>
      </w:r>
      <w:r>
        <w:rPr>
          <w:rFonts w:ascii="宋体-PUA" w:eastAsia="宋体-PUA" w:hAnsi="宋体-PUA" w:cs="宋体-PUA" w:hint="eastAsia"/>
          <w:sz w:val="21"/>
          <w:szCs w:val="21"/>
        </w:rPr>
        <w:br/>
      </w:r>
      <w:r>
        <w:rPr>
          <w:rFonts w:ascii="宋体-PUA" w:eastAsia="宋体-PUA" w:hAnsi="宋体-PUA" w:cs="宋体-PUA" w:hint="eastAsia"/>
          <w:sz w:val="21"/>
          <w:szCs w:val="21"/>
        </w:rPr>
        <w:t>（七）结构玻璃装配组件安装</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、定位划线：确定玻璃板块在立面上的水平、垂直位置，并在主框格上划线。</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、调整：玻璃板块临时固定后对板块进行调整，调整标准横平、竖直、面平。</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3</w:t>
      </w:r>
      <w:r>
        <w:rPr>
          <w:rFonts w:ascii="宋体-PUA" w:eastAsia="宋体-PUA" w:hAnsi="宋体-PUA" w:cs="宋体-PUA" w:hint="eastAsia"/>
          <w:sz w:val="21"/>
          <w:szCs w:val="21"/>
        </w:rPr>
        <w:t>、固定：</w:t>
      </w:r>
      <w:r>
        <w:rPr>
          <w:rFonts w:ascii="宋体-PUA" w:eastAsia="宋体-PUA" w:hAnsi="宋体-PUA" w:cs="宋体-PUA" w:hint="eastAsia"/>
          <w:sz w:val="21"/>
          <w:szCs w:val="21"/>
        </w:rPr>
        <w:t>用压块把玻璃板块固定在主框格上。压块间距不大于</w:t>
      </w:r>
      <w:r>
        <w:rPr>
          <w:rFonts w:ascii="宋体-PUA" w:eastAsia="宋体-PUA" w:hAnsi="宋体-PUA" w:cs="宋体-PUA" w:hint="eastAsia"/>
          <w:sz w:val="21"/>
          <w:szCs w:val="21"/>
        </w:rPr>
        <w:t>300mm</w:t>
      </w:r>
      <w:r>
        <w:rPr>
          <w:rFonts w:ascii="宋体-PUA" w:eastAsia="宋体-PUA" w:hAnsi="宋体-PUA" w:cs="宋体-PUA" w:hint="eastAsia"/>
          <w:sz w:val="21"/>
          <w:szCs w:val="21"/>
        </w:rPr>
        <w:t>。上压块时要注意钻孔，螺栓采用</w:t>
      </w:r>
      <w:r>
        <w:rPr>
          <w:rFonts w:ascii="宋体-PUA" w:eastAsia="宋体-PUA" w:hAnsi="宋体-PUA" w:cs="宋体-PUA" w:hint="eastAsia"/>
          <w:sz w:val="21"/>
          <w:szCs w:val="21"/>
        </w:rPr>
        <w:t>M5</w:t>
      </w:r>
      <w:r>
        <w:rPr>
          <w:rFonts w:ascii="宋体-PUA" w:eastAsia="宋体-PUA" w:hAnsi="宋体-PUA" w:cs="宋体-PUA" w:hint="eastAsia"/>
          <w:sz w:val="21"/>
          <w:szCs w:val="21"/>
        </w:rPr>
        <w:t>×</w:t>
      </w:r>
      <w:r>
        <w:rPr>
          <w:rFonts w:ascii="宋体-PUA" w:eastAsia="宋体-PUA" w:hAnsi="宋体-PUA" w:cs="宋体-PUA" w:hint="eastAsia"/>
          <w:sz w:val="21"/>
          <w:szCs w:val="21"/>
        </w:rPr>
        <w:t>20</w:t>
      </w:r>
      <w:r>
        <w:rPr>
          <w:rFonts w:ascii="宋体-PUA" w:eastAsia="宋体-PUA" w:hAnsi="宋体-PUA" w:cs="宋体-PUA" w:hint="eastAsia"/>
          <w:sz w:val="21"/>
          <w:szCs w:val="21"/>
        </w:rPr>
        <w:t>不锈钢机械螺栓。压块一定要压紧。</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（八）耐候硅酮密封胶嵌缝</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1</w:t>
      </w:r>
      <w:r>
        <w:rPr>
          <w:rFonts w:ascii="宋体-PUA" w:eastAsia="宋体-PUA" w:hAnsi="宋体-PUA" w:cs="宋体-PUA" w:hint="eastAsia"/>
          <w:sz w:val="21"/>
          <w:szCs w:val="21"/>
        </w:rPr>
        <w:t>、充分清洁板材间缝隙，不应有水、油渍、涂料、铁锈、水泥砂浆、灰尘等。充分清洁粘结面，加以干燥。</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2</w:t>
      </w:r>
      <w:r>
        <w:rPr>
          <w:rFonts w:ascii="宋体-PUA" w:eastAsia="宋体-PUA" w:hAnsi="宋体-PUA" w:cs="宋体-PUA" w:hint="eastAsia"/>
          <w:sz w:val="21"/>
          <w:szCs w:val="21"/>
        </w:rPr>
        <w:t>、为调整缝的深度，避免三边粘胶，缝内填泡沫塑料棒。</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3</w:t>
      </w:r>
      <w:r>
        <w:rPr>
          <w:rFonts w:ascii="宋体-PUA" w:eastAsia="宋体-PUA" w:hAnsi="宋体-PUA" w:cs="宋体-PUA" w:hint="eastAsia"/>
          <w:sz w:val="21"/>
          <w:szCs w:val="21"/>
        </w:rPr>
        <w:t>、在缝两侧贴保护胶纸保护玻璃不被污染。</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4</w:t>
      </w:r>
      <w:r>
        <w:rPr>
          <w:rFonts w:ascii="宋体-PUA" w:eastAsia="宋体-PUA" w:hAnsi="宋体-PUA" w:cs="宋体-PUA" w:hint="eastAsia"/>
          <w:sz w:val="21"/>
          <w:szCs w:val="21"/>
        </w:rPr>
        <w:t>、注胶后将胶缝表面抹平，去掉多余的胶。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5</w:t>
      </w:r>
      <w:r>
        <w:rPr>
          <w:rFonts w:ascii="宋体-PUA" w:eastAsia="宋体-PUA" w:hAnsi="宋体-PUA" w:cs="宋体-PUA" w:hint="eastAsia"/>
          <w:sz w:val="21"/>
          <w:szCs w:val="21"/>
        </w:rPr>
        <w:t>、注胶完毕，将保护纸撕掉，必要时用溶剂擦拭玻璃。</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w:t>
      </w:r>
      <w:r>
        <w:rPr>
          <w:rFonts w:ascii="宋体-PUA" w:eastAsia="宋体-PUA" w:hAnsi="宋体-PUA" w:cs="宋体-PUA" w:hint="eastAsia"/>
          <w:sz w:val="21"/>
          <w:szCs w:val="21"/>
        </w:rPr>
        <w:t>6</w:t>
      </w:r>
      <w:r>
        <w:rPr>
          <w:rFonts w:ascii="宋体-PUA" w:eastAsia="宋体-PUA" w:hAnsi="宋体-PUA" w:cs="宋体-PUA" w:hint="eastAsia"/>
          <w:sz w:val="21"/>
          <w:szCs w:val="21"/>
        </w:rPr>
        <w:t>、胶在未完全硬化前，不要沾染</w:t>
      </w:r>
      <w:r>
        <w:rPr>
          <w:rFonts w:ascii="宋体-PUA" w:eastAsia="宋体-PUA" w:hAnsi="宋体-PUA" w:cs="宋体-PUA" w:hint="eastAsia"/>
          <w:sz w:val="21"/>
          <w:szCs w:val="21"/>
        </w:rPr>
        <w:t>灰尘和划伤。</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（九）保护和清洗</w:t>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15"/>
          <w:cols w:space="708"/>
          <w:titlePg w:val="0"/>
          <w:docGrid w:type="lines" w:linePitch="312"/>
        </w:sectPr>
      </w:pPr>
      <w:r>
        <w:rPr>
          <w:rFonts w:ascii="宋体-PUA" w:eastAsia="宋体-PUA" w:hAnsi="宋体-PUA" w:cs="宋体-PUA" w:hint="eastAsia"/>
          <w:sz w:val="21"/>
          <w:szCs w:val="21"/>
        </w:rPr>
        <w:t>四、质量控制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（一）质量标准</w:t>
      </w:r>
      <w:r>
        <w:rPr>
          <w:rFonts w:ascii="宋体-PUA" w:eastAsia="宋体-PUA" w:hAnsi="宋体-PUA" w:cs="宋体-PUA" w:hint="eastAsia"/>
          <w:sz w:val="21"/>
          <w:szCs w:val="21"/>
        </w:rPr>
        <w:br/>
      </w:r>
      <w:r>
        <w:rPr>
          <w:rFonts w:ascii="宋体-PUA" w:eastAsia="宋体-PUA" w:hAnsi="宋体-PUA" w:cs="宋体-PUA" w:hint="eastAsia"/>
          <w:sz w:val="21"/>
          <w:szCs w:val="21"/>
        </w:rPr>
        <w:t>　　参照《玻璃幕墙工程技术规范》（</w:t>
      </w:r>
      <w:r>
        <w:rPr>
          <w:rFonts w:ascii="宋体-PUA" w:eastAsia="宋体-PUA" w:hAnsi="宋体-PUA" w:cs="宋体-PUA" w:hint="eastAsia"/>
          <w:sz w:val="21"/>
          <w:szCs w:val="21"/>
        </w:rPr>
        <w:t>JGJ102</w:t>
      </w:r>
      <w:r>
        <w:rPr>
          <w:rFonts w:ascii="宋体-PUA" w:eastAsia="宋体-PUA" w:hAnsi="宋体-PUA" w:cs="宋体-PUA" w:hint="eastAsia"/>
          <w:sz w:val="21"/>
          <w:szCs w:val="21"/>
        </w:rPr>
        <w:t>—</w:t>
      </w:r>
      <w:r>
        <w:rPr>
          <w:rFonts w:ascii="宋体-PUA" w:eastAsia="宋体-PUA" w:hAnsi="宋体-PUA" w:cs="宋体-PUA" w:hint="eastAsia"/>
          <w:sz w:val="21"/>
          <w:szCs w:val="21"/>
        </w:rPr>
        <w:t>96</w:t>
      </w:r>
      <w:r>
        <w:rPr>
          <w:rFonts w:ascii="宋体-PUA" w:eastAsia="宋体-PUA" w:hAnsi="宋体-PUA" w:cs="宋体-PUA" w:hint="eastAsia"/>
          <w:sz w:val="21"/>
          <w:szCs w:val="21"/>
        </w:rPr>
        <w:t>）和《玻璃幕墙工程质量检验标准》（</w:t>
      </w:r>
      <w:r>
        <w:rPr>
          <w:rFonts w:ascii="宋体-PUA" w:eastAsia="宋体-PUA" w:hAnsi="宋体-PUA" w:cs="宋体-PUA" w:hint="eastAsia"/>
          <w:sz w:val="21"/>
          <w:szCs w:val="21"/>
        </w:rPr>
        <w:t>JGJ/T139</w:t>
      </w:r>
      <w:r>
        <w:rPr>
          <w:rFonts w:ascii="宋体-PUA" w:eastAsia="宋体-PUA" w:hAnsi="宋体-PUA" w:cs="宋体-PUA" w:hint="eastAsia"/>
          <w:sz w:val="21"/>
          <w:szCs w:val="21"/>
        </w:rPr>
        <w:t>—</w:t>
      </w:r>
      <w:r>
        <w:rPr>
          <w:rFonts w:ascii="宋体-PUA" w:eastAsia="宋体-PUA" w:hAnsi="宋体-PUA" w:cs="宋体-PUA" w:hint="eastAsia"/>
          <w:sz w:val="21"/>
          <w:szCs w:val="21"/>
        </w:rPr>
        <w:t>20016</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（二）质量管理要点</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材料控制：幕墙所使用的各种材料必须符合设计和规范要求。材料采购前必须弄清楚规范中对该种材料有何质量要求。</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各种构件在运输过程中必须有可靠的保护措施。</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立柱放线：立柱放线是幕墙施工中比较繁琐的工序，立柱放线是否准确将影响整过施工过程。测量人员在工作中必须反复校对，确保放线精确。</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立</w:t>
      </w:r>
      <w:r>
        <w:rPr>
          <w:rFonts w:ascii="宋体-PUA" w:eastAsia="宋体-PUA" w:hAnsi="宋体-PUA" w:cs="宋体-PUA" w:hint="eastAsia"/>
          <w:sz w:val="21"/>
          <w:szCs w:val="21"/>
        </w:rPr>
        <w:t>柱与主体结构的连接点施工中，必须用合格焊工。焊接、防锈、安装精度必须合格。</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构件安装过程中，技术员要勤吊勤靠，确保各种构件的安装精度和可靠度符合要求。</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幕墙转角、上下边缘、沉降缝部位的处理要美观，防火、防水、防雷等要满足要求。</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五、安全措施</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（一）安装幕墙用的施工机具在使用前必须进行严格检验。手持电动工具用前作绝缘电压试验；手持玻璃吸盘和玻璃吸盘安装机，须作吸附重量和吸附持续时间试验。</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（二）施工人员配备必要的劳动保护用品，防止人员及物件坠落。</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（三）防止密封材料在工程使用中</w:t>
      </w:r>
      <w:r>
        <w:rPr>
          <w:rFonts w:ascii="宋体-PUA" w:eastAsia="宋体-PUA" w:hAnsi="宋体-PUA" w:cs="宋体-PUA" w:hint="eastAsia"/>
          <w:sz w:val="21"/>
          <w:szCs w:val="21"/>
        </w:rPr>
        <w:t>溶剂中毒，且要保管好溶剂，以防发生火灾。</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（四）现场焊接时，应在焊件下方加设接火斗。</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（五）设专职安全员进行监督和巡回检查。</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六、经济指标</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（一）铝型材</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铝材用量一般在每平方米</w:t>
      </w:r>
      <w:r>
        <w:rPr>
          <w:rFonts w:ascii="宋体-PUA" w:eastAsia="宋体-PUA" w:hAnsi="宋体-PUA" w:cs="宋体-PUA" w:hint="eastAsia"/>
          <w:sz w:val="21"/>
          <w:szCs w:val="21"/>
        </w:rPr>
        <w:t>8~10</w:t>
      </w:r>
      <w:r>
        <w:rPr>
          <w:rFonts w:ascii="宋体-PUA" w:eastAsia="宋体-PUA" w:hAnsi="宋体-PUA" w:cs="宋体-PUA" w:hint="eastAsia"/>
          <w:sz w:val="21"/>
          <w:szCs w:val="21"/>
        </w:rPr>
        <w:t>公斤。主要取决于立面分隔、主杆截面。</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（二）玻璃</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玻璃品种很多，如钢化玻璃、镀膜玻璃、中空玻璃、夹丝玻璃、夹胶玻璃等。影响玻璃单价的因素有品种、规格等。</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　　（三）密封胶</w:t>
      </w:r>
      <w:r>
        <w:rPr>
          <w:rFonts w:ascii="宋体-PUA" w:eastAsia="宋体-PUA" w:hAnsi="宋体-PUA" w:cs="宋体-PUA" w:hint="eastAsia"/>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z w:val="21"/>
          <w:szCs w:val="21"/>
        </w:rPr>
        <w:t>结构胶一般在每平方米</w:t>
      </w:r>
      <w:r>
        <w:rPr>
          <w:rFonts w:ascii="宋体-PUA" w:eastAsia="宋体-PUA" w:hAnsi="宋体-PUA" w:cs="宋体-PUA" w:hint="eastAsia"/>
          <w:sz w:val="21"/>
          <w:szCs w:val="21"/>
        </w:rPr>
        <w:t>1.5~2.0</w:t>
      </w:r>
      <w:r>
        <w:rPr>
          <w:rFonts w:ascii="宋体-PUA" w:eastAsia="宋体-PUA" w:hAnsi="宋体-PUA" w:cs="宋体-PUA" w:hint="eastAsia"/>
          <w:sz w:val="21"/>
          <w:szCs w:val="21"/>
        </w:rPr>
        <w:t>支（每支</w:t>
      </w:r>
      <w:r>
        <w:rPr>
          <w:rFonts w:ascii="宋体-PUA" w:eastAsia="宋体-PUA" w:hAnsi="宋体-PUA" w:cs="宋体-PUA" w:hint="eastAsia"/>
          <w:sz w:val="21"/>
          <w:szCs w:val="21"/>
        </w:rPr>
        <w:t>300ml</w:t>
      </w:r>
      <w:r>
        <w:rPr>
          <w:rFonts w:ascii="宋体-PUA" w:eastAsia="宋体-PUA" w:hAnsi="宋体-PUA" w:cs="宋体-PUA" w:hint="eastAsia"/>
          <w:sz w:val="21"/>
          <w:szCs w:val="21"/>
        </w:rPr>
        <w:t>），耐候胶一般在每平方米</w:t>
      </w:r>
      <w:r>
        <w:rPr>
          <w:rFonts w:ascii="宋体-PUA" w:eastAsia="宋体-PUA" w:hAnsi="宋体-PUA" w:cs="宋体-PUA" w:hint="eastAsia"/>
          <w:sz w:val="21"/>
          <w:szCs w:val="21"/>
        </w:rPr>
        <w:t>1</w:t>
      </w:r>
      <w:r>
        <w:rPr>
          <w:rFonts w:ascii="宋体-PUA" w:eastAsia="宋体-PUA" w:hAnsi="宋体-PUA" w:cs="宋体-PUA" w:hint="eastAsia"/>
          <w:sz w:val="21"/>
          <w:szCs w:val="21"/>
        </w:rPr>
        <w:t>支左右（每支</w:t>
      </w:r>
      <w:r>
        <w:rPr>
          <w:rFonts w:ascii="宋体-PUA" w:eastAsia="宋体-PUA" w:hAnsi="宋体-PUA" w:cs="宋体-PUA" w:hint="eastAsia"/>
          <w:sz w:val="21"/>
          <w:szCs w:val="21"/>
        </w:rPr>
        <w:t>300ml</w:t>
      </w:r>
      <w:r>
        <w:rPr>
          <w:rFonts w:ascii="宋体-PUA" w:eastAsia="宋体-PUA" w:hAnsi="宋体-PUA" w:cs="宋体-PUA" w:hint="eastAsia"/>
          <w:sz w:val="21"/>
          <w:szCs w:val="21"/>
        </w:rPr>
        <w:t>）。主要取决于胶条截面</w:t>
      </w:r>
      <w:r>
        <w:rPr>
          <w:rFonts w:ascii="宋体-PUA" w:eastAsia="宋体-PUA" w:hAnsi="宋体-PUA" w:cs="宋体-PUA" w:hint="eastAsia"/>
          <w:sz w:val="21"/>
          <w:szCs w:val="21"/>
        </w:rPr>
        <w:t>大小、立面分隔。</w:t>
      </w:r>
    </w:p>
    <w:p w:rsidR="008D4CCF">
      <w:pPr>
        <w:pStyle w:val="Heading2"/>
        <w:numPr>
          <w:ilvl w:val="0"/>
          <w:numId w:val="0"/>
        </w:numPr>
        <w:spacing w:line="440" w:lineRule="atLeast"/>
        <w:ind w:left="280"/>
        <w:rPr>
          <w:rFonts w:ascii="宋体-PUA" w:eastAsia="宋体-PUA" w:hAnsi="宋体-PUA" w:cs="宋体-PUA"/>
          <w:b/>
          <w:bCs/>
          <w:sz w:val="21"/>
          <w:szCs w:val="21"/>
        </w:rPr>
      </w:pPr>
      <w:bookmarkStart w:id="11" w:name="_Toc30064"/>
      <w:r>
        <w:rPr>
          <w:rFonts w:ascii="宋体-PUA" w:eastAsia="宋体-PUA" w:hAnsi="宋体-PUA" w:cs="宋体-PUA" w:hint="eastAsia"/>
          <w:b/>
          <w:bCs/>
          <w:sz w:val="21"/>
          <w:szCs w:val="21"/>
          <w:lang w:eastAsia="zh-CN"/>
        </w:rPr>
        <w:t>四、铝合金格栅施工工艺</w:t>
      </w:r>
      <w:bookmarkEnd w:id="11"/>
      <w:r>
        <w:rPr>
          <w:rFonts w:ascii="宋体-PUA" w:eastAsia="宋体-PUA" w:hAnsi="宋体-PUA" w:cs="宋体-PUA" w:hint="eastAsia"/>
          <w:b/>
          <w:bCs/>
          <w:sz w:val="21"/>
          <w:szCs w:val="21"/>
        </w:rPr>
        <w:t xml:space="preserve"> </w:t>
      </w:r>
    </w:p>
    <w:p w:rsidR="008D4CCF">
      <w:pPr>
        <w:pStyle w:val="Normal0"/>
        <w:spacing w:line="440" w:lineRule="atLeast"/>
        <w:rPr>
          <w:rFonts w:ascii="宋体-PUA" w:eastAsia="宋体-PUA" w:hAnsi="宋体-PUA" w:cs="宋体-PUA"/>
          <w:snapToGrid/>
          <w:sz w:val="21"/>
          <w:szCs w:val="21"/>
        </w:rPr>
      </w:pPr>
      <w:r>
        <w:rPr>
          <w:rFonts w:ascii="宋体-PUA" w:eastAsia="宋体-PUA" w:hAnsi="宋体-PUA" w:cs="宋体-PUA" w:hint="eastAsia"/>
          <w:snapToGrid/>
          <w:sz w:val="21"/>
          <w:szCs w:val="21"/>
        </w:rPr>
        <w:t>施工准备→地面拼装→饰面处理→吊装固定→收口整理</w:t>
      </w:r>
      <w:r>
        <w:rPr>
          <w:rFonts w:ascii="宋体-PUA" w:eastAsia="宋体-PUA" w:hAnsi="宋体-PUA" w:cs="宋体-PUA" w:hint="eastAsia"/>
          <w:snapToGrid/>
          <w:sz w:val="21"/>
          <w:szCs w:val="21"/>
        </w:rPr>
        <w:t xml:space="preserve"> </w:t>
      </w:r>
    </w:p>
    <w:p w:rsidR="008D4CCF">
      <w:pPr>
        <w:pStyle w:val="Normal0"/>
        <w:numPr>
          <w:ilvl w:val="0"/>
          <w:numId w:val="11"/>
        </w:numPr>
        <w:spacing w:line="440" w:lineRule="atLeast"/>
        <w:rPr>
          <w:rFonts w:ascii="宋体-PUA" w:eastAsia="宋体-PUA" w:hAnsi="宋体-PUA" w:cs="宋体-PUA"/>
          <w:snapToGrid/>
          <w:sz w:val="21"/>
          <w:szCs w:val="21"/>
        </w:rPr>
        <w:sectPr>
          <w:type w:val="nextPage"/>
          <w:pgSz w:w="11906" w:h="16838"/>
          <w:pgMar w:top="1417" w:right="1134" w:bottom="1134" w:left="1134" w:header="851" w:footer="992" w:gutter="0"/>
          <w:pgNumType w:start="16"/>
          <w:cols w:space="708"/>
          <w:titlePg w:val="0"/>
          <w:docGrid w:type="lines" w:linePitch="312"/>
        </w:sectPr>
      </w:pPr>
      <w:r>
        <w:rPr>
          <w:rFonts w:ascii="宋体-PUA" w:eastAsia="宋体-PUA" w:hAnsi="宋体-PUA" w:cs="宋体-PUA" w:hint="eastAsia"/>
          <w:snapToGrid/>
          <w:sz w:val="21"/>
          <w:szCs w:val="21"/>
        </w:rPr>
        <w:t>施工准备</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 xml:space="preserve">   1</w:t>
      </w:r>
      <w:r>
        <w:rPr>
          <w:rFonts w:ascii="宋体-PUA" w:eastAsia="宋体-PUA" w:hAnsi="宋体-PUA" w:cs="宋体-PUA" w:hint="eastAsia"/>
          <w:snapToGrid/>
          <w:sz w:val="21"/>
          <w:szCs w:val="21"/>
        </w:rPr>
        <w:t>）建筑底面处理</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对敞透式的花栅吊顶以上部分应进行涂刷黑漆处理，或按设计要求的颜色进行涂刷处理。</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 xml:space="preserve">   2</w:t>
      </w:r>
      <w:r>
        <w:rPr>
          <w:rFonts w:ascii="宋体-PUA" w:eastAsia="宋体-PUA" w:hAnsi="宋体-PUA" w:cs="宋体-PUA" w:hint="eastAsia"/>
          <w:snapToGrid/>
          <w:sz w:val="21"/>
          <w:szCs w:val="21"/>
        </w:rPr>
        <w:t>）放线</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包括标高线、吊挂布局线、分片布置线。</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分片布置线就是根据吊顶的结构形式、材料尺寸和材料刚度，来确定分片的大小和位置。其一般先从室内吊顶直角位置开始逐步展开。吊挂点的布局需根据分片布置线来设定，使吊顶的分片材料（单体或多体构件）受力均匀。</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2</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地面拼装：单体或多体构件先</w:t>
      </w:r>
      <w:r>
        <w:rPr>
          <w:rFonts w:ascii="宋体-PUA" w:eastAsia="宋体-PUA" w:hAnsi="宋体-PUA" w:cs="宋体-PUA" w:hint="eastAsia"/>
          <w:snapToGrid/>
          <w:sz w:val="21"/>
          <w:szCs w:val="21"/>
        </w:rPr>
        <w:t>是按设计加工成散件，然后按设计要求在地上拼装起来。如果是厂家供应半成品的，则只需按设计要求在现场拼装起来即可。</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3</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p>
    <w:p w:rsidR="008D4CCF">
      <w:pPr>
        <w:pStyle w:val="Normal0"/>
        <w:numPr>
          <w:ilvl w:val="0"/>
          <w:numId w:val="0"/>
        </w:numPr>
        <w:spacing w:line="440" w:lineRule="atLeast"/>
        <w:ind w:left="0"/>
        <w:rPr>
          <w:rFonts w:ascii="宋体-PUA" w:eastAsia="宋体-PUA" w:hAnsi="宋体-PUA" w:cs="宋体-PUA"/>
          <w:snapToGrid/>
          <w:sz w:val="21"/>
          <w:szCs w:val="21"/>
        </w:rPr>
      </w:pPr>
      <w:r>
        <w:rPr>
          <w:rFonts w:ascii="宋体-PUA" w:eastAsia="宋体-PUA" w:hAnsi="宋体-PUA" w:cs="宋体-PUA" w:hint="eastAsia"/>
          <w:snapToGrid/>
          <w:sz w:val="21"/>
          <w:szCs w:val="21"/>
        </w:rPr>
        <w:t>饰面处理：铝合金等半成品或成品单体吊顶构件制作，拼装好以后应即使做好油漆饰面工作，然后在进行吊装固定。</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4</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吊装固定</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 xml:space="preserve">  1</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沿标高线拉出交叉的吊顶平面基准线。</w:t>
      </w:r>
      <w:r>
        <w:rPr>
          <w:rFonts w:ascii="宋体-PUA" w:eastAsia="宋体-PUA" w:hAnsi="宋体-PUA" w:cs="宋体-PUA" w:hint="eastAsia"/>
          <w:snapToGrid/>
          <w:sz w:val="21"/>
          <w:szCs w:val="21"/>
        </w:rPr>
        <w:t xml:space="preserve">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napToGrid/>
          <w:sz w:val="21"/>
          <w:szCs w:val="21"/>
          <w:lang w:eastAsia="zh-CN"/>
        </w:rPr>
        <w:t xml:space="preserve"> </w:t>
      </w:r>
      <w:r>
        <w:rPr>
          <w:rFonts w:ascii="宋体-PUA" w:eastAsia="宋体-PUA" w:hAnsi="宋体-PUA" w:cs="宋体-PUA" w:hint="eastAsia"/>
          <w:snapToGrid/>
          <w:sz w:val="21"/>
          <w:szCs w:val="21"/>
        </w:rPr>
        <w:t xml:space="preserve"> 2</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根据基准线调平吊顶分片。</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 xml:space="preserve">  3</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固定分片有两种方法。即间接固定和直接固定。</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 xml:space="preserve">  4</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固定分片的同时应将各分片拼缝对齐，并用铁件进行连接固定。其方式通常为直角拼接和顶边拼接。</w:t>
      </w:r>
      <w:r>
        <w:rPr>
          <w:rFonts w:ascii="宋体-PUA" w:eastAsia="宋体-PUA" w:hAnsi="宋体-PUA" w:cs="宋体-PUA" w:hint="eastAsia"/>
          <w:snapToGrid/>
          <w:sz w:val="21"/>
          <w:szCs w:val="21"/>
        </w:rPr>
        <w:t xml:space="preserve"> </w:t>
      </w:r>
      <w:r>
        <w:rPr>
          <w:rFonts w:ascii="宋体-PUA" w:eastAsia="宋体-PUA" w:hAnsi="宋体-PUA" w:cs="宋体-PUA" w:hint="eastAsia"/>
          <w:sz w:val="21"/>
          <w:szCs w:val="21"/>
        </w:rPr>
        <w:br/>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5</w:t>
      </w:r>
      <w:r>
        <w:rPr>
          <w:rFonts w:ascii="宋体-PUA" w:eastAsia="宋体-PUA" w:hAnsi="宋体-PUA" w:cs="宋体-PUA" w:hint="eastAsia"/>
          <w:snapToGrid/>
          <w:sz w:val="21"/>
          <w:szCs w:val="21"/>
        </w:rPr>
        <w:t>）</w:t>
      </w:r>
      <w:r>
        <w:rPr>
          <w:rFonts w:ascii="宋体-PUA" w:eastAsia="宋体-PUA" w:hAnsi="宋体-PUA" w:cs="宋体-PUA" w:hint="eastAsia"/>
          <w:snapToGrid/>
          <w:sz w:val="21"/>
          <w:szCs w:val="21"/>
        </w:rPr>
        <w:t xml:space="preserve"> </w:t>
      </w:r>
      <w:r>
        <w:rPr>
          <w:rFonts w:ascii="宋体-PUA" w:eastAsia="宋体-PUA" w:hAnsi="宋体-PUA" w:cs="宋体-PUA" w:hint="eastAsia"/>
          <w:snapToGrid/>
          <w:sz w:val="21"/>
          <w:szCs w:val="21"/>
        </w:rPr>
        <w:t>整体调整：安装固定吊顶分片完成后应认真统一调整检查其拱是否正确，检查各单体是否变形，检查固定件是否可靠。对因安装时产生的变形要即时修理，对受力集中部位要进行加固。</w:t>
      </w:r>
    </w:p>
    <w:p w:rsidR="008D4CCF">
      <w:pPr>
        <w:pStyle w:val="Heading2"/>
        <w:numPr>
          <w:ilvl w:val="0"/>
          <w:numId w:val="0"/>
        </w:numPr>
        <w:spacing w:line="440" w:lineRule="atLeast"/>
        <w:ind w:left="280"/>
        <w:rPr>
          <w:rFonts w:ascii="宋体-PUA" w:eastAsia="宋体-PUA" w:hAnsi="宋体-PUA" w:cs="宋体-PUA"/>
          <w:b/>
          <w:bCs/>
          <w:sz w:val="21"/>
          <w:szCs w:val="21"/>
          <w:lang w:eastAsia="zh-CN"/>
        </w:rPr>
      </w:pPr>
      <w:bookmarkStart w:id="12" w:name="_Toc17023"/>
      <w:r>
        <w:rPr>
          <w:rFonts w:ascii="宋体-PUA" w:eastAsia="宋体-PUA" w:hAnsi="宋体-PUA" w:cs="宋体-PUA" w:hint="eastAsia"/>
          <w:b/>
          <w:bCs/>
          <w:sz w:val="21"/>
          <w:szCs w:val="21"/>
          <w:lang w:eastAsia="zh-CN"/>
        </w:rPr>
        <w:t>五、铝塑板雨棚施工工艺</w:t>
      </w:r>
      <w:bookmarkEnd w:id="12"/>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一、铝塑板雨棚所用工具机具：</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w:t>
      </w:r>
      <w:r>
        <w:rPr>
          <w:rFonts w:ascii="宋体-PUA" w:eastAsia="宋体-PUA" w:hAnsi="宋体-PUA" w:cs="宋体-PUA" w:hint="eastAsia"/>
          <w:snapToGrid/>
          <w:sz w:val="21"/>
          <w:szCs w:val="21"/>
          <w:shd w:val="clear" w:color="auto" w:fill="FFFFFF"/>
        </w:rPr>
        <w:t>无齿锯片切割机、手电钻、冲击电钻、射钉枪、各种规格的钻花、扳手、螺丝刀、手锤、墨线、线垂、尼龙线、钢卷尺、电焊机、氧切设备、注胶枪、风动拉铆枪、安全带等。</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w:t>
      </w:r>
      <w:r>
        <w:rPr>
          <w:rFonts w:ascii="宋体-PUA" w:eastAsia="宋体-PUA" w:hAnsi="宋体-PUA" w:cs="宋体-PUA" w:hint="eastAsia"/>
          <w:snapToGrid/>
          <w:sz w:val="21"/>
          <w:szCs w:val="21"/>
          <w:shd w:val="clear" w:color="auto" w:fill="FFFFFF"/>
        </w:rPr>
        <w:t>二、</w:t>
      </w:r>
      <w:r>
        <w:rPr>
          <w:rFonts w:ascii="宋体-PUA" w:eastAsia="宋体-PUA" w:hAnsi="宋体-PUA" w:cs="宋体-PUA" w:hint="eastAsia"/>
          <w:snapToGrid/>
          <w:sz w:val="21"/>
          <w:szCs w:val="21"/>
          <w:shd w:val="clear" w:color="auto" w:fill="FFFFFF"/>
        </w:rPr>
        <w:t>材料进场前的准备工作</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w:t>
      </w:r>
      <w:r>
        <w:rPr>
          <w:rFonts w:ascii="宋体-PUA" w:eastAsia="宋体-PUA" w:hAnsi="宋体-PUA" w:cs="宋体-PUA" w:hint="eastAsia"/>
          <w:snapToGrid/>
          <w:sz w:val="21"/>
          <w:szCs w:val="21"/>
          <w:shd w:val="clear" w:color="auto" w:fill="FFFFFF"/>
        </w:rPr>
        <w:t>此部分工作为工程的起始阶段，要以为施工服务为原则，按期、保质、保量地完成，具体如下：</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（一）设计人员需在合同签订后，根据本工程的建筑图和幕墙工程方案图，在最短的时间内提出本工程的用料计划表。</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（二）项目经理部与生产部互相配合</w:t>
      </w: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依据施工进度计划表和工程现场的实际情况作出本工程的加工计划</w:t>
      </w: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合理组织、安排生产，保证产品及时到场。</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三、安装工艺流程</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搭设脚手架→放线→固定钢架的连接件→焊接钢骨架→安装铝塑板→收口构造处理→检验</w:t>
      </w:r>
      <w:r>
        <w:rPr>
          <w:rFonts w:ascii="宋体-PUA" w:eastAsia="宋体-PUA" w:hAnsi="宋体-PUA" w:cs="宋体-PUA" w:hint="eastAsia"/>
          <w:snapToGrid/>
          <w:sz w:val="21"/>
          <w:szCs w:val="21"/>
          <w:shd w:val="clear" w:color="auto" w:fill="FFFFFF"/>
        </w:rPr>
        <w:t> </w:t>
      </w:r>
      <w:r>
        <w:rPr>
          <w:rFonts w:ascii="宋体-PUA" w:eastAsia="宋体-PUA" w:hAnsi="宋体-PUA" w:cs="宋体-PUA" w:hint="eastAsia"/>
          <w:snapToGrid/>
          <w:sz w:val="21"/>
          <w:szCs w:val="21"/>
          <w:shd w:val="clear" w:color="auto" w:fill="FFFFFF"/>
        </w:rPr>
        <w:t>四、</w:t>
      </w:r>
      <w:r>
        <w:rPr>
          <w:rFonts w:ascii="宋体-PUA" w:eastAsia="宋体-PUA" w:hAnsi="宋体-PUA" w:cs="宋体-PUA" w:hint="eastAsia"/>
          <w:snapToGrid/>
          <w:sz w:val="21"/>
          <w:szCs w:val="21"/>
          <w:shd w:val="clear" w:color="auto" w:fill="FFFFFF"/>
        </w:rPr>
        <w:t> </w:t>
      </w:r>
      <w:r>
        <w:rPr>
          <w:rFonts w:ascii="宋体-PUA" w:eastAsia="宋体-PUA" w:hAnsi="宋体-PUA" w:cs="宋体-PUA" w:hint="eastAsia"/>
          <w:snapToGrid/>
          <w:sz w:val="21"/>
          <w:szCs w:val="21"/>
          <w:shd w:val="clear" w:color="auto" w:fill="FFFFFF"/>
        </w:rPr>
        <w:t>安装注意事项</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1</w:t>
      </w:r>
      <w:r>
        <w:rPr>
          <w:rFonts w:ascii="宋体-PUA" w:eastAsia="宋体-PUA" w:hAnsi="宋体-PUA" w:cs="宋体-PUA" w:hint="eastAsia"/>
          <w:snapToGrid/>
          <w:sz w:val="21"/>
          <w:szCs w:val="21"/>
          <w:shd w:val="clear" w:color="auto" w:fill="FFFFFF"/>
        </w:rPr>
        <w:t>、铝塑板的品种、质量、颜色、花型、线条应符合设计要求，并应有产品合格证。</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2</w:t>
      </w:r>
      <w:r>
        <w:rPr>
          <w:rFonts w:ascii="宋体-PUA" w:eastAsia="宋体-PUA" w:hAnsi="宋体-PUA" w:cs="宋体-PUA" w:hint="eastAsia"/>
          <w:snapToGrid/>
          <w:sz w:val="21"/>
          <w:szCs w:val="21"/>
          <w:shd w:val="clear" w:color="auto" w:fill="FFFFFF"/>
        </w:rPr>
        <w:t>、雨棚钢骨架其规格、形状应符合设计要求，并应进行除锈、防锈处理。</w:t>
      </w:r>
    </w:p>
    <w:p w:rsidR="008D4CCF">
      <w:pPr>
        <w:pStyle w:val="Heading2"/>
        <w:numPr>
          <w:ilvl w:val="0"/>
          <w:numId w:val="0"/>
        </w:numPr>
        <w:spacing w:line="440" w:lineRule="atLeast"/>
        <w:ind w:left="280"/>
        <w:rPr>
          <w:rFonts w:ascii="宋体-PUA" w:eastAsia="宋体-PUA" w:hAnsi="宋体-PUA" w:cs="宋体-PUA"/>
          <w:sz w:val="21"/>
          <w:szCs w:val="21"/>
        </w:rPr>
      </w:pPr>
      <w:bookmarkStart w:id="13" w:name="_Toc9934"/>
      <w:r>
        <w:rPr>
          <w:rFonts w:ascii="宋体-PUA" w:eastAsia="宋体-PUA" w:hAnsi="宋体-PUA" w:cs="宋体-PUA" w:hint="eastAsia"/>
          <w:sz w:val="21"/>
          <w:szCs w:val="21"/>
          <w:lang w:eastAsia="zh-CN"/>
        </w:rPr>
        <w:t>六</w:t>
      </w: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铁艺花格施工工艺</w:t>
      </w:r>
      <w:bookmarkEnd w:id="13"/>
    </w:p>
    <w:p w:rsidR="008D4CCF">
      <w:pPr>
        <w:pStyle w:val="Normal0"/>
        <w:numPr>
          <w:ilvl w:val="0"/>
          <w:numId w:val="12"/>
        </w:numPr>
        <w:spacing w:line="440" w:lineRule="atLeast"/>
        <w:ind w:firstLine="0"/>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材料准备</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根据施工图纸和设计要求，采购工程所需各种原材料。栏杆确定材料符合图纸设计要求无误后，才得进入加工车间加工制作，确保不合格材料不得使用。</w:t>
      </w:r>
      <w:r>
        <w:rPr>
          <w:rFonts w:ascii="宋体-PUA" w:eastAsia="宋体-PUA" w:hAnsi="宋体-PUA" w:cs="宋体-PUA" w:hint="eastAsia"/>
          <w:snapToGrid/>
          <w:sz w:val="21"/>
          <w:szCs w:val="21"/>
          <w:shd w:val="clear" w:color="auto" w:fill="FFFFFF"/>
        </w:rPr>
        <w:t> </w:t>
      </w:r>
    </w:p>
    <w:p w:rsidR="008D4CCF">
      <w:pPr>
        <w:pStyle w:val="Normal0"/>
        <w:numPr>
          <w:ilvl w:val="0"/>
          <w:numId w:val="12"/>
        </w:numPr>
        <w:spacing w:line="440" w:lineRule="atLeast"/>
        <w:ind w:firstLine="0"/>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制作工艺</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1</w:t>
      </w:r>
      <w:r>
        <w:rPr>
          <w:rFonts w:ascii="宋体-PUA" w:eastAsia="宋体-PUA" w:hAnsi="宋体-PUA" w:cs="宋体-PUA" w:hint="eastAsia"/>
          <w:snapToGrid/>
          <w:sz w:val="21"/>
          <w:szCs w:val="21"/>
          <w:shd w:val="clear" w:color="auto" w:fill="FFFFFF"/>
        </w:rPr>
        <w:t>）按照图纸设计要求并根据图纸所示图样和现场实际规格尺寸制作。</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sectPr>
          <w:type w:val="nextPage"/>
          <w:pgSz w:w="11906" w:h="16838"/>
          <w:pgMar w:top="1417" w:right="1134" w:bottom="1134" w:left="1134" w:header="851" w:footer="992" w:gutter="0"/>
          <w:pgNumType w:start="17"/>
          <w:cols w:space="708"/>
          <w:titlePg w:val="0"/>
          <w:docGrid w:type="lines" w:linePitch="312"/>
        </w:sectPr>
      </w:pP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2</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材料进入现场制作安装之前做防锈漆两遍，制作过程中，定位尺寸要准确，该切斜角，该磨口的地方磨口。保证角度拼装准确精细。进行拼装时，焊接部位要焊平，对接部位要严密，保证平整度横平竖直。焊接部位的焊口必须满焊，做到焊口无断缝，无沙眼，焊口要打磨光滑，平整度达标。</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w:t>
      </w:r>
      <w:r>
        <w:rPr>
          <w:rFonts w:ascii="宋体-PUA" w:eastAsia="宋体-PUA" w:hAnsi="宋体-PUA" w:cs="宋体-PUA" w:hint="eastAsia"/>
          <w:snapToGrid/>
          <w:sz w:val="21"/>
          <w:szCs w:val="21"/>
          <w:shd w:val="clear" w:color="auto" w:fill="FFFFFF"/>
          <w:lang w:eastAsia="zh-CN"/>
        </w:rPr>
        <w:t>（</w:t>
      </w:r>
      <w:r>
        <w:rPr>
          <w:rFonts w:ascii="宋体-PUA" w:eastAsia="宋体-PUA" w:hAnsi="宋体-PUA" w:cs="宋体-PUA" w:hint="eastAsia"/>
          <w:snapToGrid/>
          <w:sz w:val="21"/>
          <w:szCs w:val="21"/>
          <w:shd w:val="clear" w:color="auto" w:fill="FFFFFF"/>
          <w:lang w:eastAsia="zh-CN"/>
        </w:rPr>
        <w:t>3</w:t>
      </w:r>
      <w:r>
        <w:rPr>
          <w:rFonts w:ascii="宋体-PUA" w:eastAsia="宋体-PUA" w:hAnsi="宋体-PUA" w:cs="宋体-PUA" w:hint="eastAsia"/>
          <w:snapToGrid/>
          <w:sz w:val="21"/>
          <w:szCs w:val="21"/>
          <w:shd w:val="clear" w:color="auto" w:fill="FFFFFF"/>
          <w:lang w:eastAsia="zh-CN"/>
        </w:rPr>
        <w:t>）</w:t>
      </w:r>
      <w:r>
        <w:rPr>
          <w:rFonts w:ascii="宋体-PUA" w:eastAsia="宋体-PUA" w:hAnsi="宋体-PUA" w:cs="宋体-PUA" w:hint="eastAsia"/>
          <w:snapToGrid/>
          <w:sz w:val="21"/>
          <w:szCs w:val="21"/>
          <w:shd w:val="clear" w:color="auto" w:fill="FFFFFF"/>
        </w:rPr>
        <w:t>制作完成后检验员根据图纸要求进行检验，成品要求表面光滑清洁度强，整体效果美观大方。用</w:t>
      </w:r>
      <w:r>
        <w:rPr>
          <w:rFonts w:ascii="宋体-PUA" w:eastAsia="宋体-PUA" w:hAnsi="宋体-PUA" w:cs="宋体-PUA" w:hint="eastAsia"/>
          <w:snapToGrid/>
          <w:sz w:val="21"/>
          <w:szCs w:val="21"/>
          <w:shd w:val="clear" w:color="auto" w:fill="FFFFFF"/>
        </w:rPr>
        <w:t>塑料包装纸进行整体包装，以免运输及安装过程中的擦伤损坏。</w:t>
      </w:r>
      <w:r>
        <w:rPr>
          <w:rFonts w:ascii="宋体-PUA" w:eastAsia="宋体-PUA" w:hAnsi="宋体-PUA" w:cs="宋体-PUA" w:hint="eastAsia"/>
          <w:snapToGrid/>
          <w:sz w:val="21"/>
          <w:szCs w:val="21"/>
          <w:shd w:val="clear" w:color="auto" w:fill="FFFFFF"/>
        </w:rPr>
        <w:t> </w:t>
      </w:r>
    </w:p>
    <w:p w:rsidR="008D4CCF">
      <w:pPr>
        <w:pStyle w:val="Normal0"/>
        <w:numPr>
          <w:ilvl w:val="0"/>
          <w:numId w:val="12"/>
        </w:numPr>
        <w:spacing w:line="440" w:lineRule="atLeast"/>
        <w:ind w:firstLine="0"/>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 </w:t>
      </w:r>
      <w:r>
        <w:rPr>
          <w:rFonts w:ascii="宋体-PUA" w:eastAsia="宋体-PUA" w:hAnsi="宋体-PUA" w:cs="宋体-PUA" w:hint="eastAsia"/>
          <w:snapToGrid/>
          <w:sz w:val="21"/>
          <w:szCs w:val="21"/>
          <w:shd w:val="clear" w:color="auto" w:fill="FFFFFF"/>
        </w:rPr>
        <w:t>安装工艺</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1</w:t>
      </w:r>
      <w:r>
        <w:rPr>
          <w:rFonts w:ascii="宋体-PUA" w:eastAsia="宋体-PUA" w:hAnsi="宋体-PUA" w:cs="宋体-PUA" w:hint="eastAsia"/>
          <w:snapToGrid/>
          <w:sz w:val="21"/>
          <w:szCs w:val="21"/>
          <w:shd w:val="clear" w:color="auto" w:fill="FFFFFF"/>
        </w:rPr>
        <w:t>）产品到达施工现场后按图纸上所规定的位置及尺寸准确安装就位，确定好标高及垂直平</w:t>
      </w:r>
      <w:r>
        <w:rPr>
          <w:rFonts w:ascii="宋体-PUA" w:eastAsia="宋体-PUA" w:hAnsi="宋体-PUA" w:cs="宋体-PUA" w:hint="eastAsia"/>
          <w:snapToGrid/>
          <w:sz w:val="21"/>
          <w:szCs w:val="21"/>
          <w:shd w:val="clear" w:color="auto" w:fill="FFFFFF"/>
        </w:rPr>
        <w:t>整度。应按照甲方要求与图纸设计要求进行定位，确保达到设计要求与验收规范。</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2</w:t>
      </w:r>
      <w:r>
        <w:rPr>
          <w:rFonts w:ascii="宋体-PUA" w:eastAsia="宋体-PUA" w:hAnsi="宋体-PUA" w:cs="宋体-PUA" w:hint="eastAsia"/>
          <w:snapToGrid/>
          <w:sz w:val="21"/>
          <w:szCs w:val="21"/>
          <w:shd w:val="clear" w:color="auto" w:fill="FFFFFF"/>
        </w:rPr>
        <w:t>）预埋件安装根据图纸设计要求和施工现场的实际情况准确无误的定位，避免造成不在一条平行线上。</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rPr>
        <w:t>4</w:t>
      </w:r>
      <w:r>
        <w:rPr>
          <w:rFonts w:ascii="宋体-PUA" w:eastAsia="宋体-PUA" w:hAnsi="宋体-PUA" w:cs="宋体-PUA" w:hint="eastAsia"/>
          <w:snapToGrid/>
          <w:sz w:val="21"/>
          <w:szCs w:val="21"/>
          <w:shd w:val="clear" w:color="auto" w:fill="FFFFFF"/>
        </w:rPr>
        <w:t>）安装偏差必须符合国家规定和设计要求，达到验收标准。</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r>
        <w:rPr>
          <w:rFonts w:ascii="宋体-PUA" w:eastAsia="宋体-PUA" w:hAnsi="宋体-PUA" w:cs="宋体-PUA" w:hint="eastAsia"/>
          <w:snapToGrid/>
          <w:sz w:val="21"/>
          <w:szCs w:val="21"/>
          <w:shd w:val="clear" w:color="auto" w:fill="FFFFFF"/>
        </w:rPr>
        <w:t>（</w:t>
      </w:r>
      <w:r>
        <w:rPr>
          <w:rFonts w:ascii="宋体-PUA" w:eastAsia="宋体-PUA" w:hAnsi="宋体-PUA" w:cs="宋体-PUA" w:hint="eastAsia"/>
          <w:snapToGrid/>
          <w:sz w:val="21"/>
          <w:szCs w:val="21"/>
          <w:shd w:val="clear" w:color="auto" w:fill="FFFFFF"/>
          <w:lang w:eastAsia="zh-CN"/>
        </w:rPr>
        <w:t>5</w:t>
      </w:r>
      <w:r>
        <w:rPr>
          <w:rFonts w:ascii="宋体-PUA" w:eastAsia="宋体-PUA" w:hAnsi="宋体-PUA" w:cs="宋体-PUA" w:hint="eastAsia"/>
          <w:snapToGrid/>
          <w:sz w:val="21"/>
          <w:szCs w:val="21"/>
          <w:shd w:val="clear" w:color="auto" w:fill="FFFFFF"/>
        </w:rPr>
        <w:t>）预埋件安装定位准确无误经验收后刷两道防锈漆，再进行铁艺</w:t>
      </w:r>
      <w:r>
        <w:rPr>
          <w:rFonts w:ascii="宋体-PUA" w:eastAsia="宋体-PUA" w:hAnsi="宋体-PUA" w:cs="宋体-PUA" w:hint="eastAsia"/>
          <w:snapToGrid/>
          <w:sz w:val="21"/>
          <w:szCs w:val="21"/>
          <w:shd w:val="clear" w:color="auto" w:fill="FFFFFF"/>
          <w:lang w:eastAsia="zh-CN"/>
        </w:rPr>
        <w:t>花格栅</w:t>
      </w:r>
      <w:r>
        <w:rPr>
          <w:rFonts w:ascii="宋体-PUA" w:eastAsia="宋体-PUA" w:hAnsi="宋体-PUA" w:cs="宋体-PUA" w:hint="eastAsia"/>
          <w:snapToGrid/>
          <w:sz w:val="21"/>
          <w:szCs w:val="21"/>
          <w:shd w:val="clear" w:color="auto" w:fill="FFFFFF"/>
        </w:rPr>
        <w:t>安装。</w:t>
      </w:r>
      <w:r>
        <w:rPr>
          <w:rFonts w:ascii="宋体-PUA" w:eastAsia="宋体-PUA" w:hAnsi="宋体-PUA" w:cs="宋体-PUA" w:hint="eastAsia"/>
          <w:snapToGrid/>
          <w:sz w:val="21"/>
          <w:szCs w:val="21"/>
          <w:shd w:val="clear" w:color="auto" w:fill="FFFFFF"/>
        </w:rPr>
        <w:t> </w:t>
      </w:r>
    </w:p>
    <w:p w:rsidR="008D4CCF">
      <w:pPr>
        <w:pStyle w:val="Normal0"/>
        <w:spacing w:line="440" w:lineRule="atLeast"/>
        <w:rPr>
          <w:rFonts w:ascii="宋体-PUA" w:eastAsia="宋体-PUA" w:hAnsi="宋体-PUA" w:cs="宋体-PUA"/>
          <w:snapToGrid/>
          <w:sz w:val="21"/>
          <w:szCs w:val="21"/>
          <w:shd w:val="clear" w:color="auto" w:fill="FFFFFF"/>
        </w:rPr>
      </w:pPr>
    </w:p>
    <w:p w:rsidR="008D4CCF">
      <w:pPr>
        <w:pStyle w:val="Heading1"/>
        <w:numPr>
          <w:ilvl w:val="0"/>
          <w:numId w:val="13"/>
        </w:numPr>
        <w:spacing w:line="440" w:lineRule="atLeast"/>
        <w:rPr>
          <w:rFonts w:ascii="宋体-PUA" w:eastAsia="宋体-PUA" w:hAnsi="宋体-PUA" w:cs="宋体-PUA"/>
          <w:sz w:val="21"/>
          <w:szCs w:val="21"/>
          <w:lang w:eastAsia="zh-CN"/>
        </w:rPr>
      </w:pPr>
      <w:bookmarkStart w:id="14" w:name="_Toc25309"/>
      <w:r>
        <w:rPr>
          <w:rFonts w:ascii="宋体-PUA" w:eastAsia="宋体-PUA" w:hAnsi="宋体-PUA" w:cs="宋体-PUA" w:hint="eastAsia"/>
          <w:sz w:val="21"/>
          <w:szCs w:val="21"/>
          <w:lang w:eastAsia="zh-CN"/>
        </w:rPr>
        <w:t>拟投入的主要施工机械设备表</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（表</w:t>
      </w: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w:t>
      </w:r>
      <w:bookmarkEnd w:id="14"/>
    </w:p>
    <w:p w:rsidR="008D4CCF">
      <w:pPr>
        <w:pStyle w:val="Heading1"/>
        <w:numPr>
          <w:ilvl w:val="0"/>
          <w:numId w:val="14"/>
        </w:numPr>
        <w:spacing w:line="440" w:lineRule="atLeast"/>
        <w:rPr>
          <w:rFonts w:ascii="宋体-PUA" w:eastAsia="宋体-PUA" w:hAnsi="宋体-PUA" w:cs="宋体-PUA"/>
          <w:sz w:val="21"/>
          <w:szCs w:val="21"/>
          <w:lang w:eastAsia="zh-CN"/>
        </w:rPr>
      </w:pPr>
      <w:bookmarkStart w:id="15" w:name="_Toc20844"/>
      <w:r>
        <w:rPr>
          <w:rFonts w:ascii="宋体-PUA" w:eastAsia="宋体-PUA" w:hAnsi="宋体-PUA" w:cs="宋体-PUA" w:hint="eastAsia"/>
          <w:sz w:val="21"/>
          <w:szCs w:val="21"/>
          <w:lang w:eastAsia="zh-CN"/>
        </w:rPr>
        <w:t>拟投入的劳动力计划（表</w:t>
      </w: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w:t>
      </w:r>
      <w:bookmarkEnd w:id="15"/>
    </w:p>
    <w:p w:rsidR="008D4CCF">
      <w:pPr>
        <w:pStyle w:val="Heading1"/>
        <w:spacing w:line="440" w:lineRule="atLeast"/>
        <w:rPr>
          <w:rFonts w:ascii="宋体-PUA" w:eastAsia="宋体-PUA" w:hAnsi="宋体-PUA" w:cs="宋体-PUA"/>
          <w:sz w:val="21"/>
          <w:szCs w:val="21"/>
          <w:lang w:eastAsia="zh-CN"/>
        </w:rPr>
      </w:pPr>
      <w:bookmarkStart w:id="16" w:name="_Toc17527"/>
      <w:r>
        <w:rPr>
          <w:rFonts w:ascii="宋体-PUA" w:eastAsia="宋体-PUA" w:hAnsi="宋体-PUA" w:cs="宋体-PUA" w:hint="eastAsia"/>
          <w:sz w:val="21"/>
          <w:szCs w:val="21"/>
          <w:lang w:eastAsia="zh-CN"/>
        </w:rPr>
        <w:t>第四章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计划开、竣工日期和施工进度网络图（表</w:t>
      </w: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w:t>
      </w:r>
      <w:bookmarkEnd w:id="16"/>
    </w:p>
    <w:p w:rsidR="008D4CCF">
      <w:pPr>
        <w:pStyle w:val="Heading1"/>
        <w:rPr>
          <w:rFonts w:ascii="宋体-PUA" w:eastAsia="宋体-PUA" w:hAnsi="宋体-PUA" w:cs="宋体-PUA"/>
          <w:sz w:val="21"/>
          <w:szCs w:val="21"/>
          <w:lang w:eastAsia="zh-CN"/>
        </w:rPr>
      </w:pPr>
      <w:bookmarkStart w:id="17" w:name="_Toc31324"/>
      <w:r>
        <w:rPr>
          <w:rFonts w:ascii="宋体-PUA" w:eastAsia="宋体-PUA" w:hAnsi="宋体-PUA" w:cs="宋体-PUA" w:hint="eastAsia"/>
          <w:sz w:val="21"/>
          <w:szCs w:val="21"/>
          <w:lang w:eastAsia="zh-CN"/>
        </w:rPr>
        <w:t>第五章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临时用地表（表</w:t>
      </w:r>
      <w:r>
        <w:rPr>
          <w:rFonts w:ascii="宋体-PUA" w:eastAsia="宋体-PUA" w:hAnsi="宋体-PUA" w:cs="宋体-PUA" w:hint="eastAsia"/>
          <w:sz w:val="21"/>
          <w:szCs w:val="21"/>
          <w:lang w:eastAsia="zh-CN"/>
        </w:rPr>
        <w:t>4</w:t>
      </w:r>
      <w:r>
        <w:rPr>
          <w:rFonts w:ascii="宋体-PUA" w:eastAsia="宋体-PUA" w:hAnsi="宋体-PUA" w:cs="宋体-PUA" w:hint="eastAsia"/>
          <w:sz w:val="21"/>
          <w:szCs w:val="21"/>
          <w:lang w:eastAsia="zh-CN"/>
        </w:rPr>
        <w:t>）</w:t>
      </w:r>
      <w:bookmarkEnd w:id="17"/>
    </w:p>
    <w:p w:rsidR="008D4CCF">
      <w:pPr>
        <w:pStyle w:val="Normal0"/>
        <w:spacing w:after="156" w:afterLines="50" w:line="440" w:lineRule="atLeast"/>
        <w:rPr>
          <w:rFonts w:ascii="宋体-PUA" w:eastAsia="宋体-PUA" w:hAnsi="宋体-PUA" w:cs="宋体-PUA"/>
          <w:sz w:val="21"/>
          <w:szCs w:val="21"/>
        </w:rPr>
      </w:pPr>
      <w:r>
        <w:rPr>
          <w:rFonts w:ascii="宋体-PUA" w:eastAsia="宋体-PUA" w:hAnsi="宋体-PUA" w:cs="宋体-PUA" w:hint="eastAsia"/>
          <w:sz w:val="21"/>
          <w:szCs w:val="21"/>
        </w:rPr>
        <w:t>注：</w:t>
      </w:r>
      <w:r>
        <w:rPr>
          <w:rFonts w:ascii="宋体-PUA" w:eastAsia="宋体-PUA" w:hAnsi="宋体-PUA" w:cs="宋体-PUA" w:hint="eastAsia"/>
          <w:sz w:val="21"/>
          <w:szCs w:val="21"/>
        </w:rPr>
        <w:t>1</w:t>
      </w:r>
      <w:r>
        <w:rPr>
          <w:rFonts w:ascii="宋体-PUA" w:eastAsia="宋体-PUA" w:hAnsi="宋体-PUA" w:cs="宋体-PUA" w:hint="eastAsia"/>
          <w:sz w:val="21"/>
          <w:szCs w:val="21"/>
        </w:rPr>
        <w:t>、投标人应逐项填写本表，指出全部临时设施用地面积以及详细用途。</w:t>
      </w:r>
    </w:p>
    <w:p w:rsidR="008D4CCF">
      <w:pPr>
        <w:pStyle w:val="Normal0"/>
        <w:numPr>
          <w:ilvl w:val="1"/>
          <w:numId w:val="15"/>
        </w:numPr>
        <w:tabs>
          <w:tab w:val="left" w:pos="0"/>
          <w:tab w:val="left" w:pos="360"/>
          <w:tab w:val="left" w:pos="720"/>
          <w:tab w:val="clear" w:pos="780"/>
        </w:tabs>
        <w:adjustRightInd w:val="0"/>
        <w:snapToGrid w:val="0"/>
        <w:spacing w:line="440" w:lineRule="atLeast"/>
        <w:ind w:left="540" w:firstLine="0"/>
        <w:rPr>
          <w:rFonts w:ascii="宋体-PUA" w:eastAsia="宋体-PUA" w:hAnsi="宋体-PUA" w:cs="宋体-PUA"/>
          <w:sz w:val="21"/>
          <w:szCs w:val="21"/>
        </w:rPr>
      </w:pPr>
      <w:r>
        <w:rPr>
          <w:rFonts w:ascii="宋体-PUA" w:eastAsia="宋体-PUA" w:hAnsi="宋体-PUA" w:cs="宋体-PUA" w:hint="eastAsia"/>
          <w:sz w:val="21"/>
          <w:szCs w:val="21"/>
        </w:rPr>
        <w:t>工地现场办公室、仓库、施工人员宿舍等施工用房的落实和布置；</w:t>
      </w:r>
    </w:p>
    <w:p w:rsidR="008D4CCF">
      <w:pPr>
        <w:pStyle w:val="Normal0"/>
        <w:tabs>
          <w:tab w:val="left" w:pos="0"/>
          <w:tab w:val="left" w:pos="360"/>
          <w:tab w:val="left" w:pos="720"/>
        </w:tabs>
        <w:adjustRightInd w:val="0"/>
        <w:snapToGrid w:val="0"/>
        <w:spacing w:line="440" w:lineRule="atLeast"/>
        <w:ind w:left="180"/>
        <w:rPr>
          <w:rFonts w:ascii="宋体-PUA" w:eastAsia="宋体-PUA" w:hAnsi="宋体-PUA" w:cs="宋体-PUA"/>
          <w:sz w:val="21"/>
          <w:szCs w:val="21"/>
          <w:lang w:eastAsia="zh-CN"/>
        </w:rPr>
      </w:pPr>
      <w:r>
        <w:rPr>
          <w:rFonts w:ascii="宋体-PUA" w:eastAsia="宋体-PUA" w:hAnsi="宋体-PUA" w:cs="宋体-PUA" w:hint="eastAsia"/>
          <w:sz w:val="21"/>
          <w:szCs w:val="21"/>
          <w:lang w:eastAsia="zh-CN"/>
        </w:rPr>
        <w:t xml:space="preserve">   a</w:t>
      </w:r>
      <w:r>
        <w:rPr>
          <w:rFonts w:ascii="宋体-PUA" w:eastAsia="宋体-PUA" w:hAnsi="宋体-PUA" w:cs="宋体-PUA" w:hint="eastAsia"/>
          <w:sz w:val="21"/>
          <w:szCs w:val="21"/>
          <w:lang w:eastAsia="zh-CN"/>
        </w:rPr>
        <w:t>、我方自有工厂库房仓储材料，材料可采购后分小批量进场，</w:t>
      </w:r>
    </w:p>
    <w:p w:rsidR="008D4CCF">
      <w:pPr>
        <w:pStyle w:val="Normal0"/>
        <w:tabs>
          <w:tab w:val="left" w:pos="0"/>
          <w:tab w:val="left" w:pos="360"/>
          <w:tab w:val="left" w:pos="720"/>
        </w:tabs>
        <w:adjustRightInd w:val="0"/>
        <w:snapToGrid w:val="0"/>
        <w:spacing w:line="440" w:lineRule="atLeast"/>
        <w:ind w:left="180"/>
        <w:rPr>
          <w:rFonts w:ascii="宋体-PUA" w:eastAsia="宋体-PUA" w:hAnsi="宋体-PUA" w:cs="宋体-PUA"/>
          <w:sz w:val="21"/>
          <w:szCs w:val="21"/>
          <w:lang w:eastAsia="zh-CN"/>
        </w:rPr>
      </w:pPr>
      <w:r>
        <w:rPr>
          <w:rFonts w:ascii="宋体-PUA" w:eastAsia="宋体-PUA" w:hAnsi="宋体-PUA" w:cs="宋体-PUA" w:hint="eastAsia"/>
          <w:sz w:val="21"/>
          <w:szCs w:val="21"/>
          <w:lang w:eastAsia="zh-CN"/>
        </w:rPr>
        <w:t xml:space="preserve">   b</w:t>
      </w:r>
      <w:r>
        <w:rPr>
          <w:rFonts w:ascii="宋体-PUA" w:eastAsia="宋体-PUA" w:hAnsi="宋体-PUA" w:cs="宋体-PUA" w:hint="eastAsia"/>
          <w:sz w:val="21"/>
          <w:szCs w:val="21"/>
          <w:lang w:eastAsia="zh-CN"/>
        </w:rPr>
        <w:t>、材料进场后临时性堆放可直接放置商铺一层室内，减少与园林等室外作业发生场地冲突；</w:t>
      </w:r>
    </w:p>
    <w:p w:rsidR="008D4CCF">
      <w:pPr>
        <w:pStyle w:val="Normal0"/>
        <w:tabs>
          <w:tab w:val="left" w:pos="0"/>
          <w:tab w:val="left" w:pos="360"/>
          <w:tab w:val="left" w:pos="720"/>
        </w:tabs>
        <w:adjustRightInd w:val="0"/>
        <w:snapToGrid w:val="0"/>
        <w:spacing w:line="440" w:lineRule="atLeast"/>
        <w:ind w:left="180"/>
        <w:rPr>
          <w:rFonts w:ascii="宋体-PUA" w:eastAsia="宋体-PUA" w:hAnsi="宋体-PUA" w:cs="宋体-PUA"/>
          <w:sz w:val="21"/>
          <w:szCs w:val="21"/>
          <w:lang w:eastAsia="zh-CN"/>
        </w:rPr>
      </w:pPr>
      <w:r>
        <w:rPr>
          <w:rFonts w:ascii="宋体-PUA" w:eastAsia="宋体-PUA" w:hAnsi="宋体-PUA" w:cs="宋体-PUA" w:hint="eastAsia"/>
          <w:sz w:val="21"/>
          <w:szCs w:val="21"/>
          <w:lang w:eastAsia="zh-CN"/>
        </w:rPr>
        <w:t xml:space="preserve">   c</w:t>
      </w:r>
      <w:r>
        <w:rPr>
          <w:rFonts w:ascii="宋体-PUA" w:eastAsia="宋体-PUA" w:hAnsi="宋体-PUA" w:cs="宋体-PUA" w:hint="eastAsia"/>
          <w:sz w:val="21"/>
          <w:szCs w:val="21"/>
          <w:lang w:eastAsia="zh-CN"/>
        </w:rPr>
        <w:t>、办公场地及小工具库房计划设置在商铺一层或者二层，便于施工管理及作业。</w:t>
      </w:r>
    </w:p>
    <w:p w:rsidR="008D4CCF">
      <w:pPr>
        <w:pStyle w:val="Normal0"/>
        <w:numPr>
          <w:ilvl w:val="1"/>
          <w:numId w:val="15"/>
        </w:numPr>
        <w:tabs>
          <w:tab w:val="left" w:pos="0"/>
          <w:tab w:val="left" w:pos="360"/>
          <w:tab w:val="left" w:pos="720"/>
          <w:tab w:val="clear" w:pos="780"/>
        </w:tabs>
        <w:adjustRightInd w:val="0"/>
        <w:snapToGrid w:val="0"/>
        <w:spacing w:line="440" w:lineRule="atLeast"/>
        <w:ind w:left="540" w:firstLine="0"/>
        <w:rPr>
          <w:rFonts w:ascii="宋体-PUA" w:eastAsia="宋体-PUA" w:hAnsi="宋体-PUA" w:cs="宋体-PUA"/>
          <w:sz w:val="21"/>
          <w:szCs w:val="21"/>
        </w:rPr>
      </w:pPr>
      <w:r>
        <w:rPr>
          <w:rFonts w:ascii="宋体-PUA" w:eastAsia="宋体-PUA" w:hAnsi="宋体-PUA" w:cs="宋体-PUA" w:hint="eastAsia"/>
          <w:sz w:val="21"/>
          <w:szCs w:val="21"/>
        </w:rPr>
        <w:t>工地施工现场办公室配置一个台式带传真的电话机，现场工程项目管理人员配置</w:t>
      </w:r>
      <w:r>
        <w:rPr>
          <w:rFonts w:ascii="宋体-PUA" w:eastAsia="宋体-PUA" w:hAnsi="宋体-PUA" w:cs="宋体-PUA" w:hint="eastAsia"/>
          <w:sz w:val="21"/>
          <w:szCs w:val="21"/>
          <w:lang w:eastAsia="zh-CN"/>
        </w:rPr>
        <w:t>对讲机</w:t>
      </w:r>
      <w:r>
        <w:rPr>
          <w:rFonts w:ascii="宋体-PUA" w:eastAsia="宋体-PUA" w:hAnsi="宋体-PUA" w:cs="宋体-PUA" w:hint="eastAsia"/>
          <w:sz w:val="21"/>
          <w:szCs w:val="21"/>
        </w:rPr>
        <w:t>人手一台，电脑及打印机各一台。</w:t>
      </w:r>
    </w:p>
    <w:p w:rsidR="008D4CCF">
      <w:pPr>
        <w:pStyle w:val="Normal0"/>
        <w:tabs>
          <w:tab w:val="left" w:pos="735"/>
        </w:tabs>
        <w:spacing w:line="440" w:lineRule="atLeast"/>
        <w:rPr>
          <w:rFonts w:ascii="宋体-PUA" w:eastAsia="宋体-PUA" w:hAnsi="宋体-PUA" w:cs="宋体-PUA"/>
          <w:sz w:val="21"/>
          <w:szCs w:val="21"/>
        </w:rPr>
      </w:pPr>
      <w:r>
        <w:rPr>
          <w:rFonts w:ascii="宋体-PUA" w:eastAsia="宋体-PUA" w:hAnsi="宋体-PUA" w:cs="宋体-PUA" w:hint="eastAsia"/>
          <w:sz w:val="21"/>
          <w:szCs w:val="21"/>
        </w:rPr>
        <w:t>根据现场条件提请招标单位协调解决房屋设施：</w:t>
      </w:r>
    </w:p>
    <w:p w:rsidR="008D4CCF">
      <w:pPr>
        <w:pStyle w:val="Normal0"/>
        <w:tabs>
          <w:tab w:val="left" w:pos="735"/>
        </w:tabs>
        <w:spacing w:line="440" w:lineRule="atLeast"/>
        <w:ind w:left="540"/>
        <w:rPr>
          <w:rFonts w:ascii="宋体-PUA" w:eastAsia="宋体-PUA" w:hAnsi="宋体-PUA" w:cs="宋体-PUA"/>
          <w:sz w:val="21"/>
          <w:szCs w:val="21"/>
        </w:rPr>
      </w:pPr>
      <w:r>
        <w:rPr>
          <w:rFonts w:ascii="宋体-PUA" w:eastAsia="宋体-PUA" w:hAnsi="宋体-PUA" w:cs="宋体-PUA" w:hint="eastAsia"/>
          <w:sz w:val="21"/>
          <w:szCs w:val="21"/>
        </w:rPr>
        <w:t>a</w:t>
      </w:r>
      <w:r>
        <w:rPr>
          <w:rFonts w:ascii="宋体-PUA" w:eastAsia="宋体-PUA" w:hAnsi="宋体-PUA" w:cs="宋体-PUA" w:hint="eastAsia"/>
          <w:sz w:val="21"/>
          <w:szCs w:val="21"/>
        </w:rPr>
        <w:t>、现场办公室一间：约</w:t>
      </w:r>
      <w:r>
        <w:rPr>
          <w:rFonts w:ascii="宋体-PUA" w:eastAsia="宋体-PUA" w:hAnsi="宋体-PUA" w:cs="宋体-PUA" w:hint="eastAsia"/>
          <w:sz w:val="21"/>
          <w:szCs w:val="21"/>
        </w:rPr>
        <w:t>20</w:t>
      </w:r>
      <w:r>
        <w:rPr>
          <w:rFonts w:ascii="宋体-PUA" w:eastAsia="宋体-PUA" w:hAnsi="宋体-PUA" w:cs="宋体-PUA" w:hint="eastAsia"/>
          <w:sz w:val="21"/>
          <w:szCs w:val="21"/>
        </w:rPr>
        <w:t>平方米。</w:t>
      </w:r>
    </w:p>
    <w:p w:rsidR="008D4CCF">
      <w:pPr>
        <w:pStyle w:val="Normal0"/>
        <w:tabs>
          <w:tab w:val="left" w:pos="735"/>
        </w:tabs>
        <w:spacing w:line="440" w:lineRule="atLeast"/>
        <w:ind w:left="540"/>
        <w:rPr>
          <w:rFonts w:ascii="宋体-PUA" w:eastAsia="宋体-PUA" w:hAnsi="宋体-PUA" w:cs="宋体-PUA"/>
          <w:sz w:val="21"/>
          <w:szCs w:val="21"/>
        </w:rPr>
      </w:pPr>
      <w:r>
        <w:rPr>
          <w:rFonts w:ascii="宋体-PUA" w:eastAsia="宋体-PUA" w:hAnsi="宋体-PUA" w:cs="宋体-PUA" w:hint="eastAsia"/>
          <w:sz w:val="21"/>
          <w:szCs w:val="21"/>
        </w:rPr>
        <w:t>b</w:t>
      </w:r>
      <w:r>
        <w:rPr>
          <w:rFonts w:ascii="宋体-PUA" w:eastAsia="宋体-PUA" w:hAnsi="宋体-PUA" w:cs="宋体-PUA" w:hint="eastAsia"/>
          <w:sz w:val="21"/>
          <w:szCs w:val="21"/>
        </w:rPr>
        <w:t>、工具材料库两间：约</w:t>
      </w:r>
      <w:r>
        <w:rPr>
          <w:rFonts w:ascii="宋体-PUA" w:eastAsia="宋体-PUA" w:hAnsi="宋体-PUA" w:cs="宋体-PUA" w:hint="eastAsia"/>
          <w:sz w:val="21"/>
          <w:szCs w:val="21"/>
        </w:rPr>
        <w:t>30</w:t>
      </w:r>
      <w:r>
        <w:rPr>
          <w:rFonts w:ascii="宋体-PUA" w:eastAsia="宋体-PUA" w:hAnsi="宋体-PUA" w:cs="宋体-PUA" w:hint="eastAsia"/>
          <w:sz w:val="21"/>
          <w:szCs w:val="21"/>
        </w:rPr>
        <w:t>平方米。</w:t>
      </w:r>
    </w:p>
    <w:p w:rsidR="008D4CCF">
      <w:pPr>
        <w:pStyle w:val="Normal0"/>
        <w:tabs>
          <w:tab w:val="left" w:pos="735"/>
        </w:tabs>
        <w:spacing w:line="440" w:lineRule="atLeast"/>
        <w:ind w:left="540"/>
        <w:rPr>
          <w:rFonts w:ascii="宋体-PUA" w:eastAsia="宋体-PUA" w:hAnsi="宋体-PUA" w:cs="宋体-PUA"/>
          <w:sz w:val="21"/>
          <w:szCs w:val="21"/>
        </w:rPr>
      </w:pPr>
      <w:r>
        <w:rPr>
          <w:rFonts w:ascii="宋体-PUA" w:eastAsia="宋体-PUA" w:hAnsi="宋体-PUA" w:cs="宋体-PUA" w:hint="eastAsia"/>
          <w:sz w:val="21"/>
          <w:szCs w:val="21"/>
        </w:rPr>
        <w:t>c</w:t>
      </w:r>
      <w:r>
        <w:rPr>
          <w:rFonts w:ascii="宋体-PUA" w:eastAsia="宋体-PUA" w:hAnsi="宋体-PUA" w:cs="宋体-PUA" w:hint="eastAsia"/>
          <w:sz w:val="21"/>
          <w:szCs w:val="21"/>
        </w:rPr>
        <w:t>、加工制作场：约</w:t>
      </w:r>
      <w:r>
        <w:rPr>
          <w:rFonts w:ascii="宋体-PUA" w:eastAsia="宋体-PUA" w:hAnsi="宋体-PUA" w:cs="宋体-PUA" w:hint="eastAsia"/>
          <w:sz w:val="21"/>
          <w:szCs w:val="21"/>
        </w:rPr>
        <w:t>50</w:t>
      </w:r>
      <w:r>
        <w:rPr>
          <w:rFonts w:ascii="宋体-PUA" w:eastAsia="宋体-PUA" w:hAnsi="宋体-PUA" w:cs="宋体-PUA" w:hint="eastAsia"/>
          <w:sz w:val="21"/>
          <w:szCs w:val="21"/>
        </w:rPr>
        <w:t>平方米。</w:t>
      </w:r>
    </w:p>
    <w:p w:rsidR="008D4CCF">
      <w:pPr>
        <w:pStyle w:val="Normal0"/>
        <w:tabs>
          <w:tab w:val="left" w:pos="735"/>
        </w:tabs>
        <w:spacing w:line="440" w:lineRule="atLeast"/>
        <w:ind w:left="540"/>
        <w:rPr>
          <w:rFonts w:ascii="宋体-PUA" w:eastAsia="宋体-PUA" w:hAnsi="宋体-PUA" w:cs="宋体-PUA"/>
          <w:sz w:val="21"/>
          <w:szCs w:val="21"/>
        </w:rPr>
      </w:pPr>
      <w:r>
        <w:rPr>
          <w:rFonts w:ascii="宋体-PUA" w:eastAsia="宋体-PUA" w:hAnsi="宋体-PUA" w:cs="宋体-PUA" w:hint="eastAsia"/>
          <w:sz w:val="21"/>
          <w:szCs w:val="21"/>
        </w:rPr>
        <w:t>d</w:t>
      </w:r>
      <w:r>
        <w:rPr>
          <w:rFonts w:ascii="宋体-PUA" w:eastAsia="宋体-PUA" w:hAnsi="宋体-PUA" w:cs="宋体-PUA" w:hint="eastAsia"/>
          <w:sz w:val="21"/>
          <w:szCs w:val="21"/>
        </w:rPr>
        <w:t>、露天临时仓库：约</w:t>
      </w:r>
      <w:r>
        <w:rPr>
          <w:rFonts w:ascii="宋体-PUA" w:eastAsia="宋体-PUA" w:hAnsi="宋体-PUA" w:cs="宋体-PUA" w:hint="eastAsia"/>
          <w:sz w:val="21"/>
          <w:szCs w:val="21"/>
        </w:rPr>
        <w:t>100</w:t>
      </w:r>
      <w:r>
        <w:rPr>
          <w:rFonts w:ascii="宋体-PUA" w:eastAsia="宋体-PUA" w:hAnsi="宋体-PUA" w:cs="宋体-PUA" w:hint="eastAsia"/>
          <w:sz w:val="21"/>
          <w:szCs w:val="21"/>
        </w:rPr>
        <w:t>平方米</w:t>
      </w:r>
      <w:r>
        <w:rPr>
          <w:rFonts w:ascii="宋体-PUA" w:eastAsia="宋体-PUA" w:hAnsi="宋体-PUA" w:cs="宋体-PUA" w:hint="eastAsia"/>
          <w:sz w:val="21"/>
          <w:szCs w:val="21"/>
          <w:lang w:eastAsia="zh-CN"/>
        </w:rPr>
        <w:t>，用于我方临时材料周转用地</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p>
    <w:p w:rsidR="008D4CCF">
      <w:pPr>
        <w:pStyle w:val="Normal0"/>
        <w:tabs>
          <w:tab w:val="left" w:pos="735"/>
        </w:tabs>
        <w:spacing w:line="440" w:lineRule="atLeast"/>
        <w:ind w:left="540"/>
        <w:rPr>
          <w:rFonts w:ascii="宋体-PUA" w:eastAsia="宋体-PUA" w:hAnsi="宋体-PUA" w:cs="宋体-PUA"/>
          <w:sz w:val="21"/>
          <w:szCs w:val="21"/>
        </w:rPr>
        <w:sectPr>
          <w:type w:val="nextPage"/>
          <w:pgSz w:w="11906" w:h="16838"/>
          <w:pgMar w:top="1417" w:right="1134" w:bottom="1134" w:left="1134" w:header="851" w:footer="992" w:gutter="0"/>
          <w:pgNumType w:start="18"/>
          <w:cols w:space="708"/>
          <w:titlePg w:val="0"/>
          <w:docGrid w:type="lines" w:linePitch="312"/>
        </w:sectPr>
      </w:pPr>
      <w:r>
        <w:rPr>
          <w:rFonts w:ascii="宋体-PUA" w:eastAsia="宋体-PUA" w:hAnsi="宋体-PUA" w:cs="宋体-PUA" w:hint="eastAsia"/>
          <w:sz w:val="21"/>
          <w:szCs w:val="21"/>
        </w:rPr>
        <w:t>总计：约</w:t>
      </w:r>
      <w:r>
        <w:rPr>
          <w:rFonts w:ascii="宋体-PUA" w:eastAsia="宋体-PUA" w:hAnsi="宋体-PUA" w:cs="宋体-PUA" w:hint="eastAsia"/>
          <w:sz w:val="21"/>
          <w:szCs w:val="21"/>
        </w:rPr>
        <w:t>200</w:t>
      </w:r>
      <w:r>
        <w:rPr>
          <w:rFonts w:ascii="宋体-PUA" w:eastAsia="宋体-PUA" w:hAnsi="宋体-PUA" w:cs="宋体-PUA" w:hint="eastAsia"/>
          <w:sz w:val="21"/>
          <w:szCs w:val="21"/>
        </w:rPr>
        <w:t>平方米</w:t>
      </w:r>
    </w:p>
    <w:p w:rsidR="008D4CCF">
      <w:pPr>
        <w:pStyle w:val="Normal0"/>
        <w:tabs>
          <w:tab w:val="left" w:pos="0"/>
          <w:tab w:val="left" w:pos="360"/>
          <w:tab w:val="left" w:pos="720"/>
        </w:tabs>
        <w:adjustRightInd w:val="0"/>
        <w:snapToGrid w:val="0"/>
        <w:spacing w:line="440" w:lineRule="atLeast"/>
        <w:ind w:left="180"/>
        <w:rPr>
          <w:rFonts w:ascii="宋体-PUA" w:eastAsia="宋体-PUA" w:hAnsi="宋体-PUA" w:cs="宋体-PUA"/>
          <w:sz w:val="21"/>
          <w:szCs w:val="21"/>
        </w:rPr>
      </w:pPr>
      <w:r>
        <w:rPr>
          <w:rFonts w:ascii="宋体-PUA" w:eastAsia="宋体-PUA" w:hAnsi="宋体-PUA" w:cs="宋体-PUA"/>
          <w:sz w:val="21"/>
          <w:szCs w:val="21"/>
        </w:rPr>
        <w:pict>
          <v:shape id="_x0000_i1027" type="#_x0000_t75" style="width:294pt;height:250.5pt;mso-position-horizontal-relative:page;mso-position-vertical-relative:page;mso-wrap-style:square">
            <v:imagedata r:id="rId8" o:title=""/>
          </v:shape>
        </w:pict>
      </w:r>
    </w:p>
    <w:p w:rsidR="008D4CCF">
      <w:pPr>
        <w:pStyle w:val="Normal0"/>
        <w:tabs>
          <w:tab w:val="left" w:pos="0"/>
          <w:tab w:val="left" w:pos="360"/>
          <w:tab w:val="left" w:pos="720"/>
        </w:tabs>
        <w:adjustRightInd w:val="0"/>
        <w:snapToGrid w:val="0"/>
        <w:spacing w:line="440" w:lineRule="atLeast"/>
        <w:jc w:val="center"/>
        <w:rPr>
          <w:rFonts w:ascii="宋体-PUA" w:eastAsia="宋体-PUA" w:hAnsi="宋体-PUA" w:cs="宋体-PUA"/>
          <w:sz w:val="21"/>
          <w:szCs w:val="21"/>
          <w:lang w:eastAsia="zh-CN"/>
        </w:rPr>
      </w:pPr>
      <w:r>
        <w:rPr>
          <w:rFonts w:ascii="宋体-PUA" w:eastAsia="宋体-PUA" w:hAnsi="宋体-PUA" w:cs="宋体-PUA" w:hint="eastAsia"/>
          <w:sz w:val="21"/>
          <w:szCs w:val="21"/>
          <w:lang w:eastAsia="zh-CN"/>
        </w:rPr>
        <w:t>现场临时办公及材料堆放平面图</w:t>
      </w:r>
    </w:p>
    <w:p w:rsidR="008D4CCF">
      <w:pPr>
        <w:pStyle w:val="Normal0"/>
        <w:tabs>
          <w:tab w:val="left" w:pos="735"/>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(3)  </w:t>
      </w:r>
      <w:r>
        <w:rPr>
          <w:rFonts w:ascii="宋体-PUA" w:eastAsia="宋体-PUA" w:hAnsi="宋体-PUA" w:cs="宋体-PUA" w:hint="eastAsia"/>
          <w:sz w:val="21"/>
          <w:szCs w:val="21"/>
        </w:rPr>
        <w:t>临时设施的用水、用电由招标方负责接驳到施工现场。</w:t>
      </w:r>
    </w:p>
    <w:p w:rsidR="008D4CCF">
      <w:pPr>
        <w:pStyle w:val="Normal0"/>
        <w:tabs>
          <w:tab w:val="left" w:pos="735"/>
        </w:tabs>
        <w:spacing w:line="440" w:lineRule="atLeast"/>
        <w:ind w:left="540" w:leftChars="257"/>
        <w:rPr>
          <w:rFonts w:ascii="宋体-PUA" w:eastAsia="宋体-PUA" w:hAnsi="宋体-PUA" w:cs="宋体-PUA"/>
          <w:sz w:val="21"/>
          <w:szCs w:val="21"/>
        </w:rPr>
      </w:pPr>
      <w:r>
        <w:rPr>
          <w:rFonts w:ascii="宋体-PUA" w:eastAsia="宋体-PUA" w:hAnsi="宋体-PUA" w:cs="宋体-PUA" w:hint="eastAsia"/>
          <w:sz w:val="21"/>
          <w:szCs w:val="21"/>
        </w:rPr>
        <w:t>a.</w:t>
      </w:r>
      <w:r>
        <w:rPr>
          <w:rFonts w:ascii="宋体-PUA" w:eastAsia="宋体-PUA" w:hAnsi="宋体-PUA" w:cs="宋体-PUA" w:hint="eastAsia"/>
          <w:sz w:val="21"/>
          <w:szCs w:val="21"/>
        </w:rPr>
        <w:t>现场用电：由业主方或总包方提供电源，在底层设置总闸箱；再由总闸箱接各流动电箱，所用电箱均需断电保护装置，漏电保护装置，接地接零。总电箱应有专人保管，新有电路及设备均应符合用电的</w:t>
      </w:r>
      <w:r>
        <w:rPr>
          <w:rFonts w:ascii="宋体-PUA" w:eastAsia="宋体-PUA" w:hAnsi="宋体-PUA" w:cs="宋体-PUA" w:hint="eastAsia"/>
          <w:sz w:val="21"/>
          <w:szCs w:val="21"/>
        </w:rPr>
        <w:t>安全规范。</w:t>
      </w:r>
    </w:p>
    <w:p w:rsidR="008D4CCF">
      <w:pPr>
        <w:pStyle w:val="Normal0"/>
        <w:tabs>
          <w:tab w:val="left" w:pos="735"/>
        </w:tabs>
        <w:spacing w:line="440" w:lineRule="atLeast"/>
        <w:ind w:left="540" w:leftChars="257"/>
        <w:rPr>
          <w:rFonts w:ascii="宋体-PUA" w:eastAsia="宋体-PUA" w:hAnsi="宋体-PUA" w:cs="宋体-PUA"/>
          <w:sz w:val="21"/>
          <w:szCs w:val="21"/>
        </w:rPr>
      </w:pPr>
      <w:r>
        <w:rPr>
          <w:rFonts w:ascii="宋体-PUA" w:eastAsia="宋体-PUA" w:hAnsi="宋体-PUA" w:cs="宋体-PUA" w:hint="eastAsia"/>
          <w:sz w:val="21"/>
          <w:szCs w:val="21"/>
        </w:rPr>
        <w:t>b</w:t>
      </w:r>
      <w:r>
        <w:rPr>
          <w:rFonts w:ascii="宋体-PUA" w:eastAsia="宋体-PUA" w:hAnsi="宋体-PUA" w:cs="宋体-PUA" w:hint="eastAsia"/>
          <w:sz w:val="21"/>
          <w:szCs w:val="21"/>
        </w:rPr>
        <w:t>、临时用水：包括施工用水和生活用水。根据现场实际情况，统一安排解决。</w:t>
      </w:r>
    </w:p>
    <w:p w:rsidR="008D4CCF">
      <w:pPr>
        <w:pStyle w:val="Normal0"/>
        <w:tabs>
          <w:tab w:val="left" w:pos="735"/>
        </w:tabs>
        <w:spacing w:line="440" w:lineRule="atLeast"/>
        <w:ind w:left="181" w:leftChars="86"/>
        <w:rPr>
          <w:rFonts w:ascii="宋体-PUA" w:eastAsia="宋体-PUA" w:hAnsi="宋体-PUA" w:cs="宋体-PUA"/>
          <w:sz w:val="21"/>
          <w:szCs w:val="21"/>
        </w:rPr>
      </w:pPr>
      <w:r>
        <w:rPr>
          <w:rFonts w:ascii="宋体-PUA" w:eastAsia="宋体-PUA" w:hAnsi="宋体-PUA" w:cs="宋体-PUA" w:hint="eastAsia"/>
          <w:sz w:val="21"/>
          <w:szCs w:val="21"/>
        </w:rPr>
        <w:t xml:space="preserve">(4)  </w:t>
      </w:r>
      <w:r>
        <w:rPr>
          <w:rFonts w:ascii="宋体-PUA" w:eastAsia="宋体-PUA" w:hAnsi="宋体-PUA" w:cs="宋体-PUA" w:hint="eastAsia"/>
          <w:sz w:val="21"/>
          <w:szCs w:val="21"/>
        </w:rPr>
        <w:t>在施工安装部位应提供符合施工要求的脚手架。工程脚手架由土建单位负责提供。为满足幕墙施工的操作要求，脚手架应一次搭设完成。立杆离结构面距离为</w:t>
      </w:r>
      <w:r>
        <w:rPr>
          <w:rFonts w:ascii="宋体-PUA" w:eastAsia="宋体-PUA" w:hAnsi="宋体-PUA" w:cs="宋体-PUA" w:hint="eastAsia"/>
          <w:sz w:val="21"/>
          <w:szCs w:val="21"/>
        </w:rPr>
        <w:t>350-400mm</w:t>
      </w:r>
      <w:r>
        <w:rPr>
          <w:rFonts w:ascii="宋体-PUA" w:eastAsia="宋体-PUA" w:hAnsi="宋体-PUA" w:cs="宋体-PUA" w:hint="eastAsia"/>
          <w:sz w:val="21"/>
          <w:szCs w:val="21"/>
        </w:rPr>
        <w:t>为宜。脚手架搭设应符合外双排脚手架的操作要求和安全要求。</w:t>
      </w:r>
    </w:p>
    <w:p w:rsidR="008D4CCF">
      <w:pPr>
        <w:pStyle w:val="Normal0"/>
        <w:numPr>
          <w:ilvl w:val="4"/>
          <w:numId w:val="40"/>
        </w:numPr>
        <w:tabs>
          <w:tab w:val="left" w:pos="735"/>
          <w:tab w:val="left" w:pos="1080"/>
          <w:tab w:val="clear" w:pos="2040"/>
        </w:tabs>
        <w:spacing w:line="440" w:lineRule="atLeast"/>
        <w:ind w:left="720" w:firstLine="0"/>
        <w:rPr>
          <w:rFonts w:ascii="宋体-PUA" w:eastAsia="宋体-PUA" w:hAnsi="宋体-PUA" w:cs="宋体-PUA"/>
          <w:sz w:val="21"/>
          <w:szCs w:val="21"/>
        </w:rPr>
      </w:pPr>
      <w:r>
        <w:rPr>
          <w:rFonts w:ascii="宋体-PUA" w:eastAsia="宋体-PUA" w:hAnsi="宋体-PUA" w:cs="宋体-PUA" w:hint="eastAsia"/>
          <w:sz w:val="21"/>
          <w:szCs w:val="21"/>
        </w:rPr>
        <w:t>按操作规程设置拉结点，拉结点尽量设置在窗洞处，设置好的拉结点不允许任意拆除，造成不稳定结构。</w:t>
      </w:r>
    </w:p>
    <w:p w:rsidR="008D4CCF">
      <w:pPr>
        <w:pStyle w:val="Normal0"/>
        <w:numPr>
          <w:ilvl w:val="4"/>
          <w:numId w:val="40"/>
        </w:numPr>
        <w:tabs>
          <w:tab w:val="left" w:pos="735"/>
          <w:tab w:val="left" w:pos="1080"/>
          <w:tab w:val="clear" w:pos="2040"/>
        </w:tabs>
        <w:spacing w:line="440" w:lineRule="atLeast"/>
        <w:ind w:left="720" w:firstLine="0"/>
        <w:rPr>
          <w:rFonts w:ascii="宋体-PUA" w:eastAsia="宋体-PUA" w:hAnsi="宋体-PUA" w:cs="宋体-PUA"/>
          <w:sz w:val="21"/>
          <w:szCs w:val="21"/>
        </w:rPr>
      </w:pPr>
      <w:r>
        <w:rPr>
          <w:rFonts w:ascii="宋体-PUA" w:eastAsia="宋体-PUA" w:hAnsi="宋体-PUA" w:cs="宋体-PUA" w:hint="eastAsia"/>
          <w:sz w:val="21"/>
          <w:szCs w:val="21"/>
        </w:rPr>
        <w:t>每步设置脚手板，踢脚板，护身围栏板。</w:t>
      </w:r>
    </w:p>
    <w:p w:rsidR="008D4CCF">
      <w:pPr>
        <w:pStyle w:val="Normal0"/>
        <w:numPr>
          <w:ilvl w:val="4"/>
          <w:numId w:val="40"/>
        </w:numPr>
        <w:tabs>
          <w:tab w:val="left" w:pos="735"/>
          <w:tab w:val="left" w:pos="1080"/>
          <w:tab w:val="clear" w:pos="2040"/>
        </w:tabs>
        <w:spacing w:line="440" w:lineRule="atLeast"/>
        <w:ind w:left="720" w:firstLine="0"/>
        <w:rPr>
          <w:rFonts w:ascii="宋体-PUA" w:eastAsia="宋体-PUA" w:hAnsi="宋体-PUA" w:cs="宋体-PUA"/>
          <w:sz w:val="21"/>
          <w:szCs w:val="21"/>
        </w:rPr>
      </w:pPr>
      <w:r>
        <w:rPr>
          <w:rFonts w:ascii="宋体-PUA" w:eastAsia="宋体-PUA" w:hAnsi="宋体-PUA" w:cs="宋体-PUA" w:hint="eastAsia"/>
          <w:sz w:val="21"/>
          <w:szCs w:val="21"/>
        </w:rPr>
        <w:t>搭设的技术要求应满足承重脚手架和高层脚手架的要求。</w:t>
      </w:r>
    </w:p>
    <w:p w:rsidR="008D4CCF">
      <w:pPr>
        <w:pStyle w:val="Normal0"/>
        <w:numPr>
          <w:ilvl w:val="4"/>
          <w:numId w:val="40"/>
        </w:numPr>
        <w:tabs>
          <w:tab w:val="left" w:pos="735"/>
          <w:tab w:val="left" w:pos="1080"/>
          <w:tab w:val="clear" w:pos="2040"/>
        </w:tabs>
        <w:spacing w:line="440" w:lineRule="atLeast"/>
        <w:ind w:left="720" w:firstLine="0"/>
        <w:rPr>
          <w:rFonts w:ascii="宋体-PUA" w:eastAsia="宋体-PUA" w:hAnsi="宋体-PUA" w:cs="宋体-PUA"/>
          <w:sz w:val="21"/>
          <w:szCs w:val="21"/>
        </w:rPr>
      </w:pPr>
      <w:r>
        <w:rPr>
          <w:rFonts w:ascii="宋体-PUA" w:eastAsia="宋体-PUA" w:hAnsi="宋体-PUA" w:cs="宋体-PUA" w:hint="eastAsia"/>
          <w:sz w:val="21"/>
          <w:szCs w:val="21"/>
        </w:rPr>
        <w:t>脚手架搭设完毕后应进行技术验收，达不到技术要求的应进行补救，一定要达到安全要求。（施工中，任何人和单位不得随意拆除</w:t>
      </w:r>
      <w:r>
        <w:rPr>
          <w:rFonts w:ascii="宋体-PUA" w:eastAsia="宋体-PUA" w:hAnsi="宋体-PUA" w:cs="宋体-PUA" w:hint="eastAsia"/>
          <w:sz w:val="21"/>
          <w:szCs w:val="21"/>
        </w:rPr>
        <w:t>拉结点杆件。</w:t>
      </w:r>
    </w:p>
    <w:p w:rsidR="008D4CCF">
      <w:pPr>
        <w:pStyle w:val="Normal0"/>
        <w:numPr>
          <w:ilvl w:val="4"/>
          <w:numId w:val="40"/>
        </w:numPr>
        <w:tabs>
          <w:tab w:val="left" w:pos="735"/>
          <w:tab w:val="left" w:pos="1080"/>
          <w:tab w:val="clear" w:pos="2040"/>
        </w:tabs>
        <w:spacing w:line="440" w:lineRule="atLeast"/>
        <w:ind w:left="720" w:firstLine="0"/>
        <w:rPr>
          <w:rFonts w:ascii="宋体-PUA" w:eastAsia="宋体-PUA" w:hAnsi="宋体-PUA" w:cs="宋体-PUA"/>
          <w:sz w:val="21"/>
          <w:szCs w:val="21"/>
        </w:rPr>
      </w:pPr>
      <w:r>
        <w:rPr>
          <w:rFonts w:ascii="宋体-PUA" w:eastAsia="宋体-PUA" w:hAnsi="宋体-PUA" w:cs="宋体-PUA" w:hint="eastAsia"/>
          <w:sz w:val="21"/>
          <w:szCs w:val="21"/>
        </w:rPr>
        <w:t>脚手架的拆除：面板组件安装完毕，打完耐侯胶后，</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经业主、监理共同检查，施工完毕质量合格方可拆除脚手架等。拆除时幕墙配合安装拉结点处的玻璃或石板。拆除脚手架杆件不能损坏玻璃和石板。</w:t>
      </w:r>
    </w:p>
    <w:p w:rsidR="008D4CCF">
      <w:pPr>
        <w:pStyle w:val="Heading1"/>
        <w:spacing w:line="440" w:lineRule="atLeast"/>
        <w:rPr>
          <w:rFonts w:ascii="宋体-PUA" w:eastAsia="宋体-PUA" w:hAnsi="宋体-PUA" w:cs="宋体-PUA"/>
          <w:sz w:val="21"/>
          <w:szCs w:val="21"/>
          <w:lang w:eastAsia="zh-CN"/>
        </w:rPr>
      </w:pPr>
      <w:bookmarkStart w:id="18" w:name="_Toc2576"/>
      <w:r>
        <w:rPr>
          <w:rFonts w:ascii="宋体-PUA" w:eastAsia="宋体-PUA" w:hAnsi="宋体-PUA" w:cs="宋体-PUA" w:hint="eastAsia"/>
          <w:sz w:val="21"/>
          <w:szCs w:val="21"/>
          <w:lang w:eastAsia="zh-CN"/>
        </w:rPr>
        <w:t>第六章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工程质量保证措施</w:t>
      </w:r>
      <w:bookmarkEnd w:id="18"/>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A</w:t>
      </w:r>
      <w:r>
        <w:rPr>
          <w:rFonts w:ascii="宋体-PUA" w:eastAsia="宋体-PUA" w:hAnsi="宋体-PUA" w:cs="宋体-PUA" w:hint="eastAsia"/>
          <w:sz w:val="21"/>
          <w:szCs w:val="21"/>
        </w:rPr>
        <w:t>、工程质量保证体系的方针和目标</w:t>
      </w:r>
    </w:p>
    <w:p w:rsidR="008D4CCF">
      <w:pPr>
        <w:pStyle w:val="Normal0"/>
        <w:tabs>
          <w:tab w:val="left" w:pos="630"/>
        </w:tabs>
        <w:spacing w:line="440" w:lineRule="atLeast"/>
        <w:ind w:left="278"/>
        <w:rPr>
          <w:rFonts w:ascii="宋体-PUA" w:eastAsia="宋体-PUA" w:hAnsi="宋体-PUA" w:cs="宋体-PUA"/>
          <w:sz w:val="21"/>
          <w:szCs w:val="21"/>
        </w:rPr>
        <w:sectPr>
          <w:type w:val="nextPage"/>
          <w:pgSz w:w="11906" w:h="16838"/>
          <w:pgMar w:top="1417" w:right="1134" w:bottom="1134" w:left="1134" w:header="851" w:footer="992" w:gutter="0"/>
          <w:pgNumType w:start="19"/>
          <w:cols w:space="708"/>
          <w:titlePg w:val="0"/>
          <w:docGrid w:type="lines" w:linePitch="312"/>
        </w:sectPr>
      </w:pPr>
      <w:r>
        <w:rPr>
          <w:rFonts w:ascii="宋体-PUA" w:eastAsia="宋体-PUA" w:hAnsi="宋体-PUA" w:cs="宋体-PUA" w:hint="eastAsia"/>
          <w:sz w:val="21"/>
          <w:szCs w:val="21"/>
        </w:rPr>
        <w:t>信誉第一、客户第一，以卓越的时尚，极富时代特色的设计为追求理想：优质完美，精益求精的工程</w:t>
      </w:r>
    </w:p>
    <w:p w:rsidR="008D4CCF">
      <w:pPr>
        <w:pStyle w:val="Normal0"/>
        <w:tabs>
          <w:tab w:val="left" w:pos="630"/>
        </w:tabs>
        <w:spacing w:line="440" w:lineRule="atLeast"/>
        <w:ind w:left="278"/>
        <w:rPr>
          <w:rFonts w:ascii="宋体-PUA" w:eastAsia="宋体-PUA" w:hAnsi="宋体-PUA" w:cs="宋体-PUA"/>
          <w:sz w:val="21"/>
          <w:szCs w:val="21"/>
        </w:rPr>
      </w:pPr>
      <w:r>
        <w:rPr>
          <w:rFonts w:ascii="宋体-PUA" w:eastAsia="宋体-PUA" w:hAnsi="宋体-PUA" w:cs="宋体-PUA" w:hint="eastAsia"/>
          <w:sz w:val="21"/>
          <w:szCs w:val="21"/>
        </w:rPr>
        <w:t>质量为准则：至诚合作，热情完善的服务为信誉。</w:t>
      </w:r>
    </w:p>
    <w:p w:rsidR="008D4CCF">
      <w:pPr>
        <w:pStyle w:val="Normal0"/>
        <w:tabs>
          <w:tab w:val="left" w:pos="630"/>
        </w:tabs>
        <w:spacing w:line="440" w:lineRule="atLeast"/>
        <w:ind w:left="278"/>
        <w:rPr>
          <w:rFonts w:ascii="宋体-PUA" w:eastAsia="宋体-PUA" w:hAnsi="宋体-PUA" w:cs="宋体-PUA"/>
          <w:sz w:val="21"/>
          <w:szCs w:val="21"/>
        </w:rPr>
      </w:pPr>
      <w:r>
        <w:rPr>
          <w:rFonts w:ascii="宋体-PUA" w:eastAsia="宋体-PUA" w:hAnsi="宋体-PUA" w:cs="宋体-PUA" w:hint="eastAsia"/>
          <w:sz w:val="21"/>
          <w:szCs w:val="21"/>
        </w:rPr>
        <w:t>为使公司的质量方针更好的贯彻执行，同时具有可操作的依据，我公司郑重承诺：</w:t>
      </w:r>
    </w:p>
    <w:p w:rsidR="008D4CCF">
      <w:pPr>
        <w:pStyle w:val="Normal0"/>
        <w:tabs>
          <w:tab w:val="left" w:pos="630"/>
        </w:tabs>
        <w:spacing w:line="440" w:lineRule="atLeast"/>
        <w:ind w:left="278"/>
        <w:rPr>
          <w:rFonts w:ascii="宋体-PUA" w:eastAsia="宋体-PUA" w:hAnsi="宋体-PUA" w:cs="宋体-PUA"/>
          <w:sz w:val="21"/>
          <w:szCs w:val="21"/>
        </w:rPr>
      </w:pPr>
      <w:r>
        <w:rPr>
          <w:rFonts w:ascii="宋体-PUA" w:eastAsia="宋体-PUA" w:hAnsi="宋体-PUA" w:cs="宋体-PUA" w:hint="eastAsia"/>
          <w:sz w:val="21"/>
          <w:szCs w:val="21"/>
        </w:rPr>
        <w:t>我公司工程合格率达到</w:t>
      </w:r>
      <w:r>
        <w:rPr>
          <w:rFonts w:ascii="宋体-PUA" w:eastAsia="宋体-PUA" w:hAnsi="宋体-PUA" w:cs="宋体-PUA" w:hint="eastAsia"/>
          <w:sz w:val="21"/>
          <w:szCs w:val="21"/>
        </w:rPr>
        <w:t>100%</w:t>
      </w:r>
      <w:r>
        <w:rPr>
          <w:rFonts w:ascii="宋体-PUA" w:eastAsia="宋体-PUA" w:hAnsi="宋体-PUA" w:cs="宋体-PUA" w:hint="eastAsia"/>
          <w:sz w:val="21"/>
          <w:szCs w:val="21"/>
        </w:rPr>
        <w:t>；</w:t>
      </w:r>
    </w:p>
    <w:p w:rsidR="008D4CCF">
      <w:pPr>
        <w:pStyle w:val="Normal0"/>
        <w:tabs>
          <w:tab w:val="left" w:pos="630"/>
        </w:tabs>
        <w:spacing w:line="440" w:lineRule="atLeast"/>
        <w:ind w:left="278"/>
        <w:rPr>
          <w:rFonts w:ascii="宋体-PUA" w:eastAsia="宋体-PUA" w:hAnsi="宋体-PUA" w:cs="宋体-PUA"/>
          <w:sz w:val="21"/>
          <w:szCs w:val="21"/>
        </w:rPr>
      </w:pPr>
      <w:r>
        <w:rPr>
          <w:rFonts w:ascii="宋体-PUA" w:eastAsia="宋体-PUA" w:hAnsi="宋体-PUA" w:cs="宋体-PUA" w:hint="eastAsia"/>
          <w:sz w:val="21"/>
          <w:szCs w:val="21"/>
        </w:rPr>
        <w:t>客户满意率达到</w:t>
      </w:r>
      <w:r>
        <w:rPr>
          <w:rFonts w:ascii="宋体-PUA" w:eastAsia="宋体-PUA" w:hAnsi="宋体-PUA" w:cs="宋体-PUA" w:hint="eastAsia"/>
          <w:sz w:val="21"/>
          <w:szCs w:val="21"/>
        </w:rPr>
        <w:t>10</w:t>
      </w:r>
      <w:r>
        <w:rPr>
          <w:rFonts w:ascii="宋体-PUA" w:eastAsia="宋体-PUA" w:hAnsi="宋体-PUA" w:cs="宋体-PUA" w:hint="eastAsia"/>
          <w:sz w:val="21"/>
          <w:szCs w:val="21"/>
        </w:rPr>
        <w:t>0%</w:t>
      </w:r>
      <w:r>
        <w:rPr>
          <w:rFonts w:ascii="宋体-PUA" w:eastAsia="宋体-PUA" w:hAnsi="宋体-PUA" w:cs="宋体-PUA" w:hint="eastAsia"/>
          <w:sz w:val="21"/>
          <w:szCs w:val="21"/>
        </w:rPr>
        <w:t>；</w:t>
      </w:r>
    </w:p>
    <w:p w:rsidR="008D4CCF">
      <w:pPr>
        <w:pStyle w:val="Normal0"/>
        <w:tabs>
          <w:tab w:val="left" w:pos="630"/>
        </w:tabs>
        <w:spacing w:line="440" w:lineRule="atLeast"/>
        <w:ind w:left="278"/>
        <w:rPr>
          <w:rFonts w:ascii="宋体-PUA" w:eastAsia="宋体-PUA" w:hAnsi="宋体-PUA" w:cs="宋体-PUA"/>
          <w:sz w:val="21"/>
          <w:szCs w:val="21"/>
        </w:rPr>
      </w:pPr>
      <w:r>
        <w:rPr>
          <w:rFonts w:ascii="宋体-PUA" w:eastAsia="宋体-PUA" w:hAnsi="宋体-PUA" w:cs="宋体-PUA" w:hint="eastAsia"/>
          <w:sz w:val="21"/>
          <w:szCs w:val="21"/>
        </w:rPr>
        <w:t>客户投诉有效处理率达到</w:t>
      </w:r>
      <w:r>
        <w:rPr>
          <w:rFonts w:ascii="宋体-PUA" w:eastAsia="宋体-PUA" w:hAnsi="宋体-PUA" w:cs="宋体-PUA" w:hint="eastAsia"/>
          <w:sz w:val="21"/>
          <w:szCs w:val="21"/>
        </w:rPr>
        <w:t>100%</w:t>
      </w:r>
      <w:r>
        <w:rPr>
          <w:rFonts w:ascii="宋体-PUA" w:eastAsia="宋体-PUA" w:hAnsi="宋体-PUA" w:cs="宋体-PUA" w:hint="eastAsia"/>
          <w:sz w:val="21"/>
          <w:szCs w:val="21"/>
        </w:rPr>
        <w:t>。</w:t>
      </w:r>
    </w:p>
    <w:p w:rsidR="008D4CCF">
      <w:pPr>
        <w:pStyle w:val="Normal0"/>
        <w:spacing w:line="440" w:lineRule="atLeast"/>
        <w:ind w:left="280"/>
        <w:rPr>
          <w:rFonts w:ascii="宋体-PUA" w:eastAsia="宋体-PUA" w:hAnsi="宋体-PUA" w:cs="宋体-PUA"/>
          <w:sz w:val="21"/>
          <w:szCs w:val="21"/>
        </w:rPr>
      </w:pPr>
      <w:r>
        <w:rPr>
          <w:rFonts w:ascii="宋体-PUA" w:eastAsia="宋体-PUA" w:hAnsi="宋体-PUA" w:cs="宋体-PUA" w:hint="eastAsia"/>
          <w:sz w:val="21"/>
          <w:szCs w:val="21"/>
        </w:rPr>
        <w:t>B</w:t>
      </w:r>
      <w:r>
        <w:rPr>
          <w:rFonts w:ascii="宋体-PUA" w:eastAsia="宋体-PUA" w:hAnsi="宋体-PUA" w:cs="宋体-PUA" w:hint="eastAsia"/>
          <w:sz w:val="21"/>
          <w:szCs w:val="21"/>
        </w:rPr>
        <w:t>、工程质量控制程序图</w:t>
      </w:r>
    </w:p>
    <w:tbl>
      <w:tblPr>
        <w:tblStyle w:val="TableNormal"/>
        <w:tblW w:w="0" w:type="auto"/>
        <w:tblLayout w:type="fixed"/>
        <w:tblCellMar>
          <w:left w:w="40" w:type="dxa"/>
          <w:right w:w="40" w:type="dxa"/>
        </w:tblCellMar>
        <w:tblLook w:val="0000"/>
      </w:tblPr>
      <w:tblGrid>
        <w:gridCol w:w="2875"/>
        <w:gridCol w:w="420"/>
        <w:gridCol w:w="420"/>
        <w:gridCol w:w="945"/>
        <w:gridCol w:w="945"/>
        <w:gridCol w:w="420"/>
        <w:gridCol w:w="420"/>
        <w:gridCol w:w="2872"/>
      </w:tblGrid>
      <w:tr>
        <w:tblPrEx>
          <w:tblW w:w="0" w:type="auto"/>
          <w:tblLayout w:type="fixed"/>
          <w:tblCellMar>
            <w:left w:w="40" w:type="dxa"/>
            <w:right w:w="40" w:type="dxa"/>
          </w:tblCellMar>
          <w:tblLook w:val="0000"/>
        </w:tblPrEx>
        <w:trPr>
          <w:cantSplit/>
          <w:trHeight w:val="42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熟悉标准、规范和业主、建筑设计师要求</w:t>
            </w:r>
          </w:p>
        </w:tc>
        <w:tc>
          <w:tcPr>
            <w:tcW w:w="420" w:type="dxa"/>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设计详图工艺性</w:t>
            </w:r>
          </w:p>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评审</w:t>
            </w:r>
          </w:p>
        </w:tc>
      </w:tr>
      <w:tr>
        <w:tblPrEx>
          <w:tblW w:w="0" w:type="auto"/>
          <w:tblLayout w:type="fixed"/>
          <w:tblCellMar>
            <w:left w:w="40" w:type="dxa"/>
            <w:right w:w="40" w:type="dxa"/>
          </w:tblCellMar>
          <w:tblLook w:val="0000"/>
        </w:tblPrEx>
        <w:trPr>
          <w:cantSplit/>
          <w:trHeight w:val="336"/>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280"/>
        </w:trPr>
        <w:tc>
          <w:tcPr>
            <w:tcW w:w="2875"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施工图设计</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132"/>
        </w:trPr>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42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sz w:val="21"/>
                <w:szCs w:val="21"/>
              </w:rPr>
              <w:pict>
                <v:line id="_x0000_s1028" style="mso-wrap-style:square;position:absolute;z-index:251660288" from="299.25pt,14.6pt" to="320.25pt,14.6pt" o:allowincell="f"/>
              </w:pict>
            </w:r>
            <w:r>
              <w:rPr>
                <w:rFonts w:ascii="宋体-PUA" w:eastAsia="宋体-PUA" w:hAnsi="宋体-PUA" w:cs="宋体-PUA" w:hint="eastAsia"/>
                <w:sz w:val="21"/>
                <w:szCs w:val="21"/>
              </w:rPr>
              <w:t>设计方案评审</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设计图、文件交建筑设计师、业主审批</w:t>
            </w:r>
          </w:p>
        </w:tc>
      </w:tr>
      <w:tr>
        <w:tblPrEx>
          <w:tblW w:w="0" w:type="auto"/>
          <w:tblLayout w:type="fixed"/>
          <w:tblCellMar>
            <w:left w:w="40" w:type="dxa"/>
            <w:right w:w="40" w:type="dxa"/>
          </w:tblCellMar>
          <w:tblLook w:val="0000"/>
        </w:tblPrEx>
        <w:trPr>
          <w:cantSplit/>
          <w:trHeight w:val="155"/>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131"/>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210"/>
        </w:trPr>
        <w:tc>
          <w:tcPr>
            <w:tcW w:w="2875"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出图前校审、批准</w:t>
            </w:r>
          </w:p>
        </w:tc>
      </w:tr>
      <w:tr>
        <w:tblPrEx>
          <w:tblW w:w="0" w:type="auto"/>
          <w:tblLayout w:type="fixed"/>
          <w:tblCellMar>
            <w:left w:w="40" w:type="dxa"/>
            <w:right w:w="40" w:type="dxa"/>
          </w:tblCellMar>
          <w:tblLook w:val="0000"/>
        </w:tblPrEx>
        <w:trPr>
          <w:cantSplit/>
          <w:trHeight w:val="97"/>
        </w:trPr>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74"/>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42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学习图纸和</w:t>
            </w:r>
          </w:p>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技术资料</w:t>
            </w:r>
          </w:p>
        </w:tc>
        <w:tc>
          <w:tcPr>
            <w:tcW w:w="420" w:type="dxa"/>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材料、设备、</w:t>
            </w:r>
          </w:p>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劳动力准备</w:t>
            </w:r>
          </w:p>
        </w:tc>
      </w:tr>
      <w:tr>
        <w:tblPrEx>
          <w:tblW w:w="0" w:type="auto"/>
          <w:tblLayout w:type="fixed"/>
          <w:tblCellMar>
            <w:left w:w="40" w:type="dxa"/>
            <w:right w:w="40" w:type="dxa"/>
          </w:tblCellMar>
          <w:tblLook w:val="0000"/>
        </w:tblPrEx>
        <w:trPr>
          <w:cantSplit/>
          <w:trHeight w:val="42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280"/>
        </w:trPr>
        <w:tc>
          <w:tcPr>
            <w:tcW w:w="2875"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施工准备</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280"/>
        </w:trPr>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42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学习操作规程和质量准备</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测量仪器准备及现场准备</w:t>
            </w:r>
          </w:p>
        </w:tc>
      </w:tr>
      <w:tr>
        <w:tblPrEx>
          <w:tblW w:w="0" w:type="auto"/>
          <w:tblLayout w:type="fixed"/>
          <w:tblCellMar>
            <w:left w:w="40" w:type="dxa"/>
            <w:right w:w="40" w:type="dxa"/>
          </w:tblCellMar>
          <w:tblLook w:val="0000"/>
        </w:tblPrEx>
        <w:trPr>
          <w:cantSplit/>
          <w:trHeight w:val="42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42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分部分项目书面</w:t>
            </w:r>
          </w:p>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交底</w:t>
            </w:r>
          </w:p>
        </w:tc>
        <w:tc>
          <w:tcPr>
            <w:tcW w:w="420" w:type="dxa"/>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克服上道工序弊病</w:t>
            </w:r>
          </w:p>
        </w:tc>
      </w:tr>
      <w:tr>
        <w:tblPrEx>
          <w:tblW w:w="0" w:type="auto"/>
          <w:tblLayout w:type="fixed"/>
          <w:tblCellMar>
            <w:left w:w="40" w:type="dxa"/>
            <w:right w:w="40" w:type="dxa"/>
          </w:tblCellMar>
          <w:tblLook w:val="0000"/>
        </w:tblPrEx>
        <w:trPr>
          <w:cantSplit/>
          <w:trHeight w:val="42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284"/>
        </w:trPr>
        <w:tc>
          <w:tcPr>
            <w:tcW w:w="2875"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技术交底</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284"/>
        </w:trPr>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34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队长、质检员参加</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pacing w:val="-10"/>
                <w:sz w:val="21"/>
                <w:szCs w:val="21"/>
              </w:rPr>
            </w:pPr>
            <w:r>
              <w:rPr>
                <w:rFonts w:ascii="宋体-PUA" w:eastAsia="宋体-PUA" w:hAnsi="宋体-PUA" w:cs="宋体-PUA" w:hint="eastAsia"/>
                <w:spacing w:val="-10"/>
                <w:sz w:val="21"/>
                <w:szCs w:val="21"/>
              </w:rPr>
              <w:t>办理上道工序交接手续</w:t>
            </w:r>
          </w:p>
        </w:tc>
      </w:tr>
      <w:tr>
        <w:tblPrEx>
          <w:tblW w:w="0" w:type="auto"/>
          <w:tblLayout w:type="fixed"/>
          <w:tblCellMar>
            <w:left w:w="40" w:type="dxa"/>
            <w:right w:w="40" w:type="dxa"/>
          </w:tblCellMar>
          <w:tblLook w:val="0000"/>
        </w:tblPrEx>
        <w:trPr>
          <w:cantSplit/>
          <w:trHeight w:val="34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284"/>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中间检查</w:t>
            </w:r>
          </w:p>
        </w:tc>
        <w:tc>
          <w:tcPr>
            <w:tcW w:w="420" w:type="dxa"/>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严格执行操作规程</w:t>
            </w:r>
          </w:p>
        </w:tc>
      </w:tr>
      <w:tr>
        <w:tblPrEx>
          <w:tblW w:w="0" w:type="auto"/>
          <w:tblLayout w:type="fixed"/>
          <w:tblCellMar>
            <w:left w:w="40" w:type="dxa"/>
            <w:right w:w="40" w:type="dxa"/>
          </w:tblCellMar>
          <w:tblLook w:val="0000"/>
        </w:tblPrEx>
        <w:trPr>
          <w:cantSplit/>
          <w:trHeight w:hRule="exact" w:val="284"/>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bl>
    <w:p>
      <w:pPr>
        <w:sectPr>
          <w:type w:val="nextPage"/>
          <w:pgSz w:w="11906" w:h="16838"/>
          <w:pgMar w:top="1417" w:right="1134" w:bottom="1134" w:left="1134" w:header="851" w:footer="992" w:gutter="0"/>
          <w:pgNumType w:start="20"/>
          <w:cols w:space="708"/>
          <w:titlePg w:val="0"/>
          <w:docGrid w:type="lines" w:linePitch="312"/>
        </w:sectPr>
      </w:pPr>
    </w:p>
    <w:tbl>
      <w:tblPr>
        <w:tblStyle w:val="TableNormal"/>
        <w:tblW w:w="0" w:type="auto"/>
        <w:tblLayout w:type="fixed"/>
        <w:tblCellMar>
          <w:left w:w="40" w:type="dxa"/>
          <w:right w:w="40" w:type="dxa"/>
        </w:tblCellMar>
        <w:tblLook w:val="0000"/>
      </w:tblPr>
      <w:tblGrid>
        <w:gridCol w:w="2875"/>
        <w:gridCol w:w="420"/>
        <w:gridCol w:w="420"/>
        <w:gridCol w:w="945"/>
        <w:gridCol w:w="945"/>
        <w:gridCol w:w="420"/>
        <w:gridCol w:w="420"/>
        <w:gridCol w:w="2872"/>
      </w:tblGrid>
      <w:tr>
        <w:tblPrEx>
          <w:tblW w:w="0" w:type="auto"/>
          <w:tblLayout w:type="fixed"/>
          <w:tblCellMar>
            <w:left w:w="40" w:type="dxa"/>
            <w:right w:w="40" w:type="dxa"/>
          </w:tblCellMar>
          <w:tblLook w:val="0000"/>
        </w:tblPrEx>
        <w:trPr>
          <w:cantSplit/>
          <w:trHeight w:val="42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自</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检</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加工、制作</w:t>
            </w:r>
          </w:p>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安装</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按图加工、制作安装</w:t>
            </w:r>
          </w:p>
        </w:tc>
      </w:tr>
      <w:tr>
        <w:tblPrEx>
          <w:tblW w:w="0" w:type="auto"/>
          <w:tblLayout w:type="fixed"/>
          <w:tblCellMar>
            <w:left w:w="40" w:type="dxa"/>
            <w:right w:w="40" w:type="dxa"/>
          </w:tblCellMar>
          <w:tblLook w:val="0000"/>
        </w:tblPrEx>
        <w:trPr>
          <w:cantSplit/>
          <w:trHeight w:val="42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34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甲方代表检查</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处理工序搭接</w:t>
            </w:r>
          </w:p>
        </w:tc>
      </w:tr>
      <w:tr>
        <w:tblPrEx>
          <w:tblW w:w="0" w:type="auto"/>
          <w:tblLayout w:type="fixed"/>
          <w:tblCellMar>
            <w:left w:w="40" w:type="dxa"/>
            <w:right w:w="40" w:type="dxa"/>
          </w:tblCellMar>
          <w:tblLook w:val="0000"/>
        </w:tblPrEx>
        <w:trPr>
          <w:cantSplit/>
          <w:trHeight w:hRule="exact" w:val="34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340"/>
        </w:trPr>
        <w:tc>
          <w:tcPr>
            <w:tcW w:w="2875"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检查进度</w:t>
            </w:r>
          </w:p>
        </w:tc>
      </w:tr>
      <w:tr>
        <w:tblPrEx>
          <w:tblW w:w="0" w:type="auto"/>
          <w:tblLayout w:type="fixed"/>
          <w:tblCellMar>
            <w:left w:w="40" w:type="dxa"/>
            <w:right w:w="40" w:type="dxa"/>
          </w:tblCellMar>
          <w:tblLook w:val="0000"/>
        </w:tblPrEx>
        <w:trPr>
          <w:cantSplit/>
          <w:trHeight w:hRule="exact" w:val="340"/>
        </w:trPr>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34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不合格品的处理</w:t>
            </w:r>
          </w:p>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（返工）</w:t>
            </w:r>
          </w:p>
        </w:tc>
        <w:tc>
          <w:tcPr>
            <w:tcW w:w="840" w:type="dxa"/>
            <w:gridSpan w:val="2"/>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质量评定</w:t>
            </w:r>
          </w:p>
        </w:tc>
        <w:tc>
          <w:tcPr>
            <w:tcW w:w="840" w:type="dxa"/>
            <w:gridSpan w:val="2"/>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执行验收标准</w:t>
            </w:r>
          </w:p>
        </w:tc>
      </w:tr>
      <w:tr>
        <w:tblPrEx>
          <w:tblW w:w="0" w:type="auto"/>
          <w:tblLayout w:type="fixed"/>
          <w:tblCellMar>
            <w:left w:w="40" w:type="dxa"/>
            <w:right w:w="40" w:type="dxa"/>
          </w:tblCellMar>
          <w:tblLook w:val="0000"/>
        </w:tblPrEx>
        <w:trPr>
          <w:cantSplit/>
          <w:trHeight w:hRule="exact" w:val="34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840" w:type="dxa"/>
            <w:gridSpan w:val="2"/>
            <w:tcBorders>
              <w:top w:val="single" w:sz="4" w:space="0" w:color="auto"/>
              <w:left w:val="nil"/>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val="454"/>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材料合格证</w:t>
            </w:r>
          </w:p>
        </w:tc>
        <w:tc>
          <w:tcPr>
            <w:tcW w:w="420" w:type="dxa"/>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pacing w:val="-10"/>
                <w:sz w:val="21"/>
                <w:szCs w:val="21"/>
              </w:rPr>
            </w:pPr>
            <w:r>
              <w:rPr>
                <w:rFonts w:ascii="宋体-PUA" w:eastAsia="宋体-PUA" w:hAnsi="宋体-PUA" w:cs="宋体-PUA" w:hint="eastAsia"/>
                <w:spacing w:val="-10"/>
                <w:sz w:val="21"/>
                <w:szCs w:val="21"/>
              </w:rPr>
              <w:t>按有代表性的自然区间抽查</w:t>
            </w:r>
            <w:r>
              <w:rPr>
                <w:rFonts w:ascii="宋体-PUA" w:eastAsia="宋体-PUA" w:hAnsi="宋体-PUA" w:cs="宋体-PUA" w:hint="eastAsia"/>
                <w:spacing w:val="-10"/>
                <w:sz w:val="21"/>
                <w:szCs w:val="21"/>
              </w:rPr>
              <w:t>10%</w:t>
            </w:r>
            <w:r>
              <w:rPr>
                <w:rFonts w:ascii="宋体-PUA" w:eastAsia="宋体-PUA" w:hAnsi="宋体-PUA" w:cs="宋体-PUA" w:hint="eastAsia"/>
                <w:spacing w:val="-10"/>
                <w:sz w:val="21"/>
                <w:szCs w:val="21"/>
              </w:rPr>
              <w:t>，填写评定表</w:t>
            </w:r>
          </w:p>
        </w:tc>
      </w:tr>
      <w:tr>
        <w:tblPrEx>
          <w:tblW w:w="0" w:type="auto"/>
          <w:tblLayout w:type="fixed"/>
          <w:tblCellMar>
            <w:left w:w="40" w:type="dxa"/>
            <w:right w:w="40" w:type="dxa"/>
          </w:tblCellMar>
          <w:tblLook w:val="0000"/>
        </w:tblPrEx>
        <w:trPr>
          <w:cantSplit/>
          <w:trHeight w:val="454"/>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tcBorders>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34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试验记录、报告</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隐蔽工程验收记录</w:t>
            </w:r>
          </w:p>
        </w:tc>
      </w:tr>
      <w:tr>
        <w:tblPrEx>
          <w:tblW w:w="0" w:type="auto"/>
          <w:tblLayout w:type="fixed"/>
          <w:tblCellMar>
            <w:left w:w="40" w:type="dxa"/>
            <w:right w:w="40" w:type="dxa"/>
          </w:tblCellMar>
          <w:tblLook w:val="0000"/>
        </w:tblPrEx>
        <w:trPr>
          <w:cantSplit/>
          <w:trHeight w:hRule="exact" w:val="34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tcBorders>
              <w:top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34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自检记录</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tcBorders>
              <w:top w:val="single" w:sz="4" w:space="0" w:color="auto"/>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资料整理</w:t>
            </w:r>
          </w:p>
        </w:tc>
        <w:tc>
          <w:tcPr>
            <w:tcW w:w="420" w:type="dxa"/>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施工记录</w:t>
            </w:r>
          </w:p>
        </w:tc>
      </w:tr>
      <w:tr>
        <w:tblPrEx>
          <w:tblW w:w="0" w:type="auto"/>
          <w:tblLayout w:type="fixed"/>
          <w:tblCellMar>
            <w:left w:w="40" w:type="dxa"/>
            <w:right w:w="40" w:type="dxa"/>
          </w:tblCellMar>
          <w:tblLook w:val="0000"/>
        </w:tblPrEx>
        <w:trPr>
          <w:cantSplit/>
          <w:trHeight w:hRule="exact" w:val="34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top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nil"/>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tcBorders>
              <w:top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34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质量评定记录</w:t>
            </w:r>
          </w:p>
        </w:tc>
        <w:tc>
          <w:tcPr>
            <w:tcW w:w="420" w:type="dxa"/>
            <w:tcBorders>
              <w:left w:val="nil"/>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Merge w:val="restart"/>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事故处理记录</w:t>
            </w:r>
          </w:p>
        </w:tc>
      </w:tr>
      <w:tr>
        <w:tblPrEx>
          <w:tblW w:w="0" w:type="auto"/>
          <w:tblLayout w:type="fixed"/>
          <w:tblCellMar>
            <w:left w:w="40" w:type="dxa"/>
            <w:right w:w="40" w:type="dxa"/>
          </w:tblCellMar>
          <w:tblLook w:val="0000"/>
        </w:tblPrEx>
        <w:trPr>
          <w:cantSplit/>
          <w:trHeight w:hRule="exact" w:val="183"/>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Pr>
        <w:tc>
          <w:tcPr>
            <w:tcW w:w="2875"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945" w:type="dxa"/>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tcBorders>
              <w:top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r>
        <w:tblPrEx>
          <w:tblW w:w="0" w:type="auto"/>
          <w:tblLayout w:type="fixed"/>
          <w:tblCellMar>
            <w:left w:w="40" w:type="dxa"/>
            <w:right w:w="40" w:type="dxa"/>
          </w:tblCellMar>
          <w:tblLook w:val="0000"/>
        </w:tblPrEx>
        <w:trPr>
          <w:cantSplit/>
          <w:trHeight w:hRule="exact" w:val="340"/>
        </w:trPr>
        <w:tc>
          <w:tcPr>
            <w:tcW w:w="2875"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工程回访</w:t>
            </w:r>
          </w:p>
        </w:tc>
        <w:tc>
          <w:tcPr>
            <w:tcW w:w="420" w:type="dxa"/>
            <w:tcBorders>
              <w:left w:val="nil"/>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890" w:type="dxa"/>
            <w:gridSpan w:val="2"/>
            <w:vMerge w:val="restart"/>
            <w:tcBorders>
              <w:top w:val="single" w:sz="4" w:space="0" w:color="auto"/>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使用过程</w:t>
            </w:r>
          </w:p>
        </w:tc>
        <w:tc>
          <w:tcPr>
            <w:tcW w:w="840" w:type="dxa"/>
            <w:gridSpan w:val="2"/>
            <w:tcBorders>
              <w:left w:val="single" w:sz="4" w:space="0" w:color="auto"/>
              <w:bottom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2872" w:type="dxa"/>
            <w:vMerge w:val="restart"/>
            <w:tcBorders>
              <w:top w:val="single" w:sz="4" w:space="0" w:color="auto"/>
              <w:left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质量整改</w:t>
            </w:r>
          </w:p>
        </w:tc>
      </w:tr>
      <w:tr>
        <w:tblPrEx>
          <w:tblW w:w="0" w:type="auto"/>
          <w:tblLayout w:type="fixed"/>
          <w:tblCellMar>
            <w:left w:w="40" w:type="dxa"/>
            <w:right w:w="40" w:type="dxa"/>
          </w:tblCellMar>
          <w:tblLook w:val="0000"/>
        </w:tblPrEx>
        <w:trPr>
          <w:cantSplit/>
          <w:trHeight w:hRule="exact" w:val="340"/>
        </w:trPr>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left w:val="nil"/>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420" w:type="dxa"/>
            <w:tcBorders>
              <w:top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gridSpan w:val="2"/>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840" w:type="dxa"/>
            <w:gridSpan w:val="2"/>
            <w:tcBorders>
              <w:top w:val="single" w:sz="4" w:space="0" w:color="auto"/>
              <w:lef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c>
          <w:tcPr>
            <w:tcW w:w="1" w:type="dxa"/>
            <w:vMerge/>
            <w:tcBorders>
              <w:left w:val="single" w:sz="4" w:space="0" w:color="auto"/>
              <w:bottom w:val="single" w:sz="4" w:space="0" w:color="auto"/>
              <w:right w:val="single" w:sz="4" w:space="0" w:color="auto"/>
            </w:tcBorders>
            <w:vAlign w:val="center"/>
          </w:tcPr>
          <w:p w:rsidR="008D4CCF">
            <w:pPr>
              <w:pStyle w:val="Normal0"/>
              <w:adjustRightInd w:val="0"/>
              <w:snapToGrid w:val="0"/>
              <w:spacing w:line="440" w:lineRule="atLeast"/>
              <w:jc w:val="center"/>
              <w:rPr>
                <w:rFonts w:ascii="宋体-PUA" w:eastAsia="宋体-PUA" w:hAnsi="宋体-PUA" w:cs="宋体-PUA"/>
                <w:sz w:val="21"/>
                <w:szCs w:val="21"/>
              </w:rPr>
            </w:pPr>
          </w:p>
        </w:tc>
      </w:tr>
    </w:tbl>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C.</w:t>
      </w:r>
      <w:r>
        <w:rPr>
          <w:rFonts w:ascii="宋体-PUA" w:eastAsia="宋体-PUA" w:hAnsi="宋体-PUA" w:cs="宋体-PUA" w:hint="eastAsia"/>
          <w:sz w:val="21"/>
          <w:szCs w:val="21"/>
        </w:rPr>
        <w:t>质量保证体系、质量保证措施、隐蔽工程验收</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1</w:t>
      </w:r>
      <w:r>
        <w:rPr>
          <w:rFonts w:ascii="宋体-PUA" w:eastAsia="宋体-PUA" w:hAnsi="宋体-PUA" w:cs="宋体-PUA" w:hint="eastAsia"/>
          <w:sz w:val="21"/>
          <w:szCs w:val="21"/>
        </w:rPr>
        <w:t>．质量要求：工程质量等级为优良工程。</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2</w:t>
      </w:r>
      <w:r>
        <w:rPr>
          <w:rFonts w:ascii="宋体-PUA" w:eastAsia="宋体-PUA" w:hAnsi="宋体-PUA" w:cs="宋体-PUA" w:hint="eastAsia"/>
          <w:sz w:val="21"/>
          <w:szCs w:val="21"/>
        </w:rPr>
        <w:t>．为确保工程质量达到优良工程，选派经验丰富的项目经理及项目经理部、施工队伍进场施工。</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3</w:t>
      </w:r>
      <w:r>
        <w:rPr>
          <w:rFonts w:ascii="宋体-PUA" w:eastAsia="宋体-PUA" w:hAnsi="宋体-PUA" w:cs="宋体-PUA" w:hint="eastAsia"/>
          <w:sz w:val="21"/>
          <w:szCs w:val="21"/>
        </w:rPr>
        <w:t>．质量管理体系</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1</w:t>
      </w:r>
      <w:r>
        <w:rPr>
          <w:rFonts w:ascii="宋体-PUA" w:eastAsia="宋体-PUA" w:hAnsi="宋体-PUA" w:cs="宋体-PUA" w:hint="eastAsia"/>
          <w:sz w:val="21"/>
          <w:szCs w:val="21"/>
        </w:rPr>
        <w:t>）成立以项目经理为首的质量保证组织机构，定期开展质量统计分析活动，掌握工程质量动态，全面控制各分部分项工程质量。项目上配备专职质检员，各专业工长对质量直接负责，各作业班组选取一名兼职质检员，对工程质量实行全过程控制。</w:t>
      </w:r>
    </w:p>
    <w:p w:rsidR="008D4CCF">
      <w:pPr>
        <w:pStyle w:val="Normal0"/>
        <w:tabs>
          <w:tab w:val="left" w:pos="525"/>
        </w:tabs>
        <w:spacing w:line="440" w:lineRule="atLeast"/>
        <w:ind w:left="-21"/>
        <w:rPr>
          <w:rFonts w:ascii="宋体-PUA" w:eastAsia="宋体-PUA" w:hAnsi="宋体-PUA" w:cs="宋体-PUA"/>
          <w:sz w:val="21"/>
          <w:szCs w:val="21"/>
        </w:rPr>
        <w:sectPr>
          <w:type w:val="nextPage"/>
          <w:pgSz w:w="11906" w:h="16838"/>
          <w:pgMar w:top="1417" w:right="1134" w:bottom="1134" w:left="1134" w:header="851" w:footer="992" w:gutter="0"/>
          <w:pgNumType w:start="21"/>
          <w:cols w:space="708"/>
          <w:titlePg w:val="0"/>
          <w:docGrid w:type="lines" w:linePitch="312"/>
        </w:sect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2</w:t>
      </w:r>
      <w:r>
        <w:rPr>
          <w:rFonts w:ascii="宋体-PUA" w:eastAsia="宋体-PUA" w:hAnsi="宋体-PUA" w:cs="宋体-PUA" w:hint="eastAsia"/>
          <w:sz w:val="21"/>
          <w:szCs w:val="21"/>
        </w:rPr>
        <w:t>）树立全员质量意识，贯彻“谁管生产，谁就管质量，谁施工，谁就负责质量，谁操作，谁就保证质量”的原则，实行工程质量岗位责任制，并采用行政和经济手段，来辅助工程质量岗位责任制的实</w:t>
      </w:r>
      <w:r>
        <w:rPr>
          <w:rFonts w:ascii="宋体-PUA" w:eastAsia="宋体-PUA" w:hAnsi="宋体-PUA" w:cs="宋体-PUA" w:hint="eastAsia"/>
          <w:sz w:val="21"/>
          <w:szCs w:val="21"/>
        </w:rPr>
        <w:t>施。</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4</w:t>
      </w:r>
      <w:r>
        <w:rPr>
          <w:rFonts w:ascii="宋体-PUA" w:eastAsia="宋体-PUA" w:hAnsi="宋体-PUA" w:cs="宋体-PUA" w:hint="eastAsia"/>
          <w:sz w:val="21"/>
          <w:szCs w:val="21"/>
        </w:rPr>
        <w:t>．质量保证措施</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1</w:t>
      </w:r>
      <w:r>
        <w:rPr>
          <w:rFonts w:ascii="宋体-PUA" w:eastAsia="宋体-PUA" w:hAnsi="宋体-PUA" w:cs="宋体-PUA" w:hint="eastAsia"/>
          <w:sz w:val="21"/>
          <w:szCs w:val="21"/>
        </w:rPr>
        <w:t>）建立健全质量保证体系，通过质量保证体系的有效运转来确保现场施工，严格按照国家验收规范及操作规程进行。</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2</w:t>
      </w:r>
      <w:r>
        <w:rPr>
          <w:rFonts w:ascii="宋体-PUA" w:eastAsia="宋体-PUA" w:hAnsi="宋体-PUA" w:cs="宋体-PUA" w:hint="eastAsia"/>
          <w:sz w:val="21"/>
          <w:szCs w:val="21"/>
        </w:rPr>
        <w:t>）建立以项目经理为组长、专业工长、专职质检员、施工队兼职质检员参加的质量管理小组。质检小组遵照质检程序工作，严格执行质量检验标准与规范。</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3</w:t>
      </w:r>
      <w:r>
        <w:rPr>
          <w:rFonts w:ascii="宋体-PUA" w:eastAsia="宋体-PUA" w:hAnsi="宋体-PUA" w:cs="宋体-PUA" w:hint="eastAsia"/>
          <w:sz w:val="21"/>
          <w:szCs w:val="21"/>
        </w:rPr>
        <w:t>）认真把好材料关，严格遵守原材料、半成品和成品出厂合格证制度，没有合格证的材料，不符合业主认定的（样品）材料，坚决拒之门外，在工程施工全过程中严格遵守技术管理和技术交底制度，明确岗位职责。</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4</w:t>
      </w:r>
      <w:r>
        <w:rPr>
          <w:rFonts w:ascii="宋体-PUA" w:eastAsia="宋体-PUA" w:hAnsi="宋体-PUA" w:cs="宋体-PUA" w:hint="eastAsia"/>
          <w:sz w:val="21"/>
          <w:szCs w:val="21"/>
        </w:rPr>
        <w:t>）正确选择，合理配备施工设备，搞好设备</w:t>
      </w:r>
      <w:r>
        <w:rPr>
          <w:rFonts w:ascii="宋体-PUA" w:eastAsia="宋体-PUA" w:hAnsi="宋体-PUA" w:cs="宋体-PUA" w:hint="eastAsia"/>
          <w:sz w:val="21"/>
          <w:szCs w:val="21"/>
        </w:rPr>
        <w:t>的维修保养工作，确保设备正常运转。</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5</w:t>
      </w:r>
      <w:r>
        <w:rPr>
          <w:rFonts w:ascii="宋体-PUA" w:eastAsia="宋体-PUA" w:hAnsi="宋体-PUA" w:cs="宋体-PUA" w:hint="eastAsia"/>
          <w:sz w:val="21"/>
          <w:szCs w:val="21"/>
        </w:rPr>
        <w:t>）加强计量管理，实现计量器具配备率</w:t>
      </w:r>
      <w:r>
        <w:rPr>
          <w:rFonts w:ascii="宋体-PUA" w:eastAsia="宋体-PUA" w:hAnsi="宋体-PUA" w:cs="宋体-PUA" w:hint="eastAsia"/>
          <w:sz w:val="21"/>
          <w:szCs w:val="21"/>
        </w:rPr>
        <w:t>100%</w:t>
      </w:r>
      <w:r>
        <w:rPr>
          <w:rFonts w:ascii="宋体-PUA" w:eastAsia="宋体-PUA" w:hAnsi="宋体-PUA" w:cs="宋体-PUA" w:hint="eastAsia"/>
          <w:sz w:val="21"/>
          <w:szCs w:val="21"/>
        </w:rPr>
        <w:t>，计量器具检测率</w:t>
      </w:r>
      <w:r>
        <w:rPr>
          <w:rFonts w:ascii="宋体-PUA" w:eastAsia="宋体-PUA" w:hAnsi="宋体-PUA" w:cs="宋体-PUA" w:hint="eastAsia"/>
          <w:sz w:val="21"/>
          <w:szCs w:val="21"/>
        </w:rPr>
        <w:t>100%</w:t>
      </w:r>
      <w:r>
        <w:rPr>
          <w:rFonts w:ascii="宋体-PUA" w:eastAsia="宋体-PUA" w:hAnsi="宋体-PUA" w:cs="宋体-PUA" w:hint="eastAsia"/>
          <w:sz w:val="21"/>
          <w:szCs w:val="21"/>
        </w:rPr>
        <w:t>，对计量器具执行专人管理。</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6</w:t>
      </w:r>
      <w:r>
        <w:rPr>
          <w:rFonts w:ascii="宋体-PUA" w:eastAsia="宋体-PUA" w:hAnsi="宋体-PUA" w:cs="宋体-PUA" w:hint="eastAsia"/>
          <w:sz w:val="21"/>
          <w:szCs w:val="21"/>
        </w:rPr>
        <w:t>）贯彻以自检为基础的自检、互检、交互检的“三检”制，并认真填写“三检”制检查记录，对于不符合质量要求的施工内容不予验收，未经业主或监理等有关人员签字认可，不准进行下一道工序的施工，严格现场质量检查工作，实行质量一票否决制。</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7</w:t>
      </w:r>
      <w:r>
        <w:rPr>
          <w:rFonts w:ascii="宋体-PUA" w:eastAsia="宋体-PUA" w:hAnsi="宋体-PUA" w:cs="宋体-PUA" w:hint="eastAsia"/>
          <w:sz w:val="21"/>
          <w:szCs w:val="21"/>
        </w:rPr>
        <w:t>）自检时，质量标准高于国家质量标准，并及时反馈质量检验信息，分析不合格原因，提出预防措施。</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8</w:t>
      </w:r>
      <w:r>
        <w:rPr>
          <w:rFonts w:ascii="宋体-PUA" w:eastAsia="宋体-PUA" w:hAnsi="宋体-PUA" w:cs="宋体-PUA" w:hint="eastAsia"/>
          <w:sz w:val="21"/>
          <w:szCs w:val="21"/>
        </w:rPr>
        <w:t>）组织高素质的施工</w:t>
      </w:r>
      <w:r>
        <w:rPr>
          <w:rFonts w:ascii="宋体-PUA" w:eastAsia="宋体-PUA" w:hAnsi="宋体-PUA" w:cs="宋体-PUA" w:hint="eastAsia"/>
          <w:sz w:val="21"/>
          <w:szCs w:val="21"/>
        </w:rPr>
        <w:t>队伍，对特殊工种人员执行持证上岗和履行岗位责任制度。</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9</w:t>
      </w:r>
      <w:r>
        <w:rPr>
          <w:rFonts w:ascii="宋体-PUA" w:eastAsia="宋体-PUA" w:hAnsi="宋体-PUA" w:cs="宋体-PUA" w:hint="eastAsia"/>
          <w:sz w:val="21"/>
          <w:szCs w:val="21"/>
        </w:rPr>
        <w:t>）贯彻执行各级技术岗位责任制，施工中密切与业主、监理、质检站、行业主管部门，各管理单位配合，共同抓好现场质量技术管理工作。</w:t>
      </w:r>
    </w:p>
    <w:p w:rsidR="008D4CCF">
      <w:pPr>
        <w:pStyle w:val="Normal0"/>
        <w:tabs>
          <w:tab w:val="left" w:pos="840"/>
          <w:tab w:val="left" w:pos="1272"/>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10</w:t>
      </w:r>
      <w:r>
        <w:rPr>
          <w:rFonts w:ascii="宋体-PUA" w:eastAsia="宋体-PUA" w:hAnsi="宋体-PUA" w:cs="宋体-PUA" w:hint="eastAsia"/>
          <w:sz w:val="21"/>
          <w:szCs w:val="21"/>
        </w:rPr>
        <w:t>）隐蔽工程未经业主方及有关质检人员检查验收，不准进入下道工序施工。</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5</w:t>
      </w:r>
      <w:r>
        <w:rPr>
          <w:rFonts w:ascii="宋体-PUA" w:eastAsia="宋体-PUA" w:hAnsi="宋体-PUA" w:cs="宋体-PUA" w:hint="eastAsia"/>
          <w:sz w:val="21"/>
          <w:szCs w:val="21"/>
        </w:rPr>
        <w:t>．隐蔽工程检查：</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当工序施工完毕后，即被隐蔽遮盖，不可能在工程验收时再检查时，必须对这些工序在施工过程中随时进行隐蔽工程检查。隐蔽工程检查时，业主、监理、施工单位三方参加者，共同签署隐蔽工程检查记录。</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以下项目应进行隐蔽工</w:t>
      </w:r>
      <w:r>
        <w:rPr>
          <w:rFonts w:ascii="宋体-PUA" w:eastAsia="宋体-PUA" w:hAnsi="宋体-PUA" w:cs="宋体-PUA" w:hint="eastAsia"/>
          <w:sz w:val="21"/>
          <w:szCs w:val="21"/>
        </w:rPr>
        <w:t>程检查：</w:t>
      </w:r>
    </w:p>
    <w:p w:rsidR="008D4CCF">
      <w:pPr>
        <w:pStyle w:val="Normal0"/>
        <w:numPr>
          <w:ilvl w:val="0"/>
          <w:numId w:val="41"/>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预埋件隐蔽验收</w:t>
      </w:r>
    </w:p>
    <w:p w:rsidR="008D4CCF">
      <w:pPr>
        <w:pStyle w:val="Normal0"/>
        <w:numPr>
          <w:ilvl w:val="0"/>
          <w:numId w:val="41"/>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石材与建筑主体结构的连接支座</w:t>
      </w:r>
    </w:p>
    <w:p w:rsidR="008D4CCF">
      <w:pPr>
        <w:pStyle w:val="Normal0"/>
        <w:numPr>
          <w:ilvl w:val="0"/>
          <w:numId w:val="41"/>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钢材骨架安装；</w:t>
      </w:r>
    </w:p>
    <w:p w:rsidR="008D4CCF">
      <w:pPr>
        <w:pStyle w:val="Normal0"/>
        <w:numPr>
          <w:ilvl w:val="0"/>
          <w:numId w:val="41"/>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焊缝质量隐蔽验收</w:t>
      </w:r>
    </w:p>
    <w:p w:rsidR="008D4CCF">
      <w:pPr>
        <w:pStyle w:val="Normal0"/>
        <w:numPr>
          <w:ilvl w:val="0"/>
          <w:numId w:val="41"/>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避雷装置隐蔽验收</w:t>
      </w:r>
      <w:r>
        <w:rPr>
          <w:rFonts w:ascii="宋体-PUA" w:eastAsia="宋体-PUA" w:hAnsi="宋体-PUA" w:cs="宋体-PUA" w:hint="eastAsia"/>
          <w:sz w:val="21"/>
          <w:szCs w:val="21"/>
        </w:rPr>
        <w:t xml:space="preserve"> </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D.</w:t>
      </w:r>
      <w:r>
        <w:rPr>
          <w:rFonts w:ascii="宋体-PUA" w:eastAsia="宋体-PUA" w:hAnsi="宋体-PUA" w:cs="宋体-PUA" w:hint="eastAsia"/>
          <w:sz w:val="21"/>
          <w:szCs w:val="21"/>
        </w:rPr>
        <w:t>按</w:t>
      </w:r>
      <w:r>
        <w:rPr>
          <w:rFonts w:ascii="宋体-PUA" w:eastAsia="宋体-PUA" w:hAnsi="宋体-PUA" w:cs="宋体-PUA" w:hint="eastAsia"/>
          <w:sz w:val="21"/>
          <w:szCs w:val="21"/>
        </w:rPr>
        <w:t>ISO9001</w:t>
      </w:r>
      <w:r>
        <w:rPr>
          <w:rFonts w:ascii="宋体-PUA" w:eastAsia="宋体-PUA" w:hAnsi="宋体-PUA" w:cs="宋体-PUA" w:hint="eastAsia"/>
          <w:sz w:val="21"/>
          <w:szCs w:val="21"/>
        </w:rPr>
        <w:t>程序和业主认定的样品控制材料质量</w:t>
      </w:r>
    </w:p>
    <w:p w:rsidR="008D4CCF">
      <w:pPr>
        <w:pStyle w:val="Normal0"/>
        <w:tabs>
          <w:tab w:val="left" w:pos="630"/>
        </w:tabs>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22"/>
          <w:cols w:space="708"/>
          <w:titlePg w:val="0"/>
          <w:docGrid w:type="lines" w:linePitch="312"/>
        </w:sectPr>
      </w:pPr>
      <w:r>
        <w:rPr>
          <w:rFonts w:ascii="宋体-PUA" w:eastAsia="宋体-PUA" w:hAnsi="宋体-PUA" w:cs="宋体-PUA" w:hint="eastAsia"/>
          <w:sz w:val="21"/>
          <w:szCs w:val="21"/>
        </w:rPr>
        <w:t>材料的质量是工程质量的基础，材料质量不符合要求，工程质量也就不可能符合标准。为了加强材料质</w:t>
      </w:r>
      <w:r>
        <w:rPr>
          <w:rFonts w:ascii="宋体-PUA" w:eastAsia="宋体-PUA" w:hAnsi="宋体-PUA" w:cs="宋体-PUA" w:hint="eastAsia"/>
          <w:sz w:val="21"/>
          <w:szCs w:val="21"/>
        </w:rPr>
        <w:t>量管理，我司严格按</w:t>
      </w:r>
      <w:r>
        <w:rPr>
          <w:rFonts w:ascii="宋体-PUA" w:eastAsia="宋体-PUA" w:hAnsi="宋体-PUA" w:cs="宋体-PUA" w:hint="eastAsia"/>
          <w:sz w:val="21"/>
          <w:szCs w:val="21"/>
        </w:rPr>
        <w:t>ISO9000</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质量体系要求，严把材料质量关，为配合工程施工，材料采购计划由设计部统一提出，并注明材料的品牌、规格、数量、质量要求和业主认定样品要求，以及有关防火规范要求，经项目经理部审核无误后，由采购员按质、按量、按期组织材料进场。并同时提</w:t>
      </w:r>
      <w:r>
        <w:rPr>
          <w:rFonts w:ascii="宋体-PUA" w:eastAsia="宋体-PUA" w:hAnsi="宋体-PUA" w:cs="宋体-PUA" w:hint="eastAsia"/>
          <w:sz w:val="21"/>
          <w:szCs w:val="21"/>
        </w:rPr>
        <w:t>交材料质量保证书、出厂合格证、材质试验相容性试验证明等，材料进场，报监理或业主验收，验收合格后，方可使用。具体程序均按我公司程序办理，如下：</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1</w:t>
      </w:r>
      <w:r>
        <w:rPr>
          <w:rFonts w:ascii="宋体-PUA" w:eastAsia="宋体-PUA" w:hAnsi="宋体-PUA" w:cs="宋体-PUA" w:hint="eastAsia"/>
          <w:sz w:val="21"/>
          <w:szCs w:val="21"/>
        </w:rPr>
        <w:t>．按业主认定的材料样品制定采购计划</w:t>
      </w:r>
    </w:p>
    <w:p w:rsidR="008D4CCF">
      <w:pPr>
        <w:pStyle w:val="Normal0"/>
        <w:numPr>
          <w:ilvl w:val="2"/>
          <w:numId w:val="42"/>
        </w:numPr>
        <w:tabs>
          <w:tab w:val="left" w:pos="630"/>
          <w:tab w:val="left" w:pos="1740"/>
          <w:tab w:val="left" w:pos="1820"/>
        </w:tabs>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材料供应商的评价与选择。</w:t>
      </w:r>
    </w:p>
    <w:p w:rsidR="008D4CCF">
      <w:pPr>
        <w:pStyle w:val="Normal0"/>
        <w:numPr>
          <w:ilvl w:val="2"/>
          <w:numId w:val="42"/>
        </w:numPr>
        <w:tabs>
          <w:tab w:val="left" w:pos="630"/>
          <w:tab w:val="left" w:pos="1740"/>
          <w:tab w:val="left" w:pos="1820"/>
        </w:tabs>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材料的采购过程。</w:t>
      </w:r>
    </w:p>
    <w:p w:rsidR="008D4CCF">
      <w:pPr>
        <w:pStyle w:val="Normal0"/>
        <w:numPr>
          <w:ilvl w:val="2"/>
          <w:numId w:val="42"/>
        </w:numPr>
        <w:tabs>
          <w:tab w:val="left" w:pos="630"/>
          <w:tab w:val="left" w:pos="1740"/>
          <w:tab w:val="left" w:pos="1820"/>
        </w:tabs>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进厂材料的检验。凭采购计划和业主认定样品检验。</w:t>
      </w:r>
    </w:p>
    <w:p w:rsidR="008D4CCF">
      <w:pPr>
        <w:pStyle w:val="Normal0"/>
        <w:numPr>
          <w:ilvl w:val="0"/>
          <w:numId w:val="19"/>
        </w:numPr>
        <w:spacing w:line="440" w:lineRule="atLeast"/>
        <w:ind w:firstLine="0"/>
        <w:rPr>
          <w:rFonts w:ascii="宋体-PUA" w:eastAsia="宋体-PUA" w:hAnsi="宋体-PUA" w:cs="宋体-PUA"/>
          <w:bCs/>
          <w:sz w:val="21"/>
          <w:szCs w:val="21"/>
          <w:lang w:eastAsia="zh-CN"/>
        </w:rPr>
      </w:pPr>
      <w:r>
        <w:rPr>
          <w:rFonts w:ascii="宋体-PUA" w:eastAsia="宋体-PUA" w:hAnsi="宋体-PUA" w:cs="宋体-PUA" w:hint="eastAsia"/>
          <w:sz w:val="21"/>
          <w:szCs w:val="21"/>
        </w:rPr>
        <w:t>对于业主方提供或选购产品，由质检人员按材料验收规范标准进行检验，经检验合格后方可进厂使用，当发现业主方提供的材料不合格时，应由项目经理或质检人员通知业主并进行协调，提出解决办法。</w:t>
      </w:r>
    </w:p>
    <w:p w:rsidR="008D4CCF">
      <w:pPr>
        <w:pStyle w:val="Heading1"/>
        <w:spacing w:line="440" w:lineRule="atLeast"/>
        <w:rPr>
          <w:rFonts w:ascii="宋体-PUA" w:eastAsia="宋体-PUA" w:hAnsi="宋体-PUA" w:cs="宋体-PUA"/>
          <w:sz w:val="21"/>
          <w:szCs w:val="21"/>
          <w:lang w:eastAsia="zh-CN"/>
        </w:rPr>
      </w:pPr>
      <w:bookmarkStart w:id="19" w:name="_Toc27518"/>
      <w:r>
        <w:rPr>
          <w:rFonts w:ascii="宋体-PUA" w:eastAsia="宋体-PUA" w:hAnsi="宋体-PUA" w:cs="宋体-PUA" w:hint="eastAsia"/>
          <w:sz w:val="21"/>
          <w:szCs w:val="21"/>
          <w:lang w:eastAsia="zh-CN"/>
        </w:rPr>
        <w:t>第七章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安全生产保证措施</w:t>
      </w:r>
      <w:bookmarkEnd w:id="19"/>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1</w:t>
      </w:r>
      <w:r>
        <w:rPr>
          <w:rFonts w:ascii="宋体-PUA" w:eastAsia="宋体-PUA" w:hAnsi="宋体-PUA" w:cs="宋体-PUA" w:hint="eastAsia"/>
          <w:sz w:val="21"/>
          <w:szCs w:val="21"/>
        </w:rPr>
        <w:t>）安全防火制度</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1</w:t>
      </w:r>
      <w:r>
        <w:rPr>
          <w:rFonts w:ascii="宋体-PUA" w:eastAsia="宋体-PUA" w:hAnsi="宋体-PUA" w:cs="宋体-PUA" w:hint="eastAsia"/>
          <w:sz w:val="21"/>
          <w:szCs w:val="21"/>
        </w:rPr>
        <w:t>）安全生产管理体系：各主管领导、职能部门、工程技术人员、岗位操作人员在劳动生产过程中层层负责，建立安全责任制。安全生产工作在施工单位负责人的领导下，各级领导，各职能部门层层控制，项目经理负责现场管理，并要求每个职工的安全职责是遵章守纪，不违章作业，并能组织他人不违章作业</w:t>
      </w:r>
      <w:r>
        <w:rPr>
          <w:rFonts w:ascii="宋体-PUA" w:eastAsia="宋体-PUA" w:hAnsi="宋体-PUA" w:cs="宋体-PUA" w:hint="eastAsia"/>
          <w:sz w:val="21"/>
          <w:szCs w:val="21"/>
        </w:rPr>
        <w:t>；安全生产责任制坚持“横向到边”，“纵向到底”原则，明确各级领导，各职能部门，所有操作者和管理者的安全责任，使安全工作层层有人负责；</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2</w:t>
      </w:r>
      <w:r>
        <w:rPr>
          <w:rFonts w:ascii="宋体-PUA" w:eastAsia="宋体-PUA" w:hAnsi="宋体-PUA" w:cs="宋体-PUA" w:hint="eastAsia"/>
          <w:sz w:val="21"/>
          <w:szCs w:val="21"/>
        </w:rPr>
        <w:t>）基层施工技术员安全生产责任：认真执行上级有关安全技术、劳动卫生工作的各项规定，对自己负责的施工区域职工的安全、健康负责；在生产的计划、布置、检查、总结、评比中，必须同时把安全工作贯穿到每个具体环节中去，保证在安全条件下进行生产；组织职工学习安全操作规程，并抽考、检查执行情况。对严格遵守安全规章制度，避免事故者，提出奖励意见，对违章蛮干，造成事故者，提出惩罚意见；领导本施工</w:t>
      </w:r>
      <w:r>
        <w:rPr>
          <w:rFonts w:ascii="宋体-PUA" w:eastAsia="宋体-PUA" w:hAnsi="宋体-PUA" w:cs="宋体-PUA" w:hint="eastAsia"/>
          <w:sz w:val="21"/>
          <w:szCs w:val="21"/>
        </w:rPr>
        <w:t>区域的班组开展每周的安全日活动，经常对职工进行安全生产教育、推广安全生产经验；发生工伤事故后，应立即上报，负责查明原因，提出重发的防范措施；监督检查职工正确使用个人劳保用品。</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w:t>
      </w:r>
      <w:r>
        <w:rPr>
          <w:rFonts w:ascii="宋体-PUA" w:eastAsia="宋体-PUA" w:hAnsi="宋体-PUA" w:cs="宋体-PUA" w:hint="eastAsia"/>
          <w:sz w:val="21"/>
          <w:szCs w:val="21"/>
        </w:rPr>
        <w:t>）安全生产教育制度：新工人入前应接受三级教育，即对新入场的工人，必须接受公司、项目经理部、施工队和班组三级的安全教育；对与特殊工种应进行专门教育；经常性举行安全生产活动教育，如安全活动日、事故现场会、分析会、安全技术专题讲座等。</w:t>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23"/>
          <w:cols w:space="708"/>
          <w:titlePg w:val="0"/>
          <w:docGrid w:type="lines" w:linePitch="312"/>
        </w:sectPr>
      </w:pPr>
      <w:r>
        <w:rPr>
          <w:rFonts w:ascii="宋体-PUA" w:eastAsia="宋体-PUA" w:hAnsi="宋体-PUA" w:cs="宋体-PUA" w:hint="eastAsia"/>
          <w:sz w:val="21"/>
          <w:szCs w:val="21"/>
        </w:rPr>
        <w:t>4</w:t>
      </w:r>
      <w:r>
        <w:rPr>
          <w:rFonts w:ascii="宋体-PUA" w:eastAsia="宋体-PUA" w:hAnsi="宋体-PUA" w:cs="宋体-PUA" w:hint="eastAsia"/>
          <w:sz w:val="21"/>
          <w:szCs w:val="21"/>
        </w:rPr>
        <w:t>）安全生产检查制度：检查工地项目部安全规章制度、特殊工种岗位合格证、施工组织设计和安全技术措施、安全交</w:t>
      </w:r>
      <w:r>
        <w:rPr>
          <w:rFonts w:ascii="宋体-PUA" w:eastAsia="宋体-PUA" w:hAnsi="宋体-PUA" w:cs="宋体-PUA" w:hint="eastAsia"/>
          <w:sz w:val="21"/>
          <w:szCs w:val="21"/>
        </w:rPr>
        <w:t>底、安全活动记录等安全生产资料；检查安全帽、安全带等是否坚持正确使用；检查各种施工滋味性能是否良好、安全装置是否齐全有效；检查施工用电的线路，闸箱、接零接地、漏电保护装</w:t>
      </w:r>
      <w:r>
        <w:rPr>
          <w:rFonts w:ascii="宋体-PUA" w:eastAsia="宋体-PUA" w:hAnsi="宋体-PUA" w:cs="宋体-PUA" w:hint="eastAsia"/>
          <w:sz w:val="21"/>
          <w:szCs w:val="21"/>
        </w:rPr>
        <w:t>置是否符合有关规定；检查各种材料、物品是否妥善堆放和保管；明火管理是否符合有关规定，防火工具和设施是否安全；检查各交叉施工和工种间配合施工，是否存在完全问题。</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5</w:t>
      </w:r>
      <w:r>
        <w:rPr>
          <w:rFonts w:ascii="宋体-PUA" w:eastAsia="宋体-PUA" w:hAnsi="宋体-PUA" w:cs="宋体-PUA" w:hint="eastAsia"/>
          <w:sz w:val="21"/>
          <w:szCs w:val="21"/>
        </w:rPr>
        <w:t>）防火制度：严肃执行《中华人民共和国消防条例》和公安部门关于建筑工地防火的基本措施，加强消防工作领导，现场设消防值班人员，对进场员工进行消防知识教育；各种易燃易爆材料的堆放和保管应与</w:t>
      </w:r>
      <w:r>
        <w:rPr>
          <w:rFonts w:ascii="宋体-PUA" w:eastAsia="宋体-PUA" w:hAnsi="宋体-PUA" w:cs="宋体-PUA" w:hint="eastAsia"/>
          <w:sz w:val="21"/>
          <w:szCs w:val="21"/>
        </w:rPr>
        <w:t>明火区有一定的防火间距；严禁用场内通道堆放材料；配备消防器材，并有专人管理并定其检查；安全用电，严格按照有关规定安装和使用电气设备；</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r>
        <w:rPr>
          <w:rFonts w:ascii="宋体-PUA" w:eastAsia="宋体-PUA" w:hAnsi="宋体-PUA" w:cs="宋体-PUA" w:hint="eastAsia"/>
          <w:sz w:val="21"/>
          <w:szCs w:val="21"/>
        </w:rPr>
        <w:t>）现场管理</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1</w:t>
      </w:r>
      <w:r>
        <w:rPr>
          <w:rFonts w:ascii="宋体-PUA" w:eastAsia="宋体-PUA" w:hAnsi="宋体-PUA" w:cs="宋体-PUA" w:hint="eastAsia"/>
          <w:sz w:val="21"/>
          <w:szCs w:val="21"/>
        </w:rPr>
        <w:t>）作业人员进场前，必须学习现场的安全规定，遵守业主、监理、总包等各单位制定的规章制度，进行安全技术交底；广泛宣传、教育作业人员牢固树立“安全第一”的思想，提高安全意识；</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2</w:t>
      </w:r>
      <w:r>
        <w:rPr>
          <w:rFonts w:ascii="宋体-PUA" w:eastAsia="宋体-PUA" w:hAnsi="宋体-PUA" w:cs="宋体-PUA" w:hint="eastAsia"/>
          <w:sz w:val="21"/>
          <w:szCs w:val="21"/>
        </w:rPr>
        <w:t>）必须随时携带和使用安全帽和安全带，防止机具、材料的坠落；</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w:t>
      </w:r>
      <w:r>
        <w:rPr>
          <w:rFonts w:ascii="宋体-PUA" w:eastAsia="宋体-PUA" w:hAnsi="宋体-PUA" w:cs="宋体-PUA" w:hint="eastAsia"/>
          <w:sz w:val="21"/>
          <w:szCs w:val="21"/>
        </w:rPr>
        <w:t>）作业时要穿整洁合体并适合作业特点的工作服，不得裸身作业，要穿适合作业特点的工作鞋，不得穿凉鞋、拖鞋；</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4</w:t>
      </w:r>
      <w:r>
        <w:rPr>
          <w:rFonts w:ascii="宋体-PUA" w:eastAsia="宋体-PUA" w:hAnsi="宋体-PUA" w:cs="宋体-PUA" w:hint="eastAsia"/>
          <w:sz w:val="21"/>
          <w:szCs w:val="21"/>
        </w:rPr>
        <w:t>）凡要带入楼内的机械</w:t>
      </w:r>
      <w:r>
        <w:rPr>
          <w:rFonts w:ascii="宋体-PUA" w:eastAsia="宋体-PUA" w:hAnsi="宋体-PUA" w:cs="宋体-PUA" w:hint="eastAsia"/>
          <w:sz w:val="21"/>
          <w:szCs w:val="21"/>
        </w:rPr>
        <w:t>事先必须接受安全检查，合格后方可使用。另外携带电动工具时，必须在作业前先作自我检查，在进入场地时将检查记录交甲方；</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5</w:t>
      </w:r>
      <w:r>
        <w:rPr>
          <w:rFonts w:ascii="宋体-PUA" w:eastAsia="宋体-PUA" w:hAnsi="宋体-PUA" w:cs="宋体-PUA" w:hint="eastAsia"/>
          <w:sz w:val="21"/>
          <w:szCs w:val="21"/>
        </w:rPr>
        <w:t>）每天作业前后检查所用工具。</w:t>
      </w:r>
    </w:p>
    <w:p w:rsidR="008D4CCF">
      <w:pPr>
        <w:pStyle w:val="Normal0"/>
        <w:numPr>
          <w:ilvl w:val="0"/>
          <w:numId w:val="43"/>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作业前清理作业场地，下班后整理场地，不要将材料工具乱放，在作业</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中断或结束时当天清扫垃圾并投放到指定地点；</w:t>
      </w:r>
    </w:p>
    <w:p w:rsidR="008D4CCF">
      <w:pPr>
        <w:pStyle w:val="Normal0"/>
        <w:numPr>
          <w:ilvl w:val="0"/>
          <w:numId w:val="43"/>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不得随意拆除脚手架等临时作业设施，不得已必须拆除脚手架或搭板时，</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需得到安全人员的允许，作业结束务必复原上述装置；</w:t>
      </w:r>
    </w:p>
    <w:p w:rsidR="008D4CCF">
      <w:pPr>
        <w:pStyle w:val="Normal0"/>
        <w:numPr>
          <w:ilvl w:val="0"/>
          <w:numId w:val="43"/>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在电焊作业时，必须设置接火斗，配置看火人员；各种防火工具必须齐</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全并随时可用，定期检查维修和更换；</w:t>
      </w:r>
    </w:p>
    <w:p w:rsidR="008D4CCF">
      <w:pPr>
        <w:pStyle w:val="Normal0"/>
        <w:numPr>
          <w:ilvl w:val="0"/>
          <w:numId w:val="43"/>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制定安全奖惩制度并严格执行；</w:t>
      </w:r>
    </w:p>
    <w:p w:rsidR="008D4CCF">
      <w:pPr>
        <w:pStyle w:val="Normal0"/>
        <w:numPr>
          <w:ilvl w:val="0"/>
          <w:numId w:val="43"/>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本工程项目</w:t>
      </w:r>
      <w:r>
        <w:rPr>
          <w:rFonts w:ascii="宋体-PUA" w:eastAsia="宋体-PUA" w:hAnsi="宋体-PUA" w:cs="宋体-PUA" w:hint="eastAsia"/>
          <w:sz w:val="21"/>
          <w:szCs w:val="21"/>
        </w:rPr>
        <w:t>设一名专职安全员，各班组一名兼职安全员，加强现场</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监督检查，由施工员和质检员配合进行现场安全管理。</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3</w:t>
      </w:r>
      <w:r>
        <w:rPr>
          <w:rFonts w:ascii="宋体-PUA" w:eastAsia="宋体-PUA" w:hAnsi="宋体-PUA" w:cs="宋体-PUA" w:hint="eastAsia"/>
          <w:sz w:val="21"/>
          <w:szCs w:val="21"/>
        </w:rPr>
        <w:t>）应急措施</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安全生产和防火制度应本着以防范为主的原则，对可能引起事故发生的因素</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进行控制和排除，避免事故的发生。</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如有工伤事故发生应采取以下措施：</w:t>
      </w:r>
    </w:p>
    <w:p w:rsidR="008D4CCF">
      <w:pPr>
        <w:pStyle w:val="Normal0"/>
        <w:numPr>
          <w:ilvl w:val="0"/>
          <w:numId w:val="20"/>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如有工伤事故发生应立即向安全部门、公司、甲方及有关部门进行报告；</w:t>
      </w:r>
    </w:p>
    <w:p w:rsidR="008D4CCF">
      <w:pPr>
        <w:pStyle w:val="Normal0"/>
        <w:numPr>
          <w:ilvl w:val="0"/>
          <w:numId w:val="20"/>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抢救伤员；</w:t>
      </w:r>
    </w:p>
    <w:p w:rsidR="008D4CCF">
      <w:pPr>
        <w:pStyle w:val="Normal0"/>
        <w:numPr>
          <w:ilvl w:val="0"/>
          <w:numId w:val="20"/>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保护好事故现场；</w:t>
      </w:r>
    </w:p>
    <w:p w:rsidR="008D4CCF">
      <w:pPr>
        <w:pStyle w:val="Normal0"/>
        <w:numPr>
          <w:ilvl w:val="0"/>
          <w:numId w:val="20"/>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排除险情，防止事故扩大；组织人员、设置警戒，维护好出事周围的正</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常秩序。</w:t>
      </w:r>
    </w:p>
    <w:p w:rsidR="008D4CCF">
      <w:pPr>
        <w:pStyle w:val="Normal0"/>
        <w:spacing w:line="440" w:lineRule="atLeast"/>
        <w:ind w:left="480"/>
        <w:rPr>
          <w:rFonts w:ascii="宋体-PUA" w:eastAsia="宋体-PUA" w:hAnsi="宋体-PUA" w:cs="宋体-PUA"/>
          <w:sz w:val="21"/>
          <w:szCs w:val="21"/>
        </w:rPr>
        <w:sectPr>
          <w:type w:val="nextPage"/>
          <w:pgSz w:w="11906" w:h="16838"/>
          <w:pgMar w:top="1417" w:right="1134" w:bottom="1134" w:left="1134" w:header="851" w:footer="992" w:gutter="0"/>
          <w:pgNumType w:start="24"/>
          <w:cols w:space="708"/>
          <w:titlePg w:val="0"/>
          <w:docGrid w:type="lines" w:linePitch="312"/>
        </w:sectPr>
      </w:pPr>
      <w:r>
        <w:rPr>
          <w:rFonts w:ascii="宋体-PUA" w:eastAsia="宋体-PUA" w:hAnsi="宋体-PUA" w:cs="宋体-PUA" w:hint="eastAsia"/>
          <w:sz w:val="21"/>
          <w:szCs w:val="21"/>
        </w:rPr>
        <w:t>现场发生火警火灾时应采取以下措施；</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①</w:t>
      </w:r>
      <w:r>
        <w:rPr>
          <w:rFonts w:ascii="宋体-PUA" w:eastAsia="宋体-PUA" w:hAnsi="宋体-PUA" w:cs="宋体-PUA" w:hint="eastAsia"/>
          <w:sz w:val="21"/>
          <w:szCs w:val="21"/>
        </w:rPr>
        <w:t>要立即组织义务消防人员和职工进行补救；</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②立即向消防部门报警，并向消防部门提供火情、电器。易燃易爆物等情况</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和消火栓位置，以便组织有效灭火；</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③救火方法要得当；</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④电气设备起火；尽快切断电源，用二氧化碳灭火，不要向电气设备上泼水</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救火；</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⑤电石库起火；应用黄少、干粉来火；</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⑥化学材料起火；要根据起火物质的性质选择灭火方法，并且要注意防止中</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毒；</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⑦灭火以后要保护好火灾现场，设专人巡视，以防死灰复燃，并查找火灾原因。</w:t>
      </w:r>
    </w:p>
    <w:p w:rsidR="008D4CCF">
      <w:pPr>
        <w:pStyle w:val="Normal0"/>
        <w:spacing w:line="440" w:lineRule="atLeast"/>
        <w:rPr>
          <w:rFonts w:ascii="宋体-PUA" w:eastAsia="宋体-PUA" w:hAnsi="宋体-PUA" w:cs="宋体-PUA"/>
          <w:sz w:val="21"/>
          <w:szCs w:val="21"/>
          <w:lang w:eastAsia="zh-CN"/>
        </w:rPr>
      </w:pPr>
    </w:p>
    <w:p w:rsidR="008D4CCF">
      <w:pPr>
        <w:pStyle w:val="Heading1"/>
        <w:rPr>
          <w:rFonts w:ascii="宋体-PUA" w:eastAsia="宋体-PUA" w:hAnsi="宋体-PUA" w:cs="宋体-PUA"/>
          <w:sz w:val="21"/>
          <w:szCs w:val="21"/>
          <w:lang w:eastAsia="zh-CN"/>
        </w:rPr>
      </w:pPr>
      <w:bookmarkStart w:id="20" w:name="_Toc26499"/>
      <w:r>
        <w:rPr>
          <w:rFonts w:ascii="宋体-PUA" w:eastAsia="宋体-PUA" w:hAnsi="宋体-PUA" w:cs="宋体-PUA" w:hint="eastAsia"/>
          <w:sz w:val="21"/>
          <w:szCs w:val="21"/>
          <w:lang w:eastAsia="zh-CN"/>
        </w:rPr>
        <w:t>第八章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文明施工保证措施</w:t>
      </w:r>
      <w:bookmarkEnd w:id="20"/>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1</w:t>
      </w:r>
      <w:r>
        <w:rPr>
          <w:rFonts w:ascii="宋体-PUA" w:eastAsia="宋体-PUA" w:hAnsi="宋体-PUA" w:cs="宋体-PUA" w:hint="eastAsia"/>
          <w:sz w:val="21"/>
          <w:szCs w:val="21"/>
        </w:rPr>
        <w:t>）文明施工制度</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建立文明施工责任制，划分区域，明确各自分担责</w:t>
      </w:r>
      <w:r>
        <w:rPr>
          <w:rFonts w:ascii="宋体-PUA" w:eastAsia="宋体-PUA" w:hAnsi="宋体-PUA" w:cs="宋体-PUA" w:hint="eastAsia"/>
          <w:sz w:val="21"/>
          <w:szCs w:val="21"/>
        </w:rPr>
        <w:t>任，及时清除杂物，</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保持施工现场整洁；</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现场中的各种临时设施、包括办公、生活用房、仓库、材料与构件堆场</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临时水电管线，要严格按照甲方要求搭设或埋设整齐，不能乱堆乱放，不应占用道路和通道以及施工工作面；</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现场水电应有专人管理；</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工人操作地点和周围必须清洁整齐，要做到人离场清；</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制定严格的成品保护措施，严禁损坏、污染成品；</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现场各种材料要按甲方规定的位置堆放，堆放场地坚实平整，并有排水</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措施，材料堆放要按品种、规格分类堆放，要求堆放整齐，易于保管和使用；</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机械设备应按规定位置安放；</w:t>
      </w:r>
    </w:p>
    <w:p w:rsidR="008D4CCF">
      <w:pPr>
        <w:pStyle w:val="Normal0"/>
        <w:numPr>
          <w:ilvl w:val="0"/>
          <w:numId w:val="44"/>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严格遵守安全生产制度，做到安全文明施工。</w:t>
      </w:r>
    </w:p>
    <w:p w:rsidR="008D4CCF">
      <w:pPr>
        <w:pStyle w:val="Normal0"/>
        <w:spacing w:line="440" w:lineRule="atLeast"/>
        <w:ind w:left="480"/>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r>
        <w:rPr>
          <w:rFonts w:ascii="宋体-PUA" w:eastAsia="宋体-PUA" w:hAnsi="宋体-PUA" w:cs="宋体-PUA" w:hint="eastAsia"/>
          <w:sz w:val="21"/>
          <w:szCs w:val="21"/>
        </w:rPr>
        <w:t>）保证措施</w:t>
      </w:r>
    </w:p>
    <w:p w:rsidR="008D4CCF">
      <w:pPr>
        <w:pStyle w:val="Normal0"/>
        <w:numPr>
          <w:ilvl w:val="0"/>
          <w:numId w:val="22"/>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建立文明施工责任制，明确各级责任，层层控制，层层监督；</w:t>
      </w:r>
    </w:p>
    <w:p w:rsidR="008D4CCF">
      <w:pPr>
        <w:pStyle w:val="Normal0"/>
        <w:numPr>
          <w:ilvl w:val="0"/>
          <w:numId w:val="22"/>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搞好安装员工的思想文明教育，要求在施工过程中礼貌待人，文明施工；</w:t>
      </w:r>
    </w:p>
    <w:p w:rsidR="008D4CCF">
      <w:pPr>
        <w:pStyle w:val="Normal0"/>
        <w:numPr>
          <w:ilvl w:val="0"/>
          <w:numId w:val="22"/>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现场安装员工统一着装，要求整洁；</w:t>
      </w:r>
    </w:p>
    <w:p w:rsidR="008D4CCF">
      <w:pPr>
        <w:pStyle w:val="Normal0"/>
        <w:numPr>
          <w:ilvl w:val="0"/>
          <w:numId w:val="22"/>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建立现场文明管理规章制度，主要由安全员负责检查，项目部全体人员</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监督，对于违反的，轻则教育、罚款，重则开除；</w:t>
      </w:r>
    </w:p>
    <w:p w:rsidR="008D4CCF">
      <w:pPr>
        <w:pStyle w:val="Normal0"/>
        <w:numPr>
          <w:ilvl w:val="0"/>
          <w:numId w:val="22"/>
        </w:numPr>
        <w:spacing w:line="440" w:lineRule="atLeast"/>
        <w:ind w:firstLine="0"/>
        <w:rPr>
          <w:rFonts w:ascii="宋体-PUA" w:eastAsia="宋体-PUA" w:hAnsi="宋体-PUA" w:cs="宋体-PUA"/>
          <w:sz w:val="21"/>
          <w:szCs w:val="21"/>
        </w:rPr>
        <w:sectPr>
          <w:type w:val="nextPage"/>
          <w:pgSz w:w="11906" w:h="16838"/>
          <w:pgMar w:top="1417" w:right="1134" w:bottom="1134" w:left="1134" w:header="851" w:footer="992" w:gutter="0"/>
          <w:pgNumType w:start="25"/>
          <w:cols w:space="708"/>
          <w:titlePg w:val="0"/>
          <w:docGrid w:type="lines" w:linePitch="312"/>
        </w:sectPr>
      </w:pPr>
      <w:r>
        <w:rPr>
          <w:rFonts w:ascii="宋体-PUA" w:eastAsia="宋体-PUA" w:hAnsi="宋体-PUA" w:cs="宋体-PUA" w:hint="eastAsia"/>
          <w:sz w:val="21"/>
          <w:szCs w:val="21"/>
        </w:rPr>
        <w:t>施工中做到工完场清，保证施工现场的整洁、材料码放整齐；</w:t>
      </w:r>
    </w:p>
    <w:p w:rsidR="008D4CCF">
      <w:pPr>
        <w:pStyle w:val="Normal0"/>
        <w:numPr>
          <w:ilvl w:val="0"/>
          <w:numId w:val="22"/>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搞好与其他施工单位的现场配合，不与其他单位施工人员发出冲突，有</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矛盾的协商解决；</w:t>
      </w:r>
    </w:p>
    <w:p w:rsidR="008D4CCF">
      <w:pPr>
        <w:pStyle w:val="Normal0"/>
        <w:numPr>
          <w:ilvl w:val="0"/>
          <w:numId w:val="22"/>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服从总包单位的总体安排，与其他施工单位配合，共同维护施工现场的</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清洁、整齐、美观；</w:t>
      </w:r>
    </w:p>
    <w:p w:rsidR="008D4CCF">
      <w:pPr>
        <w:pStyle w:val="Normal0"/>
        <w:numPr>
          <w:ilvl w:val="0"/>
          <w:numId w:val="22"/>
        </w:numPr>
        <w:spacing w:line="440" w:lineRule="atLeast"/>
        <w:ind w:firstLine="0"/>
        <w:rPr>
          <w:rFonts w:ascii="宋体-PUA" w:eastAsia="宋体-PUA" w:hAnsi="宋体-PUA" w:cs="宋体-PUA"/>
          <w:sz w:val="21"/>
          <w:szCs w:val="21"/>
        </w:rPr>
      </w:pPr>
      <w:r>
        <w:rPr>
          <w:rFonts w:ascii="宋体-PUA" w:eastAsia="宋体-PUA" w:hAnsi="宋体-PUA" w:cs="宋体-PUA" w:hint="eastAsia"/>
          <w:sz w:val="21"/>
          <w:szCs w:val="21"/>
        </w:rPr>
        <w:t>服从总包的统一安排，共同搞好现场的成品保护工作。</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w:t>
      </w:r>
      <w:r>
        <w:rPr>
          <w:rFonts w:ascii="宋体-PUA" w:eastAsia="宋体-PUA" w:hAnsi="宋体-PUA" w:cs="宋体-PUA" w:hint="eastAsia"/>
          <w:sz w:val="21"/>
          <w:szCs w:val="21"/>
        </w:rPr>
        <w:t>、</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环保措施</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w:t>
      </w:r>
      <w:r>
        <w:rPr>
          <w:rFonts w:ascii="宋体-PUA" w:eastAsia="宋体-PUA" w:hAnsi="宋体-PUA" w:cs="宋体-PUA" w:hint="eastAsia"/>
          <w:sz w:val="21"/>
          <w:szCs w:val="21"/>
        </w:rPr>
        <w:t>1</w:t>
      </w:r>
      <w:r>
        <w:rPr>
          <w:rFonts w:ascii="宋体-PUA" w:eastAsia="宋体-PUA" w:hAnsi="宋体-PUA" w:cs="宋体-PUA" w:hint="eastAsia"/>
          <w:sz w:val="21"/>
          <w:szCs w:val="21"/>
        </w:rPr>
        <w:t>）合理安排作业时间，尽量减少夜间作业，以减少施工时机具噪声污染；避免影响施工现场内或附近居民的休息；</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2</w:t>
      </w:r>
      <w:r>
        <w:rPr>
          <w:rFonts w:ascii="宋体-PUA" w:eastAsia="宋体-PUA" w:hAnsi="宋体-PUA" w:cs="宋体-PUA" w:hint="eastAsia"/>
          <w:sz w:val="21"/>
          <w:szCs w:val="21"/>
        </w:rPr>
        <w:t>）完成每项工序后，应及时清理施工后滞留的垃圾，比如胶、胶瓶、胶带纸等，保证施工现场的清洁；</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w:t>
      </w:r>
      <w:r>
        <w:rPr>
          <w:rFonts w:ascii="宋体-PUA" w:eastAsia="宋体-PUA" w:hAnsi="宋体-PUA" w:cs="宋体-PUA" w:hint="eastAsia"/>
          <w:sz w:val="21"/>
          <w:szCs w:val="21"/>
        </w:rPr>
        <w:t>3</w:t>
      </w:r>
      <w:r>
        <w:rPr>
          <w:rFonts w:ascii="宋体-PUA" w:eastAsia="宋体-PUA" w:hAnsi="宋体-PUA" w:cs="宋体-PUA" w:hint="eastAsia"/>
          <w:sz w:val="21"/>
          <w:szCs w:val="21"/>
        </w:rPr>
        <w:t>）对于密封材料及清洗溶剂等可能产生有害物质或所体的材料，应作好保管工作，并在挥发过期前使用完毕，以免对环境造成影响。</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12</w:t>
      </w:r>
      <w:r>
        <w:rPr>
          <w:rFonts w:ascii="宋体-PUA" w:eastAsia="宋体-PUA" w:hAnsi="宋体-PUA" w:cs="宋体-PUA" w:hint="eastAsia"/>
          <w:sz w:val="21"/>
          <w:szCs w:val="21"/>
        </w:rPr>
        <w:t>、本石材幕墙的施工高度为</w:t>
      </w:r>
      <w:r>
        <w:rPr>
          <w:rFonts w:ascii="宋体-PUA" w:eastAsia="宋体-PUA" w:hAnsi="宋体-PUA" w:cs="宋体-PUA" w:hint="eastAsia"/>
          <w:sz w:val="21"/>
          <w:szCs w:val="21"/>
        </w:rPr>
        <w:t>12m</w:t>
      </w:r>
      <w:r>
        <w:rPr>
          <w:rFonts w:ascii="宋体-PUA" w:eastAsia="宋体-PUA" w:hAnsi="宋体-PUA" w:cs="宋体-PUA" w:hint="eastAsia"/>
          <w:sz w:val="21"/>
          <w:szCs w:val="21"/>
        </w:rPr>
        <w:t>，为确保施工作业人员的和人身安全，脚手架搭设需按双排脚手架的要求进行搭设。并在脚手架下方设置安全网，以策安全。</w:t>
      </w:r>
    </w:p>
    <w:p w:rsidR="008D4CCF">
      <w:pPr>
        <w:pStyle w:val="Heading1"/>
        <w:numPr>
          <w:ilvl w:val="0"/>
          <w:numId w:val="23"/>
        </w:numPr>
        <w:rPr>
          <w:rFonts w:ascii="宋体-PUA" w:eastAsia="宋体-PUA" w:hAnsi="宋体-PUA" w:cs="宋体-PUA"/>
          <w:sz w:val="21"/>
          <w:szCs w:val="21"/>
          <w:lang w:eastAsia="zh-CN"/>
        </w:rPr>
      </w:pPr>
      <w:bookmarkStart w:id="21" w:name="_Toc23741"/>
      <w:r>
        <w:rPr>
          <w:rFonts w:ascii="宋体-PUA" w:eastAsia="宋体-PUA" w:hAnsi="宋体-PUA" w:cs="宋体-PUA" w:hint="eastAsia"/>
          <w:sz w:val="21"/>
          <w:szCs w:val="21"/>
          <w:lang w:eastAsia="zh-CN"/>
        </w:rPr>
        <w:t>工程进度保证措施</w:t>
      </w:r>
      <w:bookmarkEnd w:id="21"/>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一、开工前，迅速组织会审图纸，熟悉技术资料，及时解决与其它专业公司存在的有关场地交接，验收移交，相互交叉作业配合等问题，具体制定日期落开工前的各项准备工作。</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二、尽早编制材料采购计划及半成品订货加工计划，明确甲方供货的，我方有</w:t>
      </w:r>
      <w:r>
        <w:rPr>
          <w:rFonts w:ascii="宋体-PUA" w:eastAsia="宋体-PUA" w:hAnsi="宋体-PUA" w:cs="宋体-PUA" w:hint="eastAsia"/>
          <w:sz w:val="21"/>
          <w:szCs w:val="21"/>
        </w:rPr>
        <w:t>责任在开工前到达施工现场，严把质量关，杜绝不合格材料引起的停工、返工、窝工现象。</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三、加强进度管理，成立项目经理——工长——班组长的三级进度管理体系，以总体进度计划为基础，以月进度计划为重点。经班组下达用进度计划，分工号落实具体责任人，班组具体确定工期管理责任制并实行有效的奖罚制度。</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四、实行对班组的任务技术交底一单清制度，交底书不仅明确图纸及技术要求，还同时明确施工顺序，进度要求和工种配合要求。</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五、推行班组承包责任制，提高生产效率，必要时实行加班奖励办法。</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六、施工期间配合甲方作好施工协调，合同上定的事</w:t>
      </w:r>
      <w:r>
        <w:rPr>
          <w:rFonts w:ascii="宋体-PUA" w:eastAsia="宋体-PUA" w:hAnsi="宋体-PUA" w:cs="宋体-PUA" w:hint="eastAsia"/>
          <w:sz w:val="21"/>
          <w:szCs w:val="21"/>
        </w:rPr>
        <w:t>坚决完成。</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七、加强施工机具维修、保养、增加储备、保证正常需要。</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八、施工中作好人力、财力、物力的综合平稳工作，抓主流，力保进度进一步落实。</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九、根据工期需要，必要时采用三班倒加班作业。</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十、为保证工期，将提前进行半成品的加工制作。</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十一、项目经理部根据项目施工的要求，对本工程行使计划、组织、指挥、协调、控制、监督六项职能，并在我司系统内选择成建制的技术配套，并有施工经验的施工队伍组成作业层，承担本工程的施工任务。</w:t>
      </w:r>
    </w:p>
    <w:p w:rsidR="008D4CCF">
      <w:pPr>
        <w:pStyle w:val="Normal0"/>
        <w:tabs>
          <w:tab w:val="left" w:pos="630"/>
        </w:tabs>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26"/>
          <w:cols w:space="708"/>
          <w:titlePg w:val="0"/>
          <w:docGrid w:type="lines" w:linePitch="312"/>
        </w:sectPr>
      </w:pPr>
      <w:r>
        <w:rPr>
          <w:rFonts w:ascii="宋体-PUA" w:eastAsia="宋体-PUA" w:hAnsi="宋体-PUA" w:cs="宋体-PUA" w:hint="eastAsia"/>
          <w:sz w:val="21"/>
          <w:szCs w:val="21"/>
        </w:rPr>
        <w:t>十二、建立生产例会制度，每周至少召开</w:t>
      </w:r>
      <w:r>
        <w:rPr>
          <w:rFonts w:ascii="宋体-PUA" w:eastAsia="宋体-PUA" w:hAnsi="宋体-PUA" w:cs="宋体-PUA" w:hint="eastAsia"/>
          <w:sz w:val="21"/>
          <w:szCs w:val="21"/>
        </w:rPr>
        <w:t>2</w:t>
      </w:r>
      <w:r>
        <w:rPr>
          <w:rFonts w:ascii="宋体-PUA" w:eastAsia="宋体-PUA" w:hAnsi="宋体-PUA" w:cs="宋体-PUA" w:hint="eastAsia"/>
          <w:sz w:val="21"/>
          <w:szCs w:val="21"/>
        </w:rPr>
        <w:t>次班组以上的生产例会，项目经理部每天召开一次碰头会，对</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于拖延进度计划要求的工作内容找出原因，并及时采取有效措施保证计划完成。</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十三、采用施工进度计划与月、周计划相结合的施工进度的控制与管理，月计划周安排，周计划日检查，实行每周平衡计划，确保月计划实现，从而确保工期控制进度计划的实现。</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十四、根据业主的使用要求及各工序施工周期，科学合理地组织施工，形成各分部分项工程在时间、空间上的充分利用与紧凑搭接，组织好交叉作业，从而缩短工程的施工期。</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十五、实行合理的工期目标奖罚制度，根据工作需要，可适当安排晚上加班作业。</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十六、作好施工配合及前期施工准备工作，拟定施工准备</w:t>
      </w:r>
      <w:r>
        <w:rPr>
          <w:rFonts w:ascii="宋体-PUA" w:eastAsia="宋体-PUA" w:hAnsi="宋体-PUA" w:cs="宋体-PUA" w:hint="eastAsia"/>
          <w:sz w:val="21"/>
          <w:szCs w:val="21"/>
        </w:rPr>
        <w:t>计划，专人逐项落实，保证后勤保障的优质、高效。</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十七、采用成熟的科技成果，向科学技术要速度、要质量、通过新技术的推广应用来缩短各工序的施工周期，从而缩短工程的施工周期。</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十八、以地盘“每日施工进度记录表”确保严格执行和控制工程进度计划。该表每日由地盘监理填写，并附在施工日记中。</w:t>
      </w:r>
    </w:p>
    <w:p w:rsidR="008D4CCF">
      <w:pPr>
        <w:pStyle w:val="Normal0"/>
        <w:spacing w:line="440" w:lineRule="atLeast"/>
        <w:jc w:val="center"/>
        <w:rPr>
          <w:rFonts w:ascii="宋体-PUA" w:eastAsia="宋体-PUA" w:hAnsi="宋体-PUA" w:cs="宋体-PUA"/>
          <w:bCs/>
          <w:spacing w:val="20"/>
          <w:sz w:val="21"/>
          <w:szCs w:val="21"/>
        </w:rPr>
      </w:pPr>
      <w:r>
        <w:rPr>
          <w:rFonts w:ascii="宋体-PUA" w:eastAsia="宋体-PUA" w:hAnsi="宋体-PUA" w:cs="宋体-PUA" w:hint="eastAsia"/>
          <w:bCs/>
          <w:spacing w:val="20"/>
          <w:sz w:val="21"/>
          <w:szCs w:val="21"/>
        </w:rPr>
        <w:t>每日施工进度记录表</w:t>
      </w:r>
    </w:p>
    <w:p w:rsidR="008D4CCF">
      <w:pPr>
        <w:pStyle w:val="Normal0"/>
        <w:spacing w:line="440" w:lineRule="atLeast"/>
        <w:ind w:right="-1138"/>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工程名称：</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　　　　　　</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年</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月</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日</w:t>
      </w:r>
    </w:p>
    <w:tbl>
      <w:tblPr>
        <w:tblStyle w:val="TableNormal"/>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720"/>
        <w:gridCol w:w="2955"/>
        <w:gridCol w:w="945"/>
        <w:gridCol w:w="1050"/>
        <w:gridCol w:w="1785"/>
        <w:gridCol w:w="2085"/>
      </w:tblGrid>
      <w:tr>
        <w:tblPrEx>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Ex>
        <w:trPr>
          <w:cantSplit/>
          <w:trHeight w:val="20"/>
        </w:trPr>
        <w:tc>
          <w:tcPr>
            <w:tcW w:w="720"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项次</w:t>
            </w:r>
          </w:p>
        </w:tc>
        <w:tc>
          <w:tcPr>
            <w:tcW w:w="2955"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项</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　目</w:t>
            </w:r>
          </w:p>
        </w:tc>
        <w:tc>
          <w:tcPr>
            <w:tcW w:w="1995" w:type="dxa"/>
            <w:gridSpan w:val="2"/>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工程量</w:t>
            </w:r>
          </w:p>
        </w:tc>
        <w:tc>
          <w:tcPr>
            <w:tcW w:w="1785"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施</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工</w:t>
            </w:r>
          </w:p>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班</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组</w:t>
            </w:r>
          </w:p>
        </w:tc>
        <w:tc>
          <w:tcPr>
            <w:tcW w:w="2085" w:type="dxa"/>
            <w:vMerge w:val="restart"/>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备　注</w:t>
            </w:r>
          </w:p>
        </w:tc>
      </w:tr>
      <w:tr>
        <w:tblPrEx>
          <w:tblW w:w="0" w:type="auto"/>
          <w:tblInd w:w="28" w:type="dxa"/>
          <w:tblLayout w:type="fixed"/>
          <w:tblCellMar>
            <w:left w:w="28" w:type="dxa"/>
            <w:right w:w="28" w:type="dxa"/>
          </w:tblCellMar>
          <w:tblLook w:val="0000"/>
        </w:tblPrEx>
        <w:trPr>
          <w:cantSplit/>
          <w:trHeight w:val="20"/>
        </w:trPr>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945"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单位</w:t>
            </w:r>
          </w:p>
        </w:tc>
        <w:tc>
          <w:tcPr>
            <w:tcW w:w="1050" w:type="dxa"/>
            <w:vAlign w:val="center"/>
          </w:tcPr>
          <w:p w:rsidR="008D4CCF">
            <w:pPr>
              <w:pStyle w:val="Normal0"/>
              <w:spacing w:line="440" w:lineRule="atLeast"/>
              <w:jc w:val="center"/>
              <w:rPr>
                <w:rFonts w:ascii="宋体-PUA" w:eastAsia="宋体-PUA" w:hAnsi="宋体-PUA" w:cs="宋体-PUA"/>
                <w:sz w:val="21"/>
                <w:szCs w:val="21"/>
              </w:rPr>
            </w:pPr>
            <w:r>
              <w:rPr>
                <w:rFonts w:ascii="宋体-PUA" w:eastAsia="宋体-PUA" w:hAnsi="宋体-PUA" w:cs="宋体-PUA" w:hint="eastAsia"/>
                <w:sz w:val="21"/>
                <w:szCs w:val="21"/>
              </w:rPr>
              <w:t>数量</w:t>
            </w: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c>
          <w:tcPr>
            <w:tcW w:w="1" w:type="dxa"/>
            <w:vMerge/>
            <w:vAlign w:val="center"/>
          </w:tcPr>
          <w:p w:rsidR="008D4CCF">
            <w:pPr>
              <w:pStyle w:val="Normal0"/>
              <w:spacing w:line="440" w:lineRule="atLeast"/>
              <w:jc w:val="center"/>
              <w:rPr>
                <w:rFonts w:ascii="宋体-PUA" w:eastAsia="宋体-PUA" w:hAnsi="宋体-PUA" w:cs="宋体-PUA"/>
                <w:sz w:val="21"/>
                <w:szCs w:val="21"/>
              </w:rPr>
            </w:pPr>
          </w:p>
        </w:tc>
      </w:tr>
      <w:tr>
        <w:tblPrEx>
          <w:tblW w:w="0" w:type="auto"/>
          <w:tblInd w:w="28" w:type="dxa"/>
          <w:tblLayout w:type="fixed"/>
          <w:tblCellMar>
            <w:left w:w="28" w:type="dxa"/>
            <w:right w:w="28" w:type="dxa"/>
          </w:tblCellMar>
          <w:tblLook w:val="0000"/>
        </w:tblPrEx>
        <w:trPr>
          <w:cantSplit/>
        </w:trPr>
        <w:tc>
          <w:tcPr>
            <w:tcW w:w="720" w:type="dxa"/>
            <w:vAlign w:val="center"/>
          </w:tcPr>
          <w:p w:rsidR="008D4CCF">
            <w:pPr>
              <w:pStyle w:val="Normal0"/>
              <w:spacing w:line="440" w:lineRule="atLeast"/>
              <w:jc w:val="center"/>
              <w:rPr>
                <w:rFonts w:ascii="宋体-PUA" w:eastAsia="宋体-PUA" w:hAnsi="宋体-PUA" w:cs="宋体-PUA"/>
                <w:sz w:val="21"/>
                <w:szCs w:val="21"/>
              </w:rPr>
            </w:pPr>
          </w:p>
        </w:tc>
        <w:tc>
          <w:tcPr>
            <w:tcW w:w="2955" w:type="dxa"/>
            <w:vAlign w:val="center"/>
          </w:tcPr>
          <w:p w:rsidR="008D4CCF">
            <w:pPr>
              <w:pStyle w:val="Normal0"/>
              <w:spacing w:line="440" w:lineRule="atLeast"/>
              <w:jc w:val="center"/>
              <w:rPr>
                <w:rFonts w:ascii="宋体-PUA" w:eastAsia="宋体-PUA" w:hAnsi="宋体-PUA" w:cs="宋体-PUA"/>
                <w:sz w:val="21"/>
                <w:szCs w:val="21"/>
              </w:rPr>
            </w:pPr>
          </w:p>
        </w:tc>
        <w:tc>
          <w:tcPr>
            <w:tcW w:w="945" w:type="dxa"/>
            <w:vAlign w:val="center"/>
          </w:tcPr>
          <w:p w:rsidR="008D4CCF">
            <w:pPr>
              <w:pStyle w:val="Normal0"/>
              <w:spacing w:line="440" w:lineRule="atLeast"/>
              <w:jc w:val="center"/>
              <w:rPr>
                <w:rFonts w:ascii="宋体-PUA" w:eastAsia="宋体-PUA" w:hAnsi="宋体-PUA" w:cs="宋体-PUA"/>
                <w:sz w:val="21"/>
                <w:szCs w:val="21"/>
              </w:rPr>
            </w:pPr>
          </w:p>
        </w:tc>
        <w:tc>
          <w:tcPr>
            <w:tcW w:w="1050" w:type="dxa"/>
            <w:vAlign w:val="center"/>
          </w:tcPr>
          <w:p w:rsidR="008D4CCF">
            <w:pPr>
              <w:pStyle w:val="Normal0"/>
              <w:spacing w:line="440" w:lineRule="atLeast"/>
              <w:jc w:val="center"/>
              <w:rPr>
                <w:rFonts w:ascii="宋体-PUA" w:eastAsia="宋体-PUA" w:hAnsi="宋体-PUA" w:cs="宋体-PUA"/>
                <w:sz w:val="21"/>
                <w:szCs w:val="21"/>
              </w:rPr>
            </w:pPr>
          </w:p>
        </w:tc>
        <w:tc>
          <w:tcPr>
            <w:tcW w:w="1785" w:type="dxa"/>
            <w:vAlign w:val="center"/>
          </w:tcPr>
          <w:p w:rsidR="008D4CCF">
            <w:pPr>
              <w:pStyle w:val="Normal0"/>
              <w:spacing w:line="440" w:lineRule="atLeast"/>
              <w:jc w:val="center"/>
              <w:rPr>
                <w:rFonts w:ascii="宋体-PUA" w:eastAsia="宋体-PUA" w:hAnsi="宋体-PUA" w:cs="宋体-PUA"/>
                <w:sz w:val="21"/>
                <w:szCs w:val="21"/>
              </w:rPr>
            </w:pPr>
          </w:p>
        </w:tc>
        <w:tc>
          <w:tcPr>
            <w:tcW w:w="2085" w:type="dxa"/>
            <w:vAlign w:val="center"/>
          </w:tcPr>
          <w:p w:rsidR="008D4CCF">
            <w:pPr>
              <w:pStyle w:val="Normal0"/>
              <w:spacing w:line="440" w:lineRule="atLeast"/>
              <w:jc w:val="center"/>
              <w:rPr>
                <w:rFonts w:ascii="宋体-PUA" w:eastAsia="宋体-PUA" w:hAnsi="宋体-PUA" w:cs="宋体-PUA"/>
                <w:sz w:val="21"/>
                <w:szCs w:val="21"/>
              </w:rPr>
            </w:pPr>
          </w:p>
        </w:tc>
      </w:tr>
      <w:tr>
        <w:tblPrEx>
          <w:tblW w:w="0" w:type="auto"/>
          <w:tblInd w:w="28" w:type="dxa"/>
          <w:tblLayout w:type="fixed"/>
          <w:tblCellMar>
            <w:left w:w="28" w:type="dxa"/>
            <w:right w:w="28" w:type="dxa"/>
          </w:tblCellMar>
          <w:tblLook w:val="0000"/>
        </w:tblPrEx>
        <w:trPr>
          <w:cantSplit/>
        </w:trPr>
        <w:tc>
          <w:tcPr>
            <w:tcW w:w="720" w:type="dxa"/>
            <w:vAlign w:val="center"/>
          </w:tcPr>
          <w:p w:rsidR="008D4CCF">
            <w:pPr>
              <w:pStyle w:val="Normal0"/>
              <w:spacing w:line="440" w:lineRule="atLeast"/>
              <w:jc w:val="center"/>
              <w:rPr>
                <w:rFonts w:ascii="宋体-PUA" w:eastAsia="宋体-PUA" w:hAnsi="宋体-PUA" w:cs="宋体-PUA"/>
                <w:sz w:val="21"/>
                <w:szCs w:val="21"/>
              </w:rPr>
            </w:pPr>
          </w:p>
        </w:tc>
        <w:tc>
          <w:tcPr>
            <w:tcW w:w="2955" w:type="dxa"/>
            <w:vAlign w:val="center"/>
          </w:tcPr>
          <w:p w:rsidR="008D4CCF">
            <w:pPr>
              <w:pStyle w:val="Normal0"/>
              <w:spacing w:line="440" w:lineRule="atLeast"/>
              <w:jc w:val="center"/>
              <w:rPr>
                <w:rFonts w:ascii="宋体-PUA" w:eastAsia="宋体-PUA" w:hAnsi="宋体-PUA" w:cs="宋体-PUA"/>
                <w:sz w:val="21"/>
                <w:szCs w:val="21"/>
              </w:rPr>
            </w:pPr>
          </w:p>
        </w:tc>
        <w:tc>
          <w:tcPr>
            <w:tcW w:w="945" w:type="dxa"/>
            <w:vAlign w:val="center"/>
          </w:tcPr>
          <w:p w:rsidR="008D4CCF">
            <w:pPr>
              <w:pStyle w:val="Normal0"/>
              <w:spacing w:line="440" w:lineRule="atLeast"/>
              <w:jc w:val="center"/>
              <w:rPr>
                <w:rFonts w:ascii="宋体-PUA" w:eastAsia="宋体-PUA" w:hAnsi="宋体-PUA" w:cs="宋体-PUA"/>
                <w:sz w:val="21"/>
                <w:szCs w:val="21"/>
              </w:rPr>
            </w:pPr>
          </w:p>
        </w:tc>
        <w:tc>
          <w:tcPr>
            <w:tcW w:w="1050" w:type="dxa"/>
            <w:vAlign w:val="center"/>
          </w:tcPr>
          <w:p w:rsidR="008D4CCF">
            <w:pPr>
              <w:pStyle w:val="Normal0"/>
              <w:spacing w:line="440" w:lineRule="atLeast"/>
              <w:jc w:val="center"/>
              <w:rPr>
                <w:rFonts w:ascii="宋体-PUA" w:eastAsia="宋体-PUA" w:hAnsi="宋体-PUA" w:cs="宋体-PUA"/>
                <w:sz w:val="21"/>
                <w:szCs w:val="21"/>
              </w:rPr>
            </w:pPr>
          </w:p>
        </w:tc>
        <w:tc>
          <w:tcPr>
            <w:tcW w:w="1785" w:type="dxa"/>
            <w:vAlign w:val="center"/>
          </w:tcPr>
          <w:p w:rsidR="008D4CCF">
            <w:pPr>
              <w:pStyle w:val="Normal0"/>
              <w:spacing w:line="440" w:lineRule="atLeast"/>
              <w:jc w:val="center"/>
              <w:rPr>
                <w:rFonts w:ascii="宋体-PUA" w:eastAsia="宋体-PUA" w:hAnsi="宋体-PUA" w:cs="宋体-PUA"/>
                <w:sz w:val="21"/>
                <w:szCs w:val="21"/>
              </w:rPr>
            </w:pPr>
          </w:p>
        </w:tc>
        <w:tc>
          <w:tcPr>
            <w:tcW w:w="2085" w:type="dxa"/>
            <w:vAlign w:val="center"/>
          </w:tcPr>
          <w:p w:rsidR="008D4CCF">
            <w:pPr>
              <w:pStyle w:val="Normal0"/>
              <w:spacing w:line="440" w:lineRule="atLeast"/>
              <w:jc w:val="center"/>
              <w:rPr>
                <w:rFonts w:ascii="宋体-PUA" w:eastAsia="宋体-PUA" w:hAnsi="宋体-PUA" w:cs="宋体-PUA"/>
                <w:sz w:val="21"/>
                <w:szCs w:val="21"/>
              </w:rPr>
            </w:pPr>
          </w:p>
        </w:tc>
      </w:tr>
      <w:tr>
        <w:tblPrEx>
          <w:tblW w:w="0" w:type="auto"/>
          <w:tblInd w:w="28" w:type="dxa"/>
          <w:tblLayout w:type="fixed"/>
          <w:tblCellMar>
            <w:left w:w="28" w:type="dxa"/>
            <w:right w:w="28" w:type="dxa"/>
          </w:tblCellMar>
          <w:tblLook w:val="0000"/>
        </w:tblPrEx>
        <w:trPr>
          <w:cantSplit/>
        </w:trPr>
        <w:tc>
          <w:tcPr>
            <w:tcW w:w="720" w:type="dxa"/>
            <w:vAlign w:val="center"/>
          </w:tcPr>
          <w:p w:rsidR="008D4CCF">
            <w:pPr>
              <w:pStyle w:val="Normal0"/>
              <w:spacing w:line="440" w:lineRule="atLeast"/>
              <w:jc w:val="center"/>
              <w:rPr>
                <w:rFonts w:ascii="宋体-PUA" w:eastAsia="宋体-PUA" w:hAnsi="宋体-PUA" w:cs="宋体-PUA"/>
                <w:sz w:val="21"/>
                <w:szCs w:val="21"/>
              </w:rPr>
            </w:pPr>
          </w:p>
        </w:tc>
        <w:tc>
          <w:tcPr>
            <w:tcW w:w="2955" w:type="dxa"/>
            <w:vAlign w:val="center"/>
          </w:tcPr>
          <w:p w:rsidR="008D4CCF">
            <w:pPr>
              <w:pStyle w:val="Normal0"/>
              <w:spacing w:line="440" w:lineRule="atLeast"/>
              <w:jc w:val="center"/>
              <w:rPr>
                <w:rFonts w:ascii="宋体-PUA" w:eastAsia="宋体-PUA" w:hAnsi="宋体-PUA" w:cs="宋体-PUA"/>
                <w:sz w:val="21"/>
                <w:szCs w:val="21"/>
              </w:rPr>
            </w:pPr>
          </w:p>
        </w:tc>
        <w:tc>
          <w:tcPr>
            <w:tcW w:w="945" w:type="dxa"/>
            <w:vAlign w:val="center"/>
          </w:tcPr>
          <w:p w:rsidR="008D4CCF">
            <w:pPr>
              <w:pStyle w:val="Normal0"/>
              <w:spacing w:line="440" w:lineRule="atLeast"/>
              <w:jc w:val="center"/>
              <w:rPr>
                <w:rFonts w:ascii="宋体-PUA" w:eastAsia="宋体-PUA" w:hAnsi="宋体-PUA" w:cs="宋体-PUA"/>
                <w:sz w:val="21"/>
                <w:szCs w:val="21"/>
              </w:rPr>
            </w:pPr>
          </w:p>
        </w:tc>
        <w:tc>
          <w:tcPr>
            <w:tcW w:w="1050" w:type="dxa"/>
            <w:vAlign w:val="center"/>
          </w:tcPr>
          <w:p w:rsidR="008D4CCF">
            <w:pPr>
              <w:pStyle w:val="Normal0"/>
              <w:spacing w:line="440" w:lineRule="atLeast"/>
              <w:jc w:val="center"/>
              <w:rPr>
                <w:rFonts w:ascii="宋体-PUA" w:eastAsia="宋体-PUA" w:hAnsi="宋体-PUA" w:cs="宋体-PUA"/>
                <w:sz w:val="21"/>
                <w:szCs w:val="21"/>
              </w:rPr>
            </w:pPr>
          </w:p>
        </w:tc>
        <w:tc>
          <w:tcPr>
            <w:tcW w:w="1785" w:type="dxa"/>
            <w:vAlign w:val="center"/>
          </w:tcPr>
          <w:p w:rsidR="008D4CCF">
            <w:pPr>
              <w:pStyle w:val="Normal0"/>
              <w:spacing w:line="440" w:lineRule="atLeast"/>
              <w:jc w:val="center"/>
              <w:rPr>
                <w:rFonts w:ascii="宋体-PUA" w:eastAsia="宋体-PUA" w:hAnsi="宋体-PUA" w:cs="宋体-PUA"/>
                <w:sz w:val="21"/>
                <w:szCs w:val="21"/>
              </w:rPr>
            </w:pPr>
          </w:p>
        </w:tc>
        <w:tc>
          <w:tcPr>
            <w:tcW w:w="2085" w:type="dxa"/>
            <w:vAlign w:val="center"/>
          </w:tcPr>
          <w:p w:rsidR="008D4CCF">
            <w:pPr>
              <w:pStyle w:val="Normal0"/>
              <w:spacing w:line="440" w:lineRule="atLeast"/>
              <w:jc w:val="center"/>
              <w:rPr>
                <w:rFonts w:ascii="宋体-PUA" w:eastAsia="宋体-PUA" w:hAnsi="宋体-PUA" w:cs="宋体-PUA"/>
                <w:sz w:val="21"/>
                <w:szCs w:val="21"/>
              </w:rPr>
            </w:pPr>
          </w:p>
        </w:tc>
      </w:tr>
    </w:tbl>
    <w:p w:rsidR="008D4CCF">
      <w:pPr>
        <w:pStyle w:val="Normal0"/>
        <w:snapToGrid w:val="0"/>
        <w:spacing w:line="440" w:lineRule="atLeast"/>
        <w:rPr>
          <w:rFonts w:ascii="宋体-PUA" w:eastAsia="宋体-PUA" w:hAnsi="宋体-PUA" w:cs="宋体-PUA"/>
          <w:sz w:val="21"/>
          <w:szCs w:val="21"/>
        </w:rPr>
      </w:pPr>
      <w:r>
        <w:rPr>
          <w:rFonts w:ascii="宋体-PUA" w:eastAsia="宋体-PUA" w:hAnsi="宋体-PUA" w:cs="宋体-PUA" w:hint="eastAsia"/>
          <w:sz w:val="21"/>
          <w:szCs w:val="21"/>
        </w:rPr>
        <w:t>地盘监理：</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　</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施工队长：</w:t>
      </w:r>
      <w:r>
        <w:rPr>
          <w:rFonts w:ascii="宋体-PUA" w:eastAsia="宋体-PUA" w:hAnsi="宋体-PUA" w:cs="宋体-PUA" w:hint="eastAsia"/>
          <w:sz w:val="21"/>
          <w:szCs w:val="21"/>
        </w:rPr>
        <w:t xml:space="preserve">            </w:t>
      </w:r>
      <w:r>
        <w:rPr>
          <w:rFonts w:ascii="宋体-PUA" w:eastAsia="宋体-PUA" w:hAnsi="宋体-PUA" w:cs="宋体-PUA" w:hint="eastAsia"/>
          <w:sz w:val="21"/>
          <w:szCs w:val="21"/>
        </w:rPr>
        <w:t>项目经理：</w:t>
      </w:r>
      <w:r>
        <w:rPr>
          <w:rFonts w:ascii="宋体-PUA" w:eastAsia="宋体-PUA" w:hAnsi="宋体-PUA" w:cs="宋体-PUA" w:hint="eastAsia"/>
          <w:sz w:val="21"/>
          <w:szCs w:val="21"/>
        </w:rPr>
        <w:t xml:space="preserve">               </w:t>
      </w:r>
    </w:p>
    <w:p w:rsidR="008D4CCF">
      <w:pPr>
        <w:pStyle w:val="Normal0"/>
        <w:tabs>
          <w:tab w:val="left" w:pos="735"/>
        </w:tabs>
        <w:spacing w:line="440" w:lineRule="atLeast"/>
        <w:rPr>
          <w:rFonts w:ascii="宋体-PUA" w:eastAsia="宋体-PUA" w:hAnsi="宋体-PUA" w:cs="宋体-PUA"/>
          <w:sz w:val="21"/>
          <w:szCs w:val="21"/>
        </w:rPr>
      </w:pPr>
      <w:r>
        <w:rPr>
          <w:rFonts w:ascii="宋体-PUA" w:eastAsia="宋体-PUA" w:hAnsi="宋体-PUA" w:cs="宋体-PUA" w:hint="eastAsia"/>
          <w:sz w:val="21"/>
          <w:szCs w:val="21"/>
        </w:rPr>
        <w:t>十九、根据施工进度计划表编制材料采购、进场计划和设备进场计划，以避免因材料与设备不能按时进场而延误工期。</w:t>
      </w:r>
    </w:p>
    <w:p w:rsidR="008D4CCF">
      <w:pPr>
        <w:pStyle w:val="Normal0"/>
        <w:tabs>
          <w:tab w:val="left" w:pos="735"/>
        </w:tabs>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二十、施工进度计划调整</w:t>
      </w:r>
    </w:p>
    <w:p w:rsidR="008D4CCF">
      <w:pPr>
        <w:pStyle w:val="Normal0"/>
        <w:tabs>
          <w:tab w:val="left" w:pos="735"/>
        </w:tabs>
        <w:spacing w:line="440" w:lineRule="atLeast"/>
        <w:rPr>
          <w:rFonts w:ascii="宋体-PUA" w:eastAsia="宋体-PUA" w:hAnsi="宋体-PUA" w:cs="宋体-PUA"/>
          <w:sz w:val="21"/>
          <w:szCs w:val="21"/>
        </w:rPr>
      </w:pPr>
      <w:r>
        <w:rPr>
          <w:rFonts w:ascii="宋体-PUA" w:eastAsia="宋体-PUA" w:hAnsi="宋体-PUA" w:cs="宋体-PUA" w:hint="eastAsia"/>
          <w:sz w:val="21"/>
          <w:szCs w:val="21"/>
        </w:rPr>
        <w:t>若因设计变更、材料供应以及其它不可预知之原因，则对施工进度计划及时进行调整，并且材料、劳力、设备、进场计划也需做相应调整。</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施工进度计划变更、调整由地盘监理及现场其它管理人员共同商定、编制，并报项目经理批准，按调整后的施工进度计划表严格执行，以确保本工程保质保量如期竣工。</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二十一、协调方案</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（一）与其他单位的协调方案</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1</w:t>
      </w:r>
      <w:r>
        <w:rPr>
          <w:rFonts w:ascii="宋体-PUA" w:eastAsia="宋体-PUA" w:hAnsi="宋体-PUA" w:cs="宋体-PUA" w:hint="eastAsia"/>
          <w:sz w:val="21"/>
          <w:szCs w:val="21"/>
        </w:rPr>
        <w:t>．以团结协作、友善配合的态度对待对方，争取对方在有关问题上的谅解、支持与配合。</w:t>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27"/>
          <w:cols w:space="708"/>
          <w:titlePg w:val="0"/>
          <w:docGrid w:type="lines" w:linePitch="312"/>
        </w:sectPr>
      </w:pPr>
      <w:r>
        <w:rPr>
          <w:rFonts w:ascii="宋体-PUA" w:eastAsia="宋体-PUA" w:hAnsi="宋体-PUA" w:cs="宋体-PUA" w:hint="eastAsia"/>
          <w:sz w:val="21"/>
          <w:szCs w:val="21"/>
        </w:rPr>
        <w:t>2.</w:t>
      </w:r>
      <w:r>
        <w:rPr>
          <w:rFonts w:ascii="宋体-PUA" w:eastAsia="宋体-PUA" w:hAnsi="宋体-PUA" w:cs="宋体-PUA" w:hint="eastAsia"/>
          <w:sz w:val="21"/>
          <w:szCs w:val="21"/>
        </w:rPr>
        <w:t>将施工组织设计与有关施工方案转达对方，同时了解对方的作业计划和意图，做到知已知彼，沟通融洽，以达到步骤的统一。</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w:t>
      </w:r>
      <w:r>
        <w:rPr>
          <w:rFonts w:ascii="宋体-PUA" w:eastAsia="宋体-PUA" w:hAnsi="宋体-PUA" w:cs="宋体-PUA" w:hint="eastAsia"/>
          <w:sz w:val="21"/>
          <w:szCs w:val="21"/>
        </w:rPr>
        <w:t>当与对方计划发生矛盾时，不能以承包大户的态度非要人家服从，应以充分的理由说服对方，或在不影响大局的前提下以高姿态照</w:t>
      </w:r>
      <w:r>
        <w:rPr>
          <w:rFonts w:ascii="宋体-PUA" w:eastAsia="宋体-PUA" w:hAnsi="宋体-PUA" w:cs="宋体-PUA" w:hint="eastAsia"/>
          <w:sz w:val="21"/>
          <w:szCs w:val="21"/>
        </w:rPr>
        <w:t>顾对方的需要。</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a.</w:t>
      </w:r>
      <w:r>
        <w:rPr>
          <w:rFonts w:ascii="宋体-PUA" w:eastAsia="宋体-PUA" w:hAnsi="宋体-PUA" w:cs="宋体-PUA" w:hint="eastAsia"/>
          <w:sz w:val="21"/>
          <w:szCs w:val="21"/>
        </w:rPr>
        <w:t>若万一发生双方不愉快的冲突。除检查自己方行为的缺点外，恳请业主从中进行调解。</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b.</w:t>
      </w:r>
      <w:r>
        <w:rPr>
          <w:rFonts w:ascii="宋体-PUA" w:eastAsia="宋体-PUA" w:hAnsi="宋体-PUA" w:cs="宋体-PUA" w:hint="eastAsia"/>
          <w:sz w:val="21"/>
          <w:szCs w:val="21"/>
        </w:rPr>
        <w:t>坚持一切外部工程服从对方消防隐蔽工作需要的原则，并通过协调使对方在时间上尽量满足我方的作业计划。</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c.</w:t>
      </w:r>
      <w:r>
        <w:rPr>
          <w:rFonts w:ascii="宋体-PUA" w:eastAsia="宋体-PUA" w:hAnsi="宋体-PUA" w:cs="宋体-PUA" w:hint="eastAsia"/>
          <w:sz w:val="21"/>
          <w:szCs w:val="21"/>
        </w:rPr>
        <w:t>坚持良好的职业道德素质，注重礼貌服务和相互礼让，主动为他人创造条件，严禁野蛮施工等有损企业形象的行为发生，为协调工作奠定良好的基础。</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（二）内部协调方案</w:t>
      </w:r>
    </w:p>
    <w:p w:rsidR="008D4CCF">
      <w:pPr>
        <w:pStyle w:val="Normal0"/>
        <w:numPr>
          <w:ilvl w:val="0"/>
          <w:numId w:val="24"/>
        </w:numPr>
        <w:tabs>
          <w:tab w:val="left" w:pos="1080"/>
          <w:tab w:val="left" w:pos="1520"/>
        </w:tabs>
        <w:spacing w:line="440" w:lineRule="atLeast"/>
        <w:ind w:left="0" w:firstLine="0"/>
        <w:rPr>
          <w:rFonts w:ascii="宋体-PUA" w:eastAsia="宋体-PUA" w:hAnsi="宋体-PUA" w:cs="宋体-PUA"/>
          <w:sz w:val="21"/>
          <w:szCs w:val="21"/>
        </w:rPr>
      </w:pPr>
      <w:r>
        <w:rPr>
          <w:rFonts w:ascii="宋体-PUA" w:eastAsia="宋体-PUA" w:hAnsi="宋体-PUA" w:cs="宋体-PUA" w:hint="eastAsia"/>
          <w:sz w:val="21"/>
          <w:szCs w:val="21"/>
        </w:rPr>
        <w:t>项目经理为本项目总协调负责人，为协调具体工作负责人。</w:t>
      </w:r>
    </w:p>
    <w:p w:rsidR="008D4CCF">
      <w:pPr>
        <w:pStyle w:val="Normal0"/>
        <w:numPr>
          <w:ilvl w:val="0"/>
          <w:numId w:val="24"/>
        </w:numPr>
        <w:tabs>
          <w:tab w:val="left" w:pos="1080"/>
          <w:tab w:val="left" w:pos="1520"/>
        </w:tabs>
        <w:spacing w:line="440" w:lineRule="atLeast"/>
        <w:ind w:left="0" w:firstLine="0"/>
        <w:rPr>
          <w:rFonts w:ascii="宋体-PUA" w:eastAsia="宋体-PUA" w:hAnsi="宋体-PUA" w:cs="宋体-PUA"/>
          <w:sz w:val="21"/>
          <w:szCs w:val="21"/>
        </w:rPr>
      </w:pPr>
      <w:r>
        <w:rPr>
          <w:rFonts w:ascii="宋体-PUA" w:eastAsia="宋体-PUA" w:hAnsi="宋体-PUA" w:cs="宋体-PUA" w:hint="eastAsia"/>
          <w:sz w:val="21"/>
          <w:szCs w:val="21"/>
        </w:rPr>
        <w:t>做好内部各管理部门，各作业班组和各岗位人员的协调工作，首先从思想上协调，通过协调使之行动一致，共同</w:t>
      </w:r>
      <w:r>
        <w:rPr>
          <w:rFonts w:ascii="宋体-PUA" w:eastAsia="宋体-PUA" w:hAnsi="宋体-PUA" w:cs="宋体-PUA" w:hint="eastAsia"/>
          <w:sz w:val="21"/>
          <w:szCs w:val="21"/>
        </w:rPr>
        <w:t>为实现项目的目标而努力。</w:t>
      </w:r>
    </w:p>
    <w:p w:rsidR="008D4CCF">
      <w:pPr>
        <w:pStyle w:val="Normal0"/>
        <w:numPr>
          <w:ilvl w:val="0"/>
          <w:numId w:val="24"/>
        </w:numPr>
        <w:tabs>
          <w:tab w:val="left" w:pos="1080"/>
          <w:tab w:val="left" w:pos="1520"/>
        </w:tabs>
        <w:spacing w:line="440" w:lineRule="atLeast"/>
        <w:ind w:left="0" w:firstLine="0"/>
        <w:rPr>
          <w:rFonts w:ascii="宋体-PUA" w:eastAsia="宋体-PUA" w:hAnsi="宋体-PUA" w:cs="宋体-PUA"/>
          <w:sz w:val="21"/>
          <w:szCs w:val="21"/>
        </w:rPr>
      </w:pPr>
      <w:r>
        <w:rPr>
          <w:rFonts w:ascii="宋体-PUA" w:eastAsia="宋体-PUA" w:hAnsi="宋体-PUA" w:cs="宋体-PUA" w:hint="eastAsia"/>
          <w:sz w:val="21"/>
          <w:szCs w:val="21"/>
        </w:rPr>
        <w:t>对各分部、分项工程进行协调、解决在相互配合施工过程中的难题，促进交叉、流水配合作业。</w:t>
      </w:r>
    </w:p>
    <w:p w:rsidR="008D4CCF">
      <w:pPr>
        <w:pStyle w:val="Normal0"/>
        <w:numPr>
          <w:ilvl w:val="0"/>
          <w:numId w:val="24"/>
        </w:numPr>
        <w:tabs>
          <w:tab w:val="left" w:pos="1080"/>
          <w:tab w:val="left" w:pos="1520"/>
        </w:tabs>
        <w:spacing w:line="440" w:lineRule="atLeast"/>
        <w:ind w:left="0" w:firstLine="0"/>
        <w:rPr>
          <w:rFonts w:ascii="宋体-PUA" w:eastAsia="宋体-PUA" w:hAnsi="宋体-PUA" w:cs="宋体-PUA"/>
          <w:sz w:val="21"/>
          <w:szCs w:val="21"/>
        </w:rPr>
      </w:pPr>
      <w:r>
        <w:rPr>
          <w:rFonts w:ascii="宋体-PUA" w:eastAsia="宋体-PUA" w:hAnsi="宋体-PUA" w:cs="宋体-PUA" w:hint="eastAsia"/>
          <w:sz w:val="21"/>
          <w:szCs w:val="21"/>
        </w:rPr>
        <w:t>对重点分部、分项工程要事先做好具体的协调方案，将一切可能发生的问题提前做好应付措施，保证施工全过程的顺利开展。</w:t>
      </w:r>
    </w:p>
    <w:p w:rsidR="008D4CCF">
      <w:pPr>
        <w:pStyle w:val="Normal0"/>
        <w:numPr>
          <w:ilvl w:val="0"/>
          <w:numId w:val="24"/>
        </w:numPr>
        <w:tabs>
          <w:tab w:val="left" w:pos="1080"/>
          <w:tab w:val="left" w:pos="1520"/>
        </w:tabs>
        <w:spacing w:line="440" w:lineRule="atLeast"/>
        <w:ind w:left="0" w:firstLine="0"/>
        <w:rPr>
          <w:rFonts w:ascii="宋体-PUA" w:eastAsia="宋体-PUA" w:hAnsi="宋体-PUA" w:cs="宋体-PUA"/>
          <w:sz w:val="21"/>
          <w:szCs w:val="21"/>
        </w:rPr>
      </w:pPr>
      <w:r>
        <w:rPr>
          <w:rFonts w:ascii="宋体-PUA" w:eastAsia="宋体-PUA" w:hAnsi="宋体-PUA" w:cs="宋体-PUA" w:hint="eastAsia"/>
          <w:sz w:val="21"/>
          <w:szCs w:val="21"/>
        </w:rPr>
        <w:t>由计划组、施工组、财务后勤组在工程开工前做好有关协调方案，争取在人力、物力、财力上的各个环节协调工作落到实处。</w:t>
      </w:r>
    </w:p>
    <w:p w:rsidR="008D4CCF">
      <w:pPr>
        <w:pStyle w:val="Normal0"/>
        <w:tabs>
          <w:tab w:val="left" w:pos="630"/>
        </w:tabs>
        <w:spacing w:line="440" w:lineRule="atLeast"/>
        <w:rPr>
          <w:rFonts w:ascii="宋体-PUA" w:eastAsia="宋体-PUA" w:hAnsi="宋体-PUA" w:cs="宋体-PUA"/>
          <w:sz w:val="21"/>
          <w:szCs w:val="21"/>
        </w:rPr>
      </w:pPr>
      <w:r>
        <w:rPr>
          <w:rFonts w:ascii="宋体-PUA" w:eastAsia="宋体-PUA" w:hAnsi="宋体-PUA" w:cs="宋体-PUA" w:hint="eastAsia"/>
          <w:sz w:val="21"/>
          <w:szCs w:val="21"/>
        </w:rPr>
        <w:t>加强与业主协调工作，使之充分得到业主的支持和配合，从而进一步提高自己的服务质量。</w:t>
      </w:r>
    </w:p>
    <w:p w:rsidR="008D4CCF">
      <w:pPr>
        <w:pStyle w:val="Heading1"/>
        <w:numPr>
          <w:ilvl w:val="0"/>
          <w:numId w:val="25"/>
        </w:numPr>
        <w:rPr>
          <w:rFonts w:ascii="宋体-PUA" w:eastAsia="宋体-PUA" w:hAnsi="宋体-PUA" w:cs="宋体-PUA"/>
          <w:sz w:val="21"/>
          <w:szCs w:val="21"/>
        </w:rPr>
      </w:pPr>
      <w:bookmarkStart w:id="22" w:name="_Toc8866"/>
      <w:r>
        <w:rPr>
          <w:rFonts w:ascii="宋体-PUA" w:eastAsia="宋体-PUA" w:hAnsi="宋体-PUA" w:cs="宋体-PUA" w:hint="eastAsia"/>
          <w:sz w:val="21"/>
          <w:szCs w:val="21"/>
        </w:rPr>
        <w:t>技术组织措施</w:t>
      </w:r>
      <w:bookmarkEnd w:id="22"/>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1.1</w:t>
      </w:r>
      <w:r>
        <w:rPr>
          <w:rFonts w:ascii="宋体-PUA" w:eastAsia="宋体-PUA" w:hAnsi="宋体-PUA" w:cs="宋体-PUA" w:hint="eastAsia"/>
          <w:sz w:val="21"/>
          <w:szCs w:val="21"/>
          <w:lang w:eastAsia="zh-CN"/>
        </w:rPr>
        <w:t>施工把握及质量把握</w:t>
      </w:r>
    </w:p>
    <w:p w:rsidR="008D4CCF">
      <w:pPr>
        <w:pStyle w:val="Normal0"/>
        <w:spacing w:line="440" w:lineRule="exact"/>
        <w:rPr>
          <w:rFonts w:ascii="宋体-PUA" w:eastAsia="宋体-PUA" w:hAnsi="宋体-PUA" w:cs="宋体-PUA"/>
          <w:sz w:val="21"/>
          <w:szCs w:val="21"/>
        </w:rPr>
      </w:pPr>
      <w:r>
        <w:rPr>
          <w:rFonts w:ascii="宋体-PUA" w:eastAsia="宋体-PUA" w:hAnsi="宋体-PUA" w:cs="宋体-PUA" w:hint="eastAsia"/>
          <w:sz w:val="21"/>
          <w:szCs w:val="21"/>
        </w:rPr>
        <w:t>1)</w:t>
      </w:r>
      <w:r>
        <w:rPr>
          <w:rFonts w:ascii="宋体-PUA" w:eastAsia="宋体-PUA" w:hAnsi="宋体-PUA" w:cs="宋体-PUA" w:hint="eastAsia"/>
          <w:sz w:val="21"/>
          <w:szCs w:val="21"/>
        </w:rPr>
        <w:t>严格按照</w:t>
      </w:r>
      <w:r>
        <w:rPr>
          <w:rFonts w:ascii="宋体-PUA" w:eastAsia="宋体-PUA" w:hAnsi="宋体-PUA" w:cs="宋体-PUA" w:hint="eastAsia"/>
          <w:sz w:val="21"/>
          <w:szCs w:val="21"/>
        </w:rPr>
        <w:t>ISO9002</w:t>
      </w:r>
      <w:r>
        <w:rPr>
          <w:rFonts w:ascii="宋体-PUA" w:eastAsia="宋体-PUA" w:hAnsi="宋体-PUA" w:cs="宋体-PUA" w:hint="eastAsia"/>
          <w:sz w:val="21"/>
          <w:szCs w:val="21"/>
        </w:rPr>
        <w:t>国际标准管理体系的要求组织施工，</w:t>
      </w:r>
      <w:r>
        <w:rPr>
          <w:rFonts w:ascii="宋体-PUA" w:eastAsia="宋体-PUA" w:hAnsi="宋体-PUA" w:cs="宋体-PUA" w:hint="eastAsia"/>
          <w:sz w:val="21"/>
          <w:szCs w:val="21"/>
        </w:rPr>
        <w:t> </w:t>
      </w:r>
      <w:r>
        <w:rPr>
          <w:rFonts w:ascii="宋体-PUA" w:eastAsia="宋体-PUA" w:hAnsi="宋体-PUA" w:cs="宋体-PUA" w:hint="eastAsia"/>
          <w:sz w:val="21"/>
          <w:szCs w:val="21"/>
        </w:rPr>
        <w:t>把“质量第一”的方针全面落实到一系列经营管理于生产经营活动之中。认真贯彻“谁施工，谁负责工程质量”的原则，切实做好三检：“自检、互检、交接检”工作，确保各分部分项工程均达到质量标准。严格行建设部《施工规范》、《质量验评标准、规范》确保优良工程的实施。同时，严抓质量，每周召开一次施工技术会议，提高管理水平，增强工作责任心，对工程质量严格按图纸施工，不准违反操作规程。</w:t>
      </w:r>
      <w:r>
        <w:rPr>
          <w:rFonts w:ascii="宋体-PUA" w:eastAsia="宋体-PUA" w:hAnsi="宋体-PUA" w:cs="宋体-PUA" w:hint="eastAsia"/>
          <w:sz w:val="21"/>
          <w:szCs w:val="21"/>
        </w:rPr>
        <w:t> </w:t>
      </w:r>
    </w:p>
    <w:p w:rsidR="008D4CCF">
      <w:pPr>
        <w:pStyle w:val="Normal0"/>
        <w:spacing w:line="440" w:lineRule="exact"/>
        <w:rPr>
          <w:rFonts w:ascii="宋体-PUA" w:eastAsia="宋体-PUA" w:hAnsi="宋体-PUA" w:cs="宋体-PUA"/>
          <w:sz w:val="21"/>
          <w:szCs w:val="21"/>
        </w:rPr>
      </w:pPr>
      <w:r>
        <w:rPr>
          <w:rFonts w:ascii="宋体-PUA" w:eastAsia="宋体-PUA" w:hAnsi="宋体-PUA" w:cs="宋体-PUA" w:hint="eastAsia"/>
          <w:sz w:val="21"/>
          <w:szCs w:val="21"/>
          <w:lang w:eastAsia="zh-CN"/>
        </w:rPr>
        <w:t>2</w:t>
      </w:r>
      <w:r>
        <w:rPr>
          <w:rFonts w:ascii="宋体-PUA" w:eastAsia="宋体-PUA" w:hAnsi="宋体-PUA" w:cs="宋体-PUA" w:hint="eastAsia"/>
          <w:sz w:val="21"/>
          <w:szCs w:val="21"/>
        </w:rPr>
        <w:t>)</w:t>
      </w:r>
      <w:r>
        <w:rPr>
          <w:rFonts w:ascii="宋体-PUA" w:eastAsia="宋体-PUA" w:hAnsi="宋体-PUA" w:cs="宋体-PUA" w:hint="eastAsia"/>
          <w:sz w:val="21"/>
          <w:szCs w:val="21"/>
          <w:lang w:eastAsia="zh-CN"/>
        </w:rPr>
        <w:t>材料</w:t>
      </w:r>
      <w:r>
        <w:rPr>
          <w:rFonts w:ascii="宋体-PUA" w:eastAsia="宋体-PUA" w:hAnsi="宋体-PUA" w:cs="宋体-PUA" w:hint="eastAsia"/>
          <w:sz w:val="21"/>
          <w:szCs w:val="21"/>
        </w:rPr>
        <w:t>质量控制措施：严格贯彻执行材料管理规章制度。所有原材料、成品、半成品进入现</w:t>
      </w:r>
      <w:r>
        <w:rPr>
          <w:rFonts w:ascii="宋体-PUA" w:eastAsia="宋体-PUA" w:hAnsi="宋体-PUA" w:cs="宋体-PUA" w:hint="eastAsia"/>
          <w:sz w:val="21"/>
          <w:szCs w:val="21"/>
        </w:rPr>
        <w:t>场，必须是建设部核定的合格产品，必须有产品出厂合格证，并经甲方、监理同意之后，现场的质量检查员、材料员签字方可入库和进入现场堆放。水泥必须分期、分批、作安定性试验，钢材必须做机械性能试验；现</w:t>
      </w:r>
      <w:r>
        <w:rPr>
          <w:rFonts w:ascii="宋体-PUA" w:eastAsia="宋体-PUA" w:hAnsi="宋体-PUA" w:cs="宋体-PUA" w:hint="eastAsia"/>
          <w:sz w:val="21"/>
          <w:szCs w:val="21"/>
        </w:rPr>
        <w:t>场使用的砂、石子必须过筛，砖头必须浇水湿润，不合格的材料禁止使用。工程中使用的设备、器具、暖卫材料，其品种、规格、技术性能，均应符合国家现行标准与工程的设计要求。凡用于工程安装的材料及设备，必须符合国标、部标的有关规定，具有材质证明书、出厂合格证、使用说明书等才可使用。</w:t>
      </w:r>
      <w:r>
        <w:rPr>
          <w:rFonts w:ascii="宋体-PUA" w:eastAsia="宋体-PUA" w:hAnsi="宋体-PUA" w:cs="宋体-PUA" w:hint="eastAsia"/>
          <w:sz w:val="21"/>
          <w:szCs w:val="21"/>
        </w:rPr>
        <w:t> </w:t>
      </w:r>
    </w:p>
    <w:p w:rsidR="008D4CCF">
      <w:pPr>
        <w:pStyle w:val="Normal0"/>
        <w:spacing w:line="440" w:lineRule="exact"/>
        <w:rPr>
          <w:rFonts w:ascii="宋体-PUA" w:eastAsia="宋体-PUA" w:hAnsi="宋体-PUA" w:cs="宋体-PUA"/>
          <w:sz w:val="21"/>
          <w:szCs w:val="21"/>
        </w:rPr>
        <w:sectPr>
          <w:type w:val="nextPage"/>
          <w:pgSz w:w="11906" w:h="16838"/>
          <w:pgMar w:top="1417" w:right="1134" w:bottom="1134" w:left="1134" w:header="851" w:footer="992" w:gutter="0"/>
          <w:pgNumType w:start="28"/>
          <w:cols w:space="708"/>
          <w:titlePg w:val="0"/>
          <w:docGrid w:type="lines" w:linePitch="312"/>
        </w:sectPr>
      </w:pPr>
      <w:r>
        <w:rPr>
          <w:rFonts w:ascii="宋体-PUA" w:eastAsia="宋体-PUA" w:hAnsi="宋体-PUA" w:cs="宋体-PUA" w:hint="eastAsia"/>
          <w:sz w:val="21"/>
          <w:szCs w:val="21"/>
          <w:lang w:eastAsia="zh-CN"/>
        </w:rPr>
        <w:t>3</w:t>
      </w:r>
      <w:r>
        <w:rPr>
          <w:rFonts w:ascii="宋体-PUA" w:eastAsia="宋体-PUA" w:hAnsi="宋体-PUA" w:cs="宋体-PUA" w:hint="eastAsia"/>
          <w:sz w:val="21"/>
          <w:szCs w:val="21"/>
        </w:rPr>
        <w:t>)</w:t>
      </w:r>
      <w:r>
        <w:rPr>
          <w:rFonts w:ascii="宋体-PUA" w:eastAsia="宋体-PUA" w:hAnsi="宋体-PUA" w:cs="宋体-PUA" w:hint="eastAsia"/>
          <w:sz w:val="21"/>
          <w:szCs w:val="21"/>
        </w:rPr>
        <w:t>按不同工种作业的各小组，挂牌工，责任落实到人</w:t>
      </w:r>
    </w:p>
    <w:p w:rsidR="008D4CCF">
      <w:pPr>
        <w:pStyle w:val="Normal0"/>
        <w:spacing w:line="440" w:lineRule="exact"/>
        <w:rPr>
          <w:rFonts w:ascii="宋体-PUA" w:eastAsia="宋体-PUA" w:hAnsi="宋体-PUA" w:cs="宋体-PUA"/>
          <w:sz w:val="21"/>
          <w:szCs w:val="21"/>
        </w:rPr>
      </w:pPr>
      <w:r>
        <w:rPr>
          <w:rFonts w:ascii="宋体-PUA" w:eastAsia="宋体-PUA" w:hAnsi="宋体-PUA" w:cs="宋体-PUA" w:hint="eastAsia"/>
          <w:sz w:val="21"/>
          <w:szCs w:val="21"/>
        </w:rPr>
        <w:t>，严管重罚，杜绝违章操作，禁止偷工减料现象的发生，达到工完场清。</w:t>
      </w:r>
      <w:r>
        <w:rPr>
          <w:rFonts w:ascii="宋体-PUA" w:eastAsia="宋体-PUA" w:hAnsi="宋体-PUA" w:cs="宋体-PUA" w:hint="eastAsia"/>
          <w:sz w:val="21"/>
          <w:szCs w:val="21"/>
        </w:rPr>
        <w:t> </w:t>
      </w:r>
    </w:p>
    <w:p w:rsidR="008D4CCF">
      <w:pPr>
        <w:pStyle w:val="Normal0"/>
        <w:spacing w:line="440" w:lineRule="exact"/>
        <w:rPr>
          <w:rFonts w:ascii="宋体-PUA" w:eastAsia="宋体-PUA" w:hAnsi="宋体-PUA" w:cs="宋体-PUA"/>
          <w:sz w:val="21"/>
          <w:szCs w:val="21"/>
        </w:rPr>
      </w:pPr>
      <w:r>
        <w:rPr>
          <w:rFonts w:ascii="宋体-PUA" w:eastAsia="宋体-PUA" w:hAnsi="宋体-PUA" w:cs="宋体-PUA" w:hint="eastAsia"/>
          <w:sz w:val="21"/>
          <w:szCs w:val="21"/>
        </w:rPr>
        <w:t>1.2</w:t>
      </w:r>
      <w:r>
        <w:rPr>
          <w:rFonts w:ascii="宋体-PUA" w:eastAsia="宋体-PUA" w:hAnsi="宋体-PUA" w:cs="宋体-PUA" w:hint="eastAsia"/>
          <w:sz w:val="21"/>
          <w:szCs w:val="21"/>
        </w:rPr>
        <w:t>施工现场监督检查</w:t>
      </w:r>
      <w:r>
        <w:rPr>
          <w:rFonts w:ascii="宋体-PUA" w:eastAsia="宋体-PUA" w:hAnsi="宋体-PUA" w:cs="宋体-PUA" w:hint="eastAsia"/>
          <w:sz w:val="21"/>
          <w:szCs w:val="21"/>
        </w:rPr>
        <w:t> </w:t>
      </w:r>
    </w:p>
    <w:p w:rsidR="008D4CCF">
      <w:pPr>
        <w:pStyle w:val="Normal0"/>
        <w:spacing w:line="440" w:lineRule="exact"/>
        <w:rPr>
          <w:rFonts w:ascii="宋体-PUA" w:eastAsia="宋体-PUA" w:hAnsi="宋体-PUA" w:cs="宋体-PUA"/>
          <w:sz w:val="21"/>
          <w:szCs w:val="21"/>
        </w:rPr>
      </w:pPr>
      <w:r>
        <w:rPr>
          <w:rFonts w:ascii="宋体-PUA" w:eastAsia="宋体-PUA" w:hAnsi="宋体-PUA" w:cs="宋体-PUA" w:hint="eastAsia"/>
          <w:sz w:val="21"/>
          <w:szCs w:val="21"/>
        </w:rPr>
        <w:t>1)</w:t>
      </w:r>
      <w:r>
        <w:rPr>
          <w:rFonts w:ascii="宋体-PUA" w:eastAsia="宋体-PUA" w:hAnsi="宋体-PUA" w:cs="宋体-PUA" w:hint="eastAsia"/>
          <w:sz w:val="21"/>
          <w:szCs w:val="21"/>
        </w:rPr>
        <w:t>在项目负责人的领导下，负责检查监督施工组织设计的质量保证措施的实施，组织建立各级质量监督体系。严格监督进场材料质量、型号和规格、监督班组操作是否符合规范标准。</w:t>
      </w:r>
      <w:r>
        <w:rPr>
          <w:rFonts w:ascii="宋体-PUA" w:eastAsia="宋体-PUA" w:hAnsi="宋体-PUA" w:cs="宋体-PUA" w:hint="eastAsia"/>
          <w:sz w:val="21"/>
          <w:szCs w:val="21"/>
        </w:rPr>
        <w:t> </w:t>
      </w:r>
    </w:p>
    <w:p w:rsidR="008D4CCF">
      <w:pPr>
        <w:pStyle w:val="Normal0"/>
        <w:spacing w:line="440" w:lineRule="exact"/>
        <w:rPr>
          <w:rFonts w:ascii="宋体-PUA" w:eastAsia="宋体-PUA" w:hAnsi="宋体-PUA" w:cs="宋体-PUA"/>
          <w:sz w:val="21"/>
          <w:szCs w:val="21"/>
        </w:rPr>
      </w:pPr>
      <w:r>
        <w:rPr>
          <w:rFonts w:ascii="宋体-PUA" w:eastAsia="宋体-PUA" w:hAnsi="宋体-PUA" w:cs="宋体-PUA" w:hint="eastAsia"/>
          <w:sz w:val="21"/>
          <w:szCs w:val="21"/>
        </w:rPr>
        <w:t>2)</w:t>
      </w:r>
      <w:r>
        <w:rPr>
          <w:rFonts w:ascii="宋体-PUA" w:eastAsia="宋体-PUA" w:hAnsi="宋体-PUA" w:cs="宋体-PUA" w:hint="eastAsia"/>
          <w:sz w:val="21"/>
          <w:szCs w:val="21"/>
        </w:rPr>
        <w:t>按照规范规定的分部分项工程检验方法和验收评定标准，正确进行“自检、互检、交接检”实测实量，填报各项检查表格，对不符合工程质量要求的分部分项工程，提出返工意见。</w:t>
      </w:r>
      <w:r>
        <w:rPr>
          <w:rFonts w:ascii="宋体-PUA" w:eastAsia="宋体-PUA" w:hAnsi="宋体-PUA" w:cs="宋体-PUA" w:hint="eastAsia"/>
          <w:sz w:val="21"/>
          <w:szCs w:val="21"/>
        </w:rPr>
        <w:t> </w:t>
      </w:r>
    </w:p>
    <w:p w:rsidR="008D4CCF">
      <w:pPr>
        <w:pStyle w:val="Normal0"/>
        <w:spacing w:line="440" w:lineRule="exact"/>
        <w:rPr>
          <w:rFonts w:ascii="宋体-PUA" w:eastAsia="宋体-PUA" w:hAnsi="宋体-PUA" w:cs="宋体-PUA"/>
          <w:sz w:val="21"/>
          <w:szCs w:val="21"/>
        </w:rPr>
      </w:pPr>
      <w:r>
        <w:rPr>
          <w:rFonts w:ascii="宋体-PUA" w:eastAsia="宋体-PUA" w:hAnsi="宋体-PUA" w:cs="宋体-PUA" w:hint="eastAsia"/>
          <w:sz w:val="21"/>
          <w:szCs w:val="21"/>
        </w:rPr>
        <w:t>3)</w:t>
      </w:r>
      <w:r>
        <w:rPr>
          <w:rFonts w:ascii="宋体-PUA" w:eastAsia="宋体-PUA" w:hAnsi="宋体-PUA" w:cs="宋体-PUA" w:hint="eastAsia"/>
          <w:sz w:val="21"/>
          <w:szCs w:val="21"/>
        </w:rPr>
        <w:t>组织定期安全检查，查出的问题在限期内整改完毕，发现危及职工生命安全的重大安全隐患，</w:t>
      </w:r>
      <w:r>
        <w:rPr>
          <w:rFonts w:ascii="宋体-PUA" w:eastAsia="宋体-PUA" w:hAnsi="宋体-PUA" w:cs="宋体-PUA" w:hint="eastAsia"/>
          <w:sz w:val="21"/>
          <w:szCs w:val="21"/>
        </w:rPr>
        <w:t>有权制止作业，组织撤离危险区域。建立防火措施、督促有关人员做好施工安全技术管理。</w:t>
      </w:r>
    </w:p>
    <w:p w:rsidR="008D4CCF">
      <w:pPr>
        <w:pStyle w:val="Heading1"/>
        <w:rPr>
          <w:rFonts w:ascii="宋体-PUA" w:eastAsia="宋体-PUA" w:hAnsi="宋体-PUA" w:cs="宋体-PUA"/>
          <w:sz w:val="21"/>
          <w:szCs w:val="21"/>
        </w:rPr>
      </w:pPr>
      <w:bookmarkStart w:id="23" w:name="_Toc31721"/>
      <w:r>
        <w:rPr>
          <w:rFonts w:ascii="宋体-PUA" w:eastAsia="宋体-PUA" w:hAnsi="宋体-PUA" w:cs="宋体-PUA" w:hint="eastAsia"/>
          <w:sz w:val="21"/>
          <w:szCs w:val="21"/>
          <w:lang w:eastAsia="zh-CN"/>
        </w:rPr>
        <w:t>第十二章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关键工序、复杂环节重点技术措施</w:t>
      </w:r>
      <w:bookmarkEnd w:id="23"/>
    </w:p>
    <w:p w:rsidR="008D4CCF">
      <w:pPr>
        <w:pStyle w:val="Normal0"/>
        <w:numPr>
          <w:ilvl w:val="0"/>
          <w:numId w:val="26"/>
        </w:numPr>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连接构件焊接重点环节响应技术措施</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、焊接质量控制的基本方法和手段</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在焊接施工中，做好下列工作是焊接质量控制的基本方法和手段：</w:t>
      </w:r>
      <w:r>
        <w:rPr>
          <w:rFonts w:ascii="宋体-PUA" w:eastAsia="宋体-PUA" w:hAnsi="宋体-PUA" w:cs="宋体-PUA" w:hint="eastAsia"/>
          <w:sz w:val="21"/>
          <w:szCs w:val="21"/>
          <w:lang w:eastAsia="zh-CN"/>
        </w:rPr>
        <w:t> </w:t>
      </w:r>
    </w:p>
    <w:p w:rsidR="008D4CCF">
      <w:pPr>
        <w:pStyle w:val="Normal0"/>
        <w:numPr>
          <w:ilvl w:val="0"/>
          <w:numId w:val="27"/>
        </w:numPr>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焊工资格审查和技艺评定。</w:t>
      </w:r>
    </w:p>
    <w:p w:rsidR="008D4CCF">
      <w:pPr>
        <w:pStyle w:val="Normal0"/>
        <w:numPr>
          <w:ilvl w:val="0"/>
          <w:numId w:val="27"/>
        </w:numPr>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焊接工艺评定试验。</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）制定合理的焊接工艺规程和标准。</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4</w:t>
      </w:r>
      <w:r>
        <w:rPr>
          <w:rFonts w:ascii="宋体-PUA" w:eastAsia="宋体-PUA" w:hAnsi="宋体-PUA" w:cs="宋体-PUA" w:hint="eastAsia"/>
          <w:sz w:val="21"/>
          <w:szCs w:val="21"/>
          <w:lang w:eastAsia="zh-CN"/>
        </w:rPr>
        <w:t>）保证焊接材料质量，建立严格的焊接材料领发制度。</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5</w:t>
      </w:r>
      <w:r>
        <w:rPr>
          <w:rFonts w:ascii="宋体-PUA" w:eastAsia="宋体-PUA" w:hAnsi="宋体-PUA" w:cs="宋体-PUA" w:hint="eastAsia"/>
          <w:sz w:val="21"/>
          <w:szCs w:val="21"/>
          <w:lang w:eastAsia="zh-CN"/>
        </w:rPr>
        <w:t>）保证焊件装配的质量。</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6</w:t>
      </w:r>
      <w:r>
        <w:rPr>
          <w:rFonts w:ascii="宋体-PUA" w:eastAsia="宋体-PUA" w:hAnsi="宋体-PUA" w:cs="宋体-PUA" w:hint="eastAsia"/>
          <w:sz w:val="21"/>
          <w:szCs w:val="21"/>
          <w:lang w:eastAsia="zh-CN"/>
        </w:rPr>
        <w:t>）严格执行焊接工艺纪律</w:t>
      </w:r>
      <w:r>
        <w:rPr>
          <w:rFonts w:ascii="宋体-PUA" w:eastAsia="宋体-PUA" w:hAnsi="宋体-PUA" w:cs="宋体-PUA" w:hint="eastAsia"/>
          <w:sz w:val="21"/>
          <w:szCs w:val="21"/>
          <w:lang w:eastAsia="zh-CN"/>
        </w:rPr>
        <w:t> </w:t>
      </w:r>
      <w:r>
        <w:rPr>
          <w:rFonts w:ascii="宋体-PUA" w:eastAsia="宋体-PUA" w:hAnsi="宋体-PUA" w:cs="宋体-PUA" w:hint="eastAsia"/>
          <w:sz w:val="21"/>
          <w:szCs w:val="21"/>
          <w:lang w:eastAsia="zh-CN"/>
        </w:rPr>
        <w:t>。</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7</w:t>
      </w:r>
      <w:r>
        <w:rPr>
          <w:rFonts w:ascii="宋体-PUA" w:eastAsia="宋体-PUA" w:hAnsi="宋体-PUA" w:cs="宋体-PUA" w:hint="eastAsia"/>
          <w:sz w:val="21"/>
          <w:szCs w:val="21"/>
          <w:lang w:eastAsia="zh-CN"/>
        </w:rPr>
        <w:t>）对焊接设备进行有效的管理。</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8</w:t>
      </w:r>
      <w:r>
        <w:rPr>
          <w:rFonts w:ascii="宋体-PUA" w:eastAsia="宋体-PUA" w:hAnsi="宋体-PUA" w:cs="宋体-PUA" w:hint="eastAsia"/>
          <w:sz w:val="21"/>
          <w:szCs w:val="21"/>
          <w:lang w:eastAsia="zh-CN"/>
        </w:rPr>
        <w:t>）对焊接返</w:t>
      </w:r>
      <w:r>
        <w:rPr>
          <w:rFonts w:ascii="宋体-PUA" w:eastAsia="宋体-PUA" w:hAnsi="宋体-PUA" w:cs="宋体-PUA" w:hint="eastAsia"/>
          <w:sz w:val="21"/>
          <w:szCs w:val="21"/>
          <w:lang w:eastAsia="zh-CN"/>
        </w:rPr>
        <w:t>修工作进行严格的质量控制，</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9</w:t>
      </w:r>
      <w:r>
        <w:rPr>
          <w:rFonts w:ascii="宋体-PUA" w:eastAsia="宋体-PUA" w:hAnsi="宋体-PUA" w:cs="宋体-PUA" w:hint="eastAsia"/>
          <w:sz w:val="21"/>
          <w:szCs w:val="21"/>
          <w:lang w:eastAsia="zh-CN"/>
        </w:rPr>
        <w:t>）选用合适的热处理工艺并对热处理质量进行控制。</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 </w:t>
      </w: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10</w:t>
      </w:r>
      <w:r>
        <w:rPr>
          <w:rFonts w:ascii="宋体-PUA" w:eastAsia="宋体-PUA" w:hAnsi="宋体-PUA" w:cs="宋体-PUA" w:hint="eastAsia"/>
          <w:sz w:val="21"/>
          <w:szCs w:val="21"/>
          <w:lang w:eastAsia="zh-CN"/>
        </w:rPr>
        <w:t>）加强焊接施工过程中和新产品的最终质量检验。</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 2</w:t>
      </w:r>
      <w:r>
        <w:rPr>
          <w:rFonts w:ascii="宋体-PUA" w:eastAsia="宋体-PUA" w:hAnsi="宋体-PUA" w:cs="宋体-PUA" w:hint="eastAsia"/>
          <w:sz w:val="21"/>
          <w:szCs w:val="21"/>
          <w:lang w:eastAsia="zh-CN"/>
        </w:rPr>
        <w:t>、焊接质量控制注意事项</w:t>
      </w:r>
      <w:r>
        <w:rPr>
          <w:rFonts w:ascii="宋体-PUA" w:eastAsia="宋体-PUA" w:hAnsi="宋体-PUA" w:cs="宋体-PUA" w:hint="eastAsia"/>
          <w:sz w:val="21"/>
          <w:szCs w:val="21"/>
          <w:lang w:eastAsia="zh-CN"/>
        </w:rPr>
        <w:t> </w:t>
      </w:r>
    </w:p>
    <w:p w:rsidR="008D4CCF">
      <w:pPr>
        <w:pStyle w:val="Normal0"/>
        <w:numPr>
          <w:ilvl w:val="0"/>
          <w:numId w:val="28"/>
        </w:numPr>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必须是由合格的焊工按合适的焊接工艺施工</w:t>
      </w:r>
      <w:r>
        <w:rPr>
          <w:rFonts w:ascii="宋体-PUA" w:eastAsia="宋体-PUA" w:hAnsi="宋体-PUA" w:cs="宋体-PUA" w:hint="eastAsia"/>
          <w:sz w:val="21"/>
          <w:szCs w:val="21"/>
          <w:lang w:eastAsia="zh-CN"/>
        </w:rPr>
        <w:t> </w:t>
      </w:r>
    </w:p>
    <w:p w:rsidR="008D4CCF">
      <w:pPr>
        <w:pStyle w:val="Normal0"/>
        <w:numPr>
          <w:ilvl w:val="0"/>
          <w:numId w:val="28"/>
        </w:numPr>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注意实施预防焊接变形和内应力的措施</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）合理地选择焊接方法和规范，选用线能量较低的方法。例如采用</w:t>
      </w:r>
      <w:r>
        <w:rPr>
          <w:rFonts w:ascii="宋体-PUA" w:eastAsia="宋体-PUA" w:hAnsi="宋体-PUA" w:cs="宋体-PUA" w:hint="eastAsia"/>
          <w:sz w:val="21"/>
          <w:szCs w:val="21"/>
          <w:lang w:eastAsia="zh-CN"/>
        </w:rPr>
        <w:t>CO2</w:t>
      </w:r>
      <w:r>
        <w:rPr>
          <w:rFonts w:ascii="宋体-PUA" w:eastAsia="宋体-PUA" w:hAnsi="宋体-PUA" w:cs="宋体-PUA" w:hint="eastAsia"/>
          <w:sz w:val="21"/>
          <w:szCs w:val="21"/>
          <w:lang w:eastAsia="zh-CN"/>
        </w:rPr>
        <w:t>半自动焊代替手工电弧焊。</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）选择合理的装配焊接顺序。总的原则是，将结构件适当分为几个部件，尽可能使不对称或由缩量大的</w:t>
      </w:r>
      <w:r>
        <w:rPr>
          <w:rFonts w:ascii="宋体-PUA" w:eastAsia="宋体-PUA" w:hAnsi="宋体-PUA" w:cs="宋体-PUA" w:hint="eastAsia"/>
          <w:sz w:val="21"/>
          <w:szCs w:val="21"/>
          <w:lang w:eastAsia="zh-CN"/>
        </w:rPr>
        <w:t>焊接工作能在部件组装时进行，以使焊缝自由收缩，在总装中减少焊接变形。</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）注意采用合理的焊接顺序和方向。尽量使焊缝在焊接时处于自由收缩状态；先焊收缩量比较大的焊缝和工作时受力较大的焊缝。</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4</w:t>
      </w:r>
      <w:r>
        <w:rPr>
          <w:rFonts w:ascii="宋体-PUA" w:eastAsia="宋体-PUA" w:hAnsi="宋体-PUA" w:cs="宋体-PUA" w:hint="eastAsia"/>
          <w:sz w:val="21"/>
          <w:szCs w:val="21"/>
          <w:lang w:eastAsia="zh-CN"/>
        </w:rPr>
        <w:t>）多层焊时，宜采用小圆弧面风枪或手棰击式辗压焊接区，使焊缝得到延伸，降低内应力。</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sectPr>
          <w:type w:val="nextPage"/>
          <w:pgSz w:w="11906" w:h="16838"/>
          <w:pgMar w:top="1417" w:right="1134" w:bottom="1134" w:left="1134" w:header="851" w:footer="992" w:gutter="0"/>
          <w:pgNumType w:start="29"/>
          <w:cols w:space="708"/>
          <w:titlePg w:val="0"/>
          <w:docGrid w:type="lines" w:linePitch="312"/>
        </w:sectPr>
      </w:pPr>
      <w:r>
        <w:rPr>
          <w:rFonts w:ascii="宋体-PUA" w:eastAsia="宋体-PUA" w:hAnsi="宋体-PUA" w:cs="宋体-PUA" w:hint="eastAsia"/>
          <w:sz w:val="21"/>
          <w:szCs w:val="21"/>
          <w:lang w:eastAsia="zh-CN"/>
        </w:rPr>
        <w:t>5</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）厚板焊接中在结构适当部位加热伸长，其带动焊接部位伸长，焊接后加热区与焊缝同时收缩，从而降低内应力。</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6</w:t>
      </w:r>
      <w:r>
        <w:rPr>
          <w:rFonts w:ascii="宋体-PUA" w:eastAsia="宋体-PUA" w:hAnsi="宋体-PUA" w:cs="宋体-PUA" w:hint="eastAsia"/>
          <w:sz w:val="21"/>
          <w:szCs w:val="21"/>
          <w:lang w:eastAsia="zh-CN"/>
        </w:rPr>
        <w:t>）不得任意加大焊缝的宽度和高度，厚</w:t>
      </w:r>
      <w:r>
        <w:rPr>
          <w:rFonts w:ascii="宋体-PUA" w:eastAsia="宋体-PUA" w:hAnsi="宋体-PUA" w:cs="宋体-PUA" w:hint="eastAsia"/>
          <w:sz w:val="21"/>
          <w:szCs w:val="21"/>
          <w:lang w:eastAsia="zh-CN"/>
        </w:rPr>
        <w:t>板多边焊时不应采用横向摆动焊接以减少焊接内应力。</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）焊接材料应严格按规定烘焙与取出</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）低氢型焊条的取出应随即放入焊工保温筒，在常温下使用，一般控制在</w:t>
      </w:r>
      <w:r>
        <w:rPr>
          <w:rFonts w:ascii="宋体-PUA" w:eastAsia="宋体-PUA" w:hAnsi="宋体-PUA" w:cs="宋体-PUA" w:hint="eastAsia"/>
          <w:sz w:val="21"/>
          <w:szCs w:val="21"/>
          <w:lang w:eastAsia="zh-CN"/>
        </w:rPr>
        <w:t>4h</w:t>
      </w:r>
      <w:r>
        <w:rPr>
          <w:rFonts w:ascii="宋体-PUA" w:eastAsia="宋体-PUA" w:hAnsi="宋体-PUA" w:cs="宋体-PUA" w:hint="eastAsia"/>
          <w:sz w:val="21"/>
          <w:szCs w:val="21"/>
          <w:lang w:eastAsia="zh-CN"/>
        </w:rPr>
        <w:t>内。超过时间应重新烘焙，同一焊条，重复烘焙次数不宜超过两次。</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）焊条烘焙时，严格将焊条直接放入高温炉内，或从高温炉内直接取出。</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 </w:t>
      </w: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）焊条、焊剂烘焙，应由管理人员及时、准确填写烘焙记录，记录上应有牌号、规格、批号、烘焙温度和时间等项内容，并应有专职质控人员对其进行核查，认证签字，每批焊条不少于一次。</w:t>
      </w:r>
      <w:r>
        <w:rPr>
          <w:rFonts w:ascii="宋体-PUA" w:eastAsia="宋体-PUA" w:hAnsi="宋体-PUA" w:cs="宋体-PUA" w:hint="eastAsia"/>
          <w:sz w:val="21"/>
          <w:szCs w:val="21"/>
          <w:lang w:eastAsia="zh-CN"/>
        </w:rPr>
        <w:t> </w:t>
      </w:r>
    </w:p>
    <w:p w:rsidR="008D4CCF">
      <w:pPr>
        <w:pStyle w:val="Normal0"/>
        <w:numPr>
          <w:ilvl w:val="0"/>
          <w:numId w:val="29"/>
        </w:numPr>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焊条烘焙时，不得成捆堆放，应铺平浅放。每层高度约三根焊条高度。</w:t>
      </w:r>
      <w:r>
        <w:rPr>
          <w:rFonts w:ascii="宋体-PUA" w:eastAsia="宋体-PUA" w:hAnsi="宋体-PUA" w:cs="宋体-PUA" w:hint="eastAsia"/>
          <w:sz w:val="21"/>
          <w:szCs w:val="21"/>
          <w:lang w:eastAsia="zh-CN"/>
        </w:rPr>
        <w:t> </w:t>
      </w:r>
    </w:p>
    <w:p w:rsidR="008D4CCF">
      <w:pPr>
        <w:pStyle w:val="Normal0"/>
        <w:numPr>
          <w:ilvl w:val="0"/>
          <w:numId w:val="29"/>
        </w:numPr>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现场焊接时焊条保温筒应接通电源，保持焊条的温度，减缓受潮。</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）焊缝的修补工作</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）焊缝出现裂缝。裂缝是焊缝的致命缺陷，必须彻底清除后进行补焊。但是在补焊前应查明产生冷、热裂缝的原因，制定返修工艺措施，严禁焊工自行返工处理，以防裂缝再次发生。</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）经检查不合格的焊</w:t>
      </w:r>
      <w:r>
        <w:rPr>
          <w:rFonts w:ascii="宋体-PUA" w:eastAsia="宋体-PUA" w:hAnsi="宋体-PUA" w:cs="宋体-PUA" w:hint="eastAsia"/>
          <w:sz w:val="21"/>
          <w:szCs w:val="21"/>
          <w:lang w:eastAsia="zh-CN"/>
        </w:rPr>
        <w:t>缝应及时返修，但返修将严重影响焊缝整体质量，增加局部应力。因此，焊缝同一部位的返修次数不宜超过两次。如超过两次，应挑选技能良好的焊工按返修工艺返修。特别是低合金结构钢焊缝的返修工作，在第一次返修时就要引起重视。</w:t>
      </w:r>
    </w:p>
    <w:p w:rsidR="008D4CCF">
      <w:pPr>
        <w:pStyle w:val="Normal0"/>
        <w:spacing w:line="440" w:lineRule="exact"/>
        <w:ind w:left="420" w:leftChars="200"/>
        <w:rPr>
          <w:rFonts w:ascii="宋体-PUA" w:eastAsia="宋体-PUA" w:hAnsi="宋体-PUA" w:cs="宋体-PUA"/>
          <w:sz w:val="21"/>
          <w:szCs w:val="21"/>
          <w:lang w:eastAsia="zh-CN"/>
        </w:rPr>
      </w:pPr>
      <w:r>
        <w:rPr>
          <w:rFonts w:ascii="宋体-PUA" w:eastAsia="宋体-PUA" w:hAnsi="宋体-PUA" w:cs="宋体-PUA" w:hint="eastAsia"/>
          <w:sz w:val="21"/>
          <w:szCs w:val="21"/>
          <w:lang w:eastAsia="zh-CN"/>
        </w:rPr>
        <w:t>二、玻璃安装</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在安装前，要清洁板块，四边的铝框也要清除污物，以保证嵌缝耐候胶可靠粘结。</w:t>
      </w:r>
      <w:r>
        <w:rPr>
          <w:rFonts w:ascii="宋体-PUA" w:eastAsia="宋体-PUA" w:hAnsi="宋体-PUA" w:cs="宋体-PUA" w:hint="eastAsia"/>
          <w:sz w:val="21"/>
          <w:szCs w:val="21"/>
          <w:lang w:eastAsia="zh-CN"/>
        </w:rPr>
        <w:t> </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当板块在</w:t>
      </w:r>
      <w:r>
        <w:rPr>
          <w:rFonts w:ascii="宋体-PUA" w:eastAsia="宋体-PUA" w:hAnsi="宋体-PUA" w:cs="宋体-PUA" w:hint="eastAsia"/>
          <w:sz w:val="21"/>
          <w:szCs w:val="21"/>
          <w:lang w:eastAsia="zh-CN"/>
        </w:rPr>
        <w:t>3m2</w:t>
      </w:r>
      <w:r>
        <w:rPr>
          <w:rFonts w:ascii="宋体-PUA" w:eastAsia="宋体-PUA" w:hAnsi="宋体-PUA" w:cs="宋体-PUA" w:hint="eastAsia"/>
          <w:sz w:val="21"/>
          <w:szCs w:val="21"/>
          <w:lang w:eastAsia="zh-CN"/>
        </w:rPr>
        <w:t>以内时，一般可采用人工安装；板块面积过大，重量很大时，应采用真空吸盘等机械安装</w:t>
      </w:r>
      <w:r>
        <w:rPr>
          <w:rFonts w:ascii="宋体-PUA" w:eastAsia="宋体-PUA" w:hAnsi="宋体-PUA" w:cs="宋体-PUA" w:hint="eastAsia"/>
          <w:sz w:val="21"/>
          <w:szCs w:val="21"/>
          <w:lang w:eastAsia="zh-CN"/>
        </w:rPr>
        <w:t> </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冬期施工，从寒冷处运到暖和处的玻璃和镶嵌用的合成橡胶等型材应待其缓暖后方可进行裁割和安装。外墙铝合金框、扇玻璃不宜</w:t>
      </w:r>
      <w:r>
        <w:rPr>
          <w:rFonts w:ascii="宋体-PUA" w:eastAsia="宋体-PUA" w:hAnsi="宋体-PUA" w:cs="宋体-PUA" w:hint="eastAsia"/>
          <w:sz w:val="21"/>
          <w:szCs w:val="21"/>
          <w:lang w:eastAsia="zh-CN"/>
        </w:rPr>
        <w:t>在冬期安装。当气温低于</w:t>
      </w:r>
      <w:r>
        <w:rPr>
          <w:rFonts w:ascii="宋体-PUA" w:eastAsia="宋体-PUA" w:hAnsi="宋体-PUA" w:cs="宋体-PUA" w:hint="eastAsia"/>
          <w:sz w:val="21"/>
          <w:szCs w:val="21"/>
          <w:lang w:eastAsia="zh-CN"/>
        </w:rPr>
        <w:t>50C</w:t>
      </w:r>
      <w:r>
        <w:rPr>
          <w:rFonts w:ascii="宋体-PUA" w:eastAsia="宋体-PUA" w:hAnsi="宋体-PUA" w:cs="宋体-PUA" w:hint="eastAsia"/>
          <w:sz w:val="21"/>
          <w:szCs w:val="21"/>
          <w:lang w:eastAsia="zh-CN"/>
        </w:rPr>
        <w:t>时，不宜注胶密封。</w:t>
      </w:r>
      <w:r>
        <w:rPr>
          <w:rFonts w:ascii="宋体-PUA" w:eastAsia="宋体-PUA" w:hAnsi="宋体-PUA" w:cs="宋体-PUA" w:hint="eastAsia"/>
          <w:sz w:val="21"/>
          <w:szCs w:val="21"/>
          <w:lang w:eastAsia="zh-CN"/>
        </w:rPr>
        <w:t> </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玻璃的运输和存放应符合下列规定：</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玻璃的运输和存放应符合现行《普通平板玻璃》（ＧＢ４８７１）的有关规定；玻璃不应搁置和倚靠在可能损伤玻璃边缘和玻璃面的物体上；应防止玻璃被风吹倒；</w:t>
      </w:r>
      <w:r>
        <w:rPr>
          <w:rFonts w:ascii="宋体-PUA" w:eastAsia="宋体-PUA" w:hAnsi="宋体-PUA" w:cs="宋体-PUA" w:hint="eastAsia"/>
          <w:sz w:val="21"/>
          <w:szCs w:val="21"/>
          <w:lang w:eastAsia="zh-CN"/>
        </w:rPr>
        <w:t> </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当用人力搬运玻璃时应符合下列规定；</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应避免玻璃在搬运过程中破损；搬运大面积玻璃时应注意风向，以确保安全。</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sectPr>
          <w:type w:val="nextPage"/>
          <w:pgSz w:w="11906" w:h="16838"/>
          <w:pgMar w:top="1417" w:right="1134" w:bottom="1134" w:left="1134" w:header="851" w:footer="992" w:gutter="0"/>
          <w:pgNumType w:start="30"/>
          <w:cols w:space="708"/>
          <w:titlePg w:val="0"/>
          <w:docGrid w:type="lines" w:linePitch="312"/>
        </w:sectPr>
      </w:pPr>
      <w:r>
        <w:rPr>
          <w:rFonts w:ascii="宋体-PUA" w:eastAsia="宋体-PUA" w:hAnsi="宋体-PUA" w:cs="宋体-PUA" w:hint="eastAsia"/>
          <w:sz w:val="21"/>
          <w:szCs w:val="21"/>
          <w:lang w:eastAsia="zh-CN"/>
        </w:rPr>
        <w:t>当焊接、切割、喷砂等作业可损伤玻璃时，应采取措施予以保护。严禁焊接等火花溅到玻璃上。玻璃安装后，应对玻璃与框、扇同时进行清洁工作。严禁用酸性洗涤济或含研磨粉去污粉精清洗热</w:t>
      </w:r>
      <w:r>
        <w:rPr>
          <w:rFonts w:ascii="宋体-PUA" w:eastAsia="宋体-PUA" w:hAnsi="宋体-PUA" w:cs="宋体-PUA" w:hint="eastAsia"/>
          <w:sz w:val="21"/>
          <w:szCs w:val="21"/>
          <w:lang w:eastAsia="zh-CN"/>
        </w:rPr>
        <w:t>反射玻璃的镀膜面层。安装玻璃前，应清除槽口内的灰浆、杂物等，畅通排水孔。使用密封膏前，接缝处的玻璃、金属和塑料的表面必须清洁、干燥。玻璃不能与其它构件直接接触，四周必须有空隙，下部应有定位垫块，垫块宽度与槽口相同，搁置点离玻璃垂直连缘的距离宜为玻璃宽度的</w:t>
      </w: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4</w:t>
      </w:r>
    </w:p>
    <w:p w:rsidR="008D4CCF">
      <w:pPr>
        <w:pStyle w:val="Normal0"/>
        <w:numPr>
          <w:ilvl w:val="0"/>
          <w:numId w:val="0"/>
        </w:numPr>
        <w:tabs>
          <w:tab w:val="left" w:pos="425"/>
        </w:tabs>
        <w:spacing w:line="440" w:lineRule="exact"/>
        <w:ind w:left="425"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，长度不小于</w:t>
      </w:r>
      <w:r>
        <w:rPr>
          <w:rFonts w:ascii="宋体-PUA" w:eastAsia="宋体-PUA" w:hAnsi="宋体-PUA" w:cs="宋体-PUA" w:hint="eastAsia"/>
          <w:sz w:val="21"/>
          <w:szCs w:val="21"/>
          <w:lang w:eastAsia="zh-CN"/>
        </w:rPr>
        <w:t>100mm</w:t>
      </w:r>
      <w:r>
        <w:rPr>
          <w:rFonts w:ascii="宋体-PUA" w:eastAsia="宋体-PUA" w:hAnsi="宋体-PUA" w:cs="宋体-PUA" w:hint="eastAsia"/>
          <w:sz w:val="21"/>
          <w:szCs w:val="21"/>
          <w:lang w:eastAsia="zh-CN"/>
        </w:rPr>
        <w:t>。安装于扇中的玻璃，应据开启方向确定其定垫块的位置，定位垫块的宽度应大于所支撑的玻璃件厚度，长度不宜小于</w:t>
      </w:r>
      <w:r>
        <w:rPr>
          <w:rFonts w:ascii="宋体-PUA" w:eastAsia="宋体-PUA" w:hAnsi="宋体-PUA" w:cs="宋体-PUA" w:hint="eastAsia"/>
          <w:sz w:val="21"/>
          <w:szCs w:val="21"/>
          <w:lang w:eastAsia="zh-CN"/>
        </w:rPr>
        <w:t>25mm</w:t>
      </w:r>
      <w:r>
        <w:rPr>
          <w:rFonts w:ascii="宋体-PUA" w:eastAsia="宋体-PUA" w:hAnsi="宋体-PUA" w:cs="宋体-PUA" w:hint="eastAsia"/>
          <w:sz w:val="21"/>
          <w:szCs w:val="21"/>
          <w:lang w:eastAsia="zh-CN"/>
        </w:rPr>
        <w:t>，并应符合设计要求。</w:t>
      </w:r>
      <w:r>
        <w:rPr>
          <w:rFonts w:ascii="宋体-PUA" w:eastAsia="宋体-PUA" w:hAnsi="宋体-PUA" w:cs="宋体-PUA" w:hint="eastAsia"/>
          <w:sz w:val="21"/>
          <w:szCs w:val="21"/>
          <w:lang w:eastAsia="zh-CN"/>
        </w:rPr>
        <w:t> </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玻璃安装就位后，其边缘不得和框、扇及其连接件相接触，所留间隙应符合国家有关标准的规定；玻璃安装</w:t>
      </w:r>
      <w:r>
        <w:rPr>
          <w:rFonts w:ascii="宋体-PUA" w:eastAsia="宋体-PUA" w:hAnsi="宋体-PUA" w:cs="宋体-PUA" w:hint="eastAsia"/>
          <w:sz w:val="21"/>
          <w:szCs w:val="21"/>
          <w:lang w:eastAsia="zh-CN"/>
        </w:rPr>
        <w:t>时所使用的各种材料均不得影响泄水系统的通畅；迎风面的玻璃镶入框内后，应立即用通长镶嵌条或垫片固定；玻璃镶入框、扇内，填塞填充材料、镶嵌条时，应使下班周边受力均匀；镶嵌条应和玻璃、玻璃槽口紧贴；密封管封贴缝口时，封贴的宽度和深度应符合设计要求，充填必须密实，外表应平整光洁。</w:t>
      </w:r>
      <w:r>
        <w:rPr>
          <w:rFonts w:ascii="宋体-PUA" w:eastAsia="宋体-PUA" w:hAnsi="宋体-PUA" w:cs="宋体-PUA" w:hint="eastAsia"/>
          <w:sz w:val="21"/>
          <w:szCs w:val="21"/>
          <w:lang w:eastAsia="zh-CN"/>
        </w:rPr>
        <w:t>  </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玻璃幕墙四周与主体结构之间缝隙堵塞严实，内外表面用密封胶封闭，保证接缝处的严密。</w:t>
      </w:r>
      <w:r>
        <w:rPr>
          <w:rFonts w:ascii="宋体-PUA" w:eastAsia="宋体-PUA" w:hAnsi="宋体-PUA" w:cs="宋体-PUA" w:hint="eastAsia"/>
          <w:sz w:val="21"/>
          <w:szCs w:val="21"/>
          <w:lang w:eastAsia="zh-CN"/>
        </w:rPr>
        <w:t> </w:t>
      </w:r>
    </w:p>
    <w:p w:rsidR="008D4CCF">
      <w:pPr>
        <w:pStyle w:val="Normal0"/>
        <w:numPr>
          <w:ilvl w:val="0"/>
          <w:numId w:val="30"/>
        </w:numPr>
        <w:tabs>
          <w:tab w:val="left" w:pos="425"/>
        </w:tabs>
        <w:spacing w:line="440" w:lineRule="exact"/>
        <w:ind w:firstLine="0"/>
        <w:rPr>
          <w:rFonts w:ascii="宋体-PUA" w:eastAsia="宋体-PUA" w:hAnsi="宋体-PUA" w:cs="宋体-PUA"/>
          <w:sz w:val="21"/>
          <w:szCs w:val="21"/>
          <w:lang w:eastAsia="zh-CN"/>
        </w:rPr>
      </w:pPr>
      <w:r>
        <w:rPr>
          <w:rFonts w:ascii="宋体-PUA" w:eastAsia="宋体-PUA" w:hAnsi="宋体-PUA" w:cs="宋体-PUA" w:hint="eastAsia"/>
          <w:sz w:val="21"/>
          <w:szCs w:val="21"/>
          <w:lang w:eastAsia="zh-CN"/>
        </w:rPr>
        <w:t>安装玻璃组件后，再用耐侯胶封缝，并使用修胶工具修整，之后揭除遮盖压边胶带并清洁玻璃及毛框表面。防止气体渗透和雨水渗漏</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嵌缝耐候胶注胶时应注意：</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1</w:t>
      </w:r>
      <w:r>
        <w:rPr>
          <w:rFonts w:ascii="宋体-PUA" w:eastAsia="宋体-PUA" w:hAnsi="宋体-PUA" w:cs="宋体-PUA" w:hint="eastAsia"/>
          <w:sz w:val="21"/>
          <w:szCs w:val="21"/>
          <w:lang w:eastAsia="zh-CN"/>
        </w:rPr>
        <w:t>）、充分清洁板材间缝隙，不应有水、油渍、涂料、铁锈、水泥砂浆、灰尘等。应充分清洁粘结面，加以干燥。可采用甲苯或甲基二乙酮作清洁剂。</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2</w:t>
      </w:r>
      <w:r>
        <w:rPr>
          <w:rFonts w:ascii="宋体-PUA" w:eastAsia="宋体-PUA" w:hAnsi="宋体-PUA" w:cs="宋体-PUA" w:hint="eastAsia"/>
          <w:sz w:val="21"/>
          <w:szCs w:val="21"/>
          <w:lang w:eastAsia="zh-CN"/>
        </w:rPr>
        <w:t>）、为调整缝的深度，避免三边粘胶，缝隙内应充填聚氯乙烯发泡材料（小圆棒）。</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3</w:t>
      </w:r>
      <w:r>
        <w:rPr>
          <w:rFonts w:ascii="宋体-PUA" w:eastAsia="宋体-PUA" w:hAnsi="宋体-PUA" w:cs="宋体-PUA" w:hint="eastAsia"/>
          <w:sz w:val="21"/>
          <w:szCs w:val="21"/>
          <w:lang w:eastAsia="zh-CN"/>
        </w:rPr>
        <w:t>）、为避免密封胶污染和铝板，应在缝两侧贴保护胶纸。</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4</w:t>
      </w:r>
      <w:r>
        <w:rPr>
          <w:rFonts w:ascii="宋体-PUA" w:eastAsia="宋体-PUA" w:hAnsi="宋体-PUA" w:cs="宋体-PUA" w:hint="eastAsia"/>
          <w:sz w:val="21"/>
          <w:szCs w:val="21"/>
          <w:lang w:eastAsia="zh-CN"/>
        </w:rPr>
        <w:t>）、注胶后应将胶缝表面抹平，去掉多余的胶。</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5</w:t>
      </w:r>
      <w:r>
        <w:rPr>
          <w:rFonts w:ascii="宋体-PUA" w:eastAsia="宋体-PUA" w:hAnsi="宋体-PUA" w:cs="宋体-PUA" w:hint="eastAsia"/>
          <w:sz w:val="21"/>
          <w:szCs w:val="21"/>
          <w:lang w:eastAsia="zh-CN"/>
        </w:rPr>
        <w:t>）、注胶完毕后，将保护胶纸撕掉，</w:t>
      </w:r>
      <w:r>
        <w:rPr>
          <w:rFonts w:ascii="宋体-PUA" w:eastAsia="宋体-PUA" w:hAnsi="宋体-PUA" w:cs="宋体-PUA" w:hint="eastAsia"/>
          <w:sz w:val="21"/>
          <w:szCs w:val="21"/>
          <w:lang w:eastAsia="zh-CN"/>
        </w:rPr>
        <w:t>必要时可用溶剂拭取。</w:t>
      </w:r>
      <w:r>
        <w:rPr>
          <w:rFonts w:ascii="宋体-PUA" w:eastAsia="宋体-PUA" w:hAnsi="宋体-PUA" w:cs="宋体-PUA" w:hint="eastAsia"/>
          <w:sz w:val="21"/>
          <w:szCs w:val="21"/>
          <w:lang w:eastAsia="zh-CN"/>
        </w:rPr>
        <w:t> </w:t>
      </w:r>
    </w:p>
    <w:p w:rsidR="008D4CCF">
      <w:pPr>
        <w:pStyle w:val="Normal0"/>
        <w:spacing w:line="440" w:lineRule="exact"/>
        <w:rPr>
          <w:rFonts w:ascii="宋体-PUA" w:eastAsia="宋体-PUA" w:hAnsi="宋体-PUA" w:cs="宋体-PUA"/>
          <w:sz w:val="21"/>
          <w:szCs w:val="21"/>
          <w:lang w:eastAsia="zh-CN"/>
        </w:rPr>
      </w:pP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6</w:t>
      </w:r>
      <w:r>
        <w:rPr>
          <w:rFonts w:ascii="宋体-PUA" w:eastAsia="宋体-PUA" w:hAnsi="宋体-PUA" w:cs="宋体-PUA" w:hint="eastAsia"/>
          <w:sz w:val="21"/>
          <w:szCs w:val="21"/>
          <w:lang w:eastAsia="zh-CN"/>
        </w:rPr>
        <w:t>）、注意注胶后养护，胶在完全硬化前，不要沾染灰尘和划伤</w:t>
      </w:r>
      <w:r>
        <w:rPr>
          <w:rFonts w:ascii="宋体-PUA" w:eastAsia="宋体-PUA" w:hAnsi="宋体-PUA" w:cs="宋体-PUA" w:hint="eastAsia"/>
          <w:sz w:val="21"/>
          <w:szCs w:val="21"/>
          <w:lang w:eastAsia="zh-CN"/>
        </w:rPr>
        <w:t>,</w:t>
      </w:r>
      <w:r>
        <w:rPr>
          <w:rFonts w:ascii="宋体-PUA" w:eastAsia="宋体-PUA" w:hAnsi="宋体-PUA" w:cs="宋体-PUA" w:hint="eastAsia"/>
          <w:sz w:val="21"/>
          <w:szCs w:val="21"/>
          <w:lang w:eastAsia="zh-CN"/>
        </w:rPr>
        <w:t>嵌缝胶的深度（厚度）应小于缝宽度</w:t>
      </w:r>
      <w:r>
        <w:rPr>
          <w:rFonts w:ascii="宋体-PUA" w:eastAsia="宋体-PUA" w:hAnsi="宋体-PUA" w:cs="宋体-PUA" w:hint="eastAsia"/>
          <w:sz w:val="21"/>
          <w:szCs w:val="21"/>
          <w:lang w:eastAsia="zh-CN"/>
        </w:rPr>
        <w:t>; </w:t>
      </w:r>
      <w:r>
        <w:rPr>
          <w:rFonts w:ascii="宋体-PUA" w:eastAsia="宋体-PUA" w:hAnsi="宋体-PUA" w:cs="宋体-PUA" w:hint="eastAsia"/>
          <w:sz w:val="21"/>
          <w:szCs w:val="21"/>
          <w:lang w:eastAsia="zh-CN"/>
        </w:rPr>
        <w:t>玻璃安装前后将表面尘土和污后擦试干净。</w:t>
      </w:r>
    </w:p>
    <w:p w:rsidR="008D4CCF">
      <w:pPr>
        <w:pStyle w:val="Heading1"/>
        <w:rPr>
          <w:rFonts w:ascii="宋体-PUA" w:eastAsia="宋体-PUA" w:hAnsi="宋体-PUA" w:cs="宋体-PUA"/>
          <w:sz w:val="21"/>
          <w:szCs w:val="21"/>
        </w:rPr>
      </w:pPr>
      <w:bookmarkStart w:id="24" w:name="_Toc23583"/>
      <w:r>
        <w:rPr>
          <w:rFonts w:ascii="宋体-PUA" w:eastAsia="宋体-PUA" w:hAnsi="宋体-PUA" w:cs="宋体-PUA" w:hint="eastAsia"/>
          <w:sz w:val="21"/>
          <w:szCs w:val="21"/>
          <w:lang w:eastAsia="zh-CN"/>
        </w:rPr>
        <w:t>第十三章</w:t>
      </w:r>
      <w:r>
        <w:rPr>
          <w:rFonts w:ascii="宋体-PUA" w:eastAsia="宋体-PUA" w:hAnsi="宋体-PUA" w:cs="宋体-PUA" w:hint="eastAsia"/>
          <w:sz w:val="21"/>
          <w:szCs w:val="21"/>
          <w:lang w:eastAsia="zh-CN"/>
        </w:rPr>
        <w:t xml:space="preserve"> </w:t>
      </w:r>
      <w:r>
        <w:rPr>
          <w:rFonts w:ascii="宋体-PUA" w:eastAsia="宋体-PUA" w:hAnsi="宋体-PUA" w:cs="宋体-PUA" w:hint="eastAsia"/>
          <w:sz w:val="21"/>
          <w:szCs w:val="21"/>
          <w:lang w:eastAsia="zh-CN"/>
        </w:rPr>
        <w:t>冬</w:t>
      </w:r>
      <w:r>
        <w:rPr>
          <w:rFonts w:ascii="宋体-PUA" w:eastAsia="宋体-PUA" w:hAnsi="宋体-PUA" w:cs="宋体-PUA" w:hint="eastAsia"/>
          <w:sz w:val="21"/>
          <w:szCs w:val="21"/>
        </w:rPr>
        <w:t>雨季施工技术措施</w:t>
      </w:r>
      <w:bookmarkEnd w:id="24"/>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xml:space="preserve"> </w:t>
      </w:r>
      <w:r>
        <w:rPr>
          <w:rFonts w:ascii="宋体-PUA" w:eastAsia="宋体-PUA" w:hAnsi="宋体-PUA" w:cs="宋体-PUA" w:hint="eastAsia"/>
          <w:sz w:val="21"/>
          <w:szCs w:val="21"/>
        </w:rPr>
        <w:t>环境是指施工工序要求的环境，外墙面石材幕墙施工均为露天作业，受气候影响较大，电焊等工种作业均不能在雨天施工，也不宜在夏天烈日下施工，所以，石材幕墙施工受气候条件的制约较严。应根据工程的实际情况，编制详细的季节性施工措施。</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1</w:t>
      </w:r>
      <w:r>
        <w:rPr>
          <w:rFonts w:ascii="宋体-PUA" w:eastAsia="宋体-PUA" w:hAnsi="宋体-PUA" w:cs="宋体-PUA" w:hint="eastAsia"/>
          <w:sz w:val="21"/>
          <w:szCs w:val="21"/>
        </w:rPr>
        <w:t>、</w:t>
      </w:r>
      <w:r>
        <w:rPr>
          <w:rFonts w:ascii="宋体-PUA" w:eastAsia="宋体-PUA" w:hAnsi="宋体-PUA" w:cs="宋体-PUA" w:hint="eastAsia"/>
          <w:sz w:val="21"/>
          <w:szCs w:val="21"/>
        </w:rPr>
        <w:t> </w:t>
      </w:r>
      <w:r>
        <w:rPr>
          <w:rFonts w:ascii="宋体-PUA" w:eastAsia="宋体-PUA" w:hAnsi="宋体-PUA" w:cs="宋体-PUA" w:hint="eastAsia"/>
          <w:sz w:val="21"/>
          <w:szCs w:val="21"/>
        </w:rPr>
        <w:t>在冬季施工时，当最低气温降低到</w:t>
      </w:r>
      <w:r>
        <w:rPr>
          <w:rFonts w:ascii="宋体-PUA" w:eastAsia="宋体-PUA" w:hAnsi="宋体-PUA" w:cs="宋体-PUA" w:hint="eastAsia"/>
          <w:sz w:val="21"/>
          <w:szCs w:val="21"/>
        </w:rPr>
        <w:t>0</w:t>
      </w:r>
      <w:r>
        <w:rPr>
          <w:rFonts w:ascii="宋体-PUA" w:eastAsia="宋体-PUA" w:hAnsi="宋体-PUA" w:cs="宋体-PUA" w:hint="eastAsia"/>
          <w:sz w:val="21"/>
          <w:szCs w:val="21"/>
        </w:rPr>
        <w:t>℃以下时，由于工期的要求需继续不间断地施工，在此期间进行</w:t>
      </w:r>
      <w:r>
        <w:rPr>
          <w:rFonts w:ascii="宋体-PUA" w:eastAsia="宋体-PUA" w:hAnsi="宋体-PUA" w:cs="宋体-PUA" w:hint="eastAsia"/>
          <w:sz w:val="21"/>
          <w:szCs w:val="21"/>
        </w:rPr>
        <w:t>室外装饰，为满足设计要求和达到质量效果，必须采取特殊的措施和施工工艺方案。项目部要根据施工现场的具体情况，制定落实措施，对施工</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石材幕墙工程</w:t>
      </w:r>
      <w:r>
        <w:rPr>
          <w:rFonts w:ascii="宋体-PUA" w:eastAsia="宋体-PUA" w:hAnsi="宋体-PUA" w:cs="宋体-PUA" w:hint="eastAsia"/>
          <w:sz w:val="21"/>
          <w:szCs w:val="21"/>
        </w:rPr>
        <w:t>.</w:t>
      </w:r>
      <w:r>
        <w:rPr>
          <w:rFonts w:ascii="宋体-PUA" w:eastAsia="宋体-PUA" w:hAnsi="宋体-PUA" w:cs="宋体-PUA" w:hint="eastAsia"/>
          <w:sz w:val="21"/>
          <w:szCs w:val="21"/>
        </w:rPr>
        <w:t>人员进行一次冬期施工质量、安全教育，安排专人每天收听记录气象预报，及时报告。必</w:t>
      </w:r>
      <w:r>
        <w:rPr>
          <w:rFonts w:ascii="宋体-PUA" w:eastAsia="宋体-PUA" w:hAnsi="宋体-PUA" w:cs="宋体-PUA" w:hint="eastAsia"/>
          <w:sz w:val="21"/>
          <w:szCs w:val="21"/>
        </w:rPr>
        <w:t>不可少的“冬施”物资应提前编制计划，及时派人采购入库。如遇有大雾、雨天或构件表面凝结露珠时不宜作业，涂刷之后在</w:t>
      </w:r>
      <w:r>
        <w:rPr>
          <w:rFonts w:ascii="宋体-PUA" w:eastAsia="宋体-PUA" w:hAnsi="宋体-PUA" w:cs="宋体-PUA" w:hint="eastAsia"/>
          <w:sz w:val="21"/>
          <w:szCs w:val="21"/>
        </w:rPr>
        <w:t>4</w:t>
      </w:r>
      <w:r>
        <w:rPr>
          <w:rFonts w:ascii="宋体-PUA" w:eastAsia="宋体-PUA" w:hAnsi="宋体-PUA" w:cs="宋体-PUA" w:hint="eastAsia"/>
          <w:sz w:val="21"/>
          <w:szCs w:val="21"/>
        </w:rPr>
        <w:t>小时以内应严防雨水淋洒。施焊现场风速超过</w:t>
      </w:r>
      <w:r>
        <w:rPr>
          <w:rFonts w:ascii="宋体-PUA" w:eastAsia="宋体-PUA" w:hAnsi="宋体-PUA" w:cs="宋体-PUA" w:hint="eastAsia"/>
          <w:sz w:val="21"/>
          <w:szCs w:val="21"/>
        </w:rPr>
        <w:t>5.4/s</w:t>
      </w:r>
      <w:r>
        <w:rPr>
          <w:rFonts w:ascii="宋体-PUA" w:eastAsia="宋体-PUA" w:hAnsi="宋体-PUA" w:cs="宋体-PUA" w:hint="eastAsia"/>
          <w:sz w:val="21"/>
          <w:szCs w:val="21"/>
        </w:rPr>
        <w:t>（三级风）焊接时，应采取遮蔽措施，焊接后冷却的接头应避免碰到雨水。</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sectPr>
          <w:type w:val="nextPage"/>
          <w:pgSz w:w="11906" w:h="16838"/>
          <w:pgMar w:top="1417" w:right="1134" w:bottom="1134" w:left="1134" w:header="851" w:footer="992" w:gutter="0"/>
          <w:pgNumType w:start="31"/>
          <w:cols w:space="708"/>
          <w:titlePg w:val="0"/>
          <w:docGrid w:type="lines" w:linePitch="312"/>
        </w:sectPr>
      </w:pPr>
      <w:r>
        <w:rPr>
          <w:rFonts w:ascii="宋体-PUA" w:eastAsia="宋体-PUA" w:hAnsi="宋体-PUA" w:cs="宋体-PUA" w:hint="eastAsia"/>
          <w:sz w:val="21"/>
          <w:szCs w:val="21"/>
        </w:rPr>
        <w:t>  2</w:t>
      </w:r>
      <w:r>
        <w:rPr>
          <w:rFonts w:ascii="宋体-PUA" w:eastAsia="宋体-PUA" w:hAnsi="宋体-PUA" w:cs="宋体-PUA" w:hint="eastAsia"/>
          <w:sz w:val="21"/>
          <w:szCs w:val="21"/>
        </w:rPr>
        <w:t>、遇六级以上大风、大雾、大雪时，应暂停高空作业、露天安</w:t>
      </w:r>
      <w:r>
        <w:rPr>
          <w:rFonts w:ascii="宋体-PUA" w:eastAsia="宋体-PUA" w:hAnsi="宋体-PUA" w:cs="宋体-PUA" w:hint="eastAsia"/>
          <w:sz w:val="21"/>
          <w:szCs w:val="21"/>
        </w:rPr>
        <w:t>装，雨后操作应注意防滑。应设专门的注胶间，要求清洁无尘、无火种、通风，并配置必要的设备，使室内温度控制在</w:t>
      </w:r>
      <w:r>
        <w:rPr>
          <w:rFonts w:ascii="宋体-PUA" w:eastAsia="宋体-PUA" w:hAnsi="宋体-PUA" w:cs="宋体-PUA" w:hint="eastAsia"/>
          <w:sz w:val="21"/>
          <w:szCs w:val="21"/>
        </w:rPr>
        <w:t>5</w:t>
      </w:r>
      <w:r>
        <w:rPr>
          <w:rFonts w:ascii="宋体-PUA" w:eastAsia="宋体-PUA" w:hAnsi="宋体-PUA" w:cs="宋体-PUA" w:hint="eastAsia"/>
          <w:sz w:val="21"/>
          <w:szCs w:val="21"/>
        </w:rPr>
        <w:t>～</w:t>
      </w:r>
      <w:r>
        <w:rPr>
          <w:rFonts w:ascii="宋体-PUA" w:eastAsia="宋体-PUA" w:hAnsi="宋体-PUA" w:cs="宋体-PUA" w:hint="eastAsia"/>
          <w:sz w:val="21"/>
          <w:szCs w:val="21"/>
        </w:rPr>
        <w:t>20</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℃，相对湿度控制在</w:t>
      </w:r>
      <w:r>
        <w:rPr>
          <w:rFonts w:ascii="宋体-PUA" w:eastAsia="宋体-PUA" w:hAnsi="宋体-PUA" w:cs="宋体-PUA" w:hint="eastAsia"/>
          <w:sz w:val="21"/>
          <w:szCs w:val="21"/>
        </w:rPr>
        <w:t>35%</w:t>
      </w:r>
      <w:r>
        <w:rPr>
          <w:rFonts w:ascii="宋体-PUA" w:eastAsia="宋体-PUA" w:hAnsi="宋体-PUA" w:cs="宋体-PUA" w:hint="eastAsia"/>
          <w:sz w:val="21"/>
          <w:szCs w:val="21"/>
        </w:rPr>
        <w:t>～</w:t>
      </w:r>
      <w:r>
        <w:rPr>
          <w:rFonts w:ascii="宋体-PUA" w:eastAsia="宋体-PUA" w:hAnsi="宋体-PUA" w:cs="宋体-PUA" w:hint="eastAsia"/>
          <w:sz w:val="21"/>
          <w:szCs w:val="21"/>
        </w:rPr>
        <w:t>75%</w:t>
      </w:r>
      <w:r>
        <w:rPr>
          <w:rFonts w:ascii="宋体-PUA" w:eastAsia="宋体-PUA" w:hAnsi="宋体-PUA" w:cs="宋体-PUA" w:hint="eastAsia"/>
          <w:sz w:val="21"/>
          <w:szCs w:val="21"/>
        </w:rPr>
        <w:t>之间。现场注胶工作不能在风雨天进行，防止雨水和风沙浸入胶缝。注胶不宜在低于</w:t>
      </w:r>
      <w:r>
        <w:rPr>
          <w:rFonts w:ascii="宋体-PUA" w:eastAsia="宋体-PUA" w:hAnsi="宋体-PUA" w:cs="宋体-PUA" w:hint="eastAsia"/>
          <w:sz w:val="21"/>
          <w:szCs w:val="21"/>
        </w:rPr>
        <w:t>5</w:t>
      </w:r>
      <w:r>
        <w:rPr>
          <w:rFonts w:ascii="宋体-PUA" w:eastAsia="宋体-PUA" w:hAnsi="宋体-PUA" w:cs="宋体-PUA" w:hint="eastAsia"/>
          <w:sz w:val="21"/>
          <w:szCs w:val="21"/>
        </w:rPr>
        <w:t>度的条件下进行，温度太低胶液发生流淌，延缓固化时间甚至影响拉结拉伸强度，必须严格按产品说明书要求施工。</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w:t>
      </w:r>
      <w:r>
        <w:rPr>
          <w:rFonts w:ascii="宋体-PUA" w:eastAsia="宋体-PUA" w:hAnsi="宋体-PUA" w:cs="宋体-PUA" w:hint="eastAsia"/>
          <w:sz w:val="21"/>
          <w:szCs w:val="21"/>
        </w:rPr>
        <w:t>、考虑到本工程在施工过程中会遇到冬季雨雪季天气，为了确保工程施工工期和工程质量，在施工组织方案中必须详细的考虑到雨雪季施工措施：</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  3.</w:t>
      </w:r>
      <w:r>
        <w:rPr>
          <w:rFonts w:ascii="宋体-PUA" w:eastAsia="宋体-PUA" w:hAnsi="宋体-PUA" w:cs="宋体-PUA" w:hint="eastAsia"/>
          <w:sz w:val="21"/>
          <w:szCs w:val="21"/>
        </w:rPr>
        <w:t>１在雨雪季为了不降低板块的防水性及五金件的防腐性，并防止防火岩棉和保温材料的遇雨腐烂，在雨雪天停止施工。在防火棉铺设时，建议马上加封修板封闭，以防止雨雪水浸湿岩棉。</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3.2</w:t>
      </w:r>
      <w:r>
        <w:rPr>
          <w:rFonts w:ascii="宋体-PUA" w:eastAsia="宋体-PUA" w:hAnsi="宋体-PUA" w:cs="宋体-PUA" w:hint="eastAsia"/>
          <w:sz w:val="21"/>
          <w:szCs w:val="21"/>
        </w:rPr>
        <w:t>雨雪季施工应尽量避免雪中作业，必要时在雨雪停止时可能采取赶补措施，现场施工时注意安全带的使用，用电作业注意防护，使用电焊时应检查焊接、焊把、电源线是否干燥，以保证施工安全。</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3.3</w:t>
      </w:r>
      <w:r>
        <w:rPr>
          <w:rFonts w:ascii="宋体-PUA" w:eastAsia="宋体-PUA" w:hAnsi="宋体-PUA" w:cs="宋体-PUA" w:hint="eastAsia"/>
          <w:sz w:val="21"/>
          <w:szCs w:val="21"/>
        </w:rPr>
        <w:t>胶固化需具备一</w:t>
      </w:r>
      <w:r>
        <w:rPr>
          <w:rFonts w:ascii="宋体-PUA" w:eastAsia="宋体-PUA" w:hAnsi="宋体-PUA" w:cs="宋体-PUA" w:hint="eastAsia"/>
          <w:sz w:val="21"/>
          <w:szCs w:val="21"/>
        </w:rPr>
        <w:t>定的气候条件，为了保证胶的温度、湿度和表面质量，雨雪过后不可立即进行打胶工作。打胶工作在天晴干爽之后再进行。</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3.4</w:t>
      </w:r>
      <w:r>
        <w:rPr>
          <w:rFonts w:ascii="宋体-PUA" w:eastAsia="宋体-PUA" w:hAnsi="宋体-PUA" w:cs="宋体-PUA" w:hint="eastAsia"/>
          <w:sz w:val="21"/>
          <w:szCs w:val="21"/>
        </w:rPr>
        <w:t>平时加强职工素质教育，当大雨来临时，以便切时做好防雨、防雪措施。</w:t>
      </w:r>
      <w:r>
        <w:rPr>
          <w:rFonts w:ascii="宋体-PUA" w:eastAsia="宋体-PUA" w:hAnsi="宋体-PUA" w:cs="宋体-PUA" w:hint="eastAsia"/>
          <w:sz w:val="21"/>
          <w:szCs w:val="21"/>
        </w:rPr>
        <w:t> </w:t>
      </w:r>
    </w:p>
    <w:p w:rsidR="008D4CCF">
      <w:pPr>
        <w:pStyle w:val="Normal0"/>
        <w:spacing w:line="440" w:lineRule="atLeast"/>
        <w:rPr>
          <w:rFonts w:ascii="宋体-PUA" w:eastAsia="宋体-PUA" w:hAnsi="宋体-PUA" w:cs="宋体-PUA"/>
          <w:sz w:val="21"/>
          <w:szCs w:val="21"/>
        </w:rPr>
      </w:pPr>
      <w:r>
        <w:rPr>
          <w:rFonts w:ascii="宋体-PUA" w:eastAsia="宋体-PUA" w:hAnsi="宋体-PUA" w:cs="宋体-PUA" w:hint="eastAsia"/>
          <w:sz w:val="21"/>
          <w:szCs w:val="21"/>
        </w:rPr>
        <w:t>3.5</w:t>
      </w:r>
      <w:r>
        <w:rPr>
          <w:rFonts w:ascii="宋体-PUA" w:eastAsia="宋体-PUA" w:hAnsi="宋体-PUA" w:cs="宋体-PUA" w:hint="eastAsia"/>
          <w:sz w:val="21"/>
          <w:szCs w:val="21"/>
        </w:rPr>
        <w:t>幕墙产品尽量厂内加工，减少不利天气影响。</w:t>
      </w:r>
      <w:r>
        <w:rPr>
          <w:rFonts w:ascii="宋体-PUA" w:eastAsia="宋体-PUA" w:hAnsi="宋体-PUA" w:cs="宋体-PUA" w:hint="eastAsia"/>
          <w:sz w:val="21"/>
          <w:szCs w:val="21"/>
        </w:rPr>
        <w:t> 1.6</w:t>
      </w:r>
      <w:r>
        <w:rPr>
          <w:rFonts w:ascii="宋体-PUA" w:eastAsia="宋体-PUA" w:hAnsi="宋体-PUA" w:cs="宋体-PUA" w:hint="eastAsia"/>
          <w:sz w:val="21"/>
          <w:szCs w:val="21"/>
        </w:rPr>
        <w:t>搭设避雨雪设施，利用脚手架在施工部位上方适时搭设</w:t>
      </w:r>
    </w:p>
    <w:p w:rsidR="008D4CCF">
      <w:pPr>
        <w:pStyle w:val="Heading1"/>
        <w:numPr>
          <w:ilvl w:val="0"/>
          <w:numId w:val="31"/>
        </w:numPr>
        <w:rPr>
          <w:rFonts w:ascii="宋体-PUA" w:eastAsia="宋体-PUA" w:hAnsi="宋体-PUA" w:cs="宋体-PUA"/>
          <w:sz w:val="21"/>
          <w:szCs w:val="21"/>
          <w:lang w:eastAsia="zh-CN"/>
        </w:rPr>
      </w:pPr>
      <w:bookmarkStart w:id="25" w:name="_Toc28808"/>
      <w:r>
        <w:rPr>
          <w:rFonts w:ascii="宋体-PUA" w:eastAsia="宋体-PUA" w:hAnsi="宋体-PUA" w:cs="宋体-PUA" w:hint="eastAsia"/>
          <w:sz w:val="21"/>
          <w:szCs w:val="21"/>
          <w:lang w:eastAsia="zh-CN"/>
        </w:rPr>
        <w:t>减少扰民噪声基础措施</w:t>
      </w:r>
      <w:bookmarkEnd w:id="25"/>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以保证外部人员误入施工现场发生安全隐患。施工人员在进出施工场时要严格遵守现场人员管理制度，避免发生扰民现象，要积极维护工地秩序。同时我公司在施工过程中采取相关技术、管理措施，以避免扰民现象的发生，积极</w:t>
      </w:r>
      <w:r>
        <w:rPr>
          <w:rFonts w:ascii="宋体-PUA" w:eastAsia="宋体-PUA" w:hAnsi="宋体-PUA" w:cs="宋体-PUA" w:hint="eastAsia"/>
          <w:color w:val="000000"/>
          <w:sz w:val="21"/>
          <w:szCs w:val="21"/>
          <w:shd w:val="clear" w:color="auto" w:fill="FFFFFF"/>
        </w:rPr>
        <w:t>维护我公司及业主的社会形象。</w:t>
      </w:r>
    </w:p>
    <w:p w:rsidR="008D4CCF">
      <w:pPr>
        <w:pStyle w:val="Normal0"/>
        <w:autoSpaceDN w:val="0"/>
        <w:spacing w:line="440" w:lineRule="atLeast"/>
        <w:rPr>
          <w:rFonts w:ascii="宋体-PUA" w:eastAsia="宋体-PUA" w:hAnsi="宋体-PUA" w:cs="宋体-PUA"/>
          <w:color w:val="000000"/>
          <w:spacing w:val="7"/>
          <w:sz w:val="21"/>
          <w:szCs w:val="21"/>
          <w:shd w:val="clear" w:color="auto" w:fill="FFFFFF"/>
        </w:rPr>
      </w:pPr>
      <w:r>
        <w:rPr>
          <w:rFonts w:ascii="宋体-PUA" w:eastAsia="宋体-PUA" w:hAnsi="宋体-PUA" w:cs="宋体-PUA" w:hint="eastAsia"/>
          <w:color w:val="000000"/>
          <w:sz w:val="21"/>
          <w:szCs w:val="21"/>
          <w:shd w:val="clear" w:color="auto" w:fill="FFFFFF"/>
        </w:rPr>
        <w:t xml:space="preserve"> </w:t>
      </w:r>
      <w:r>
        <w:rPr>
          <w:rFonts w:ascii="宋体-PUA" w:eastAsia="宋体-PUA" w:hAnsi="宋体-PUA" w:cs="宋体-PUA" w:hint="eastAsia"/>
          <w:color w:val="000000"/>
          <w:sz w:val="21"/>
          <w:szCs w:val="21"/>
          <w:shd w:val="clear" w:color="auto" w:fill="FFFFFF"/>
        </w:rPr>
        <w:t>（</w:t>
      </w:r>
      <w:r>
        <w:rPr>
          <w:rFonts w:ascii="宋体-PUA" w:eastAsia="宋体-PUA" w:hAnsi="宋体-PUA" w:cs="宋体-PUA" w:hint="eastAsia"/>
          <w:color w:val="000000"/>
          <w:sz w:val="21"/>
          <w:szCs w:val="21"/>
          <w:shd w:val="clear" w:color="auto" w:fill="FFFFFF"/>
        </w:rPr>
        <w:t>1</w:t>
      </w:r>
      <w:r>
        <w:rPr>
          <w:rFonts w:ascii="宋体-PUA" w:eastAsia="宋体-PUA" w:hAnsi="宋体-PUA" w:cs="宋体-PUA" w:hint="eastAsia"/>
          <w:color w:val="000000"/>
          <w:spacing w:val="7"/>
          <w:sz w:val="21"/>
          <w:szCs w:val="21"/>
          <w:shd w:val="clear" w:color="auto" w:fill="FFFFFF"/>
        </w:rPr>
        <w:t>）在进场前，对主要交通路径及现场周边进行考察，针对当地居民的分</w:t>
      </w:r>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布情况及作息习惯采取不扰民措施，制定合理的材料运输时段，在施工运输中注</w:t>
      </w:r>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意不影响居民的交通、生活及户外活动等。</w:t>
      </w:r>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 xml:space="preserve"> </w:t>
      </w:r>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w:t>
      </w:r>
      <w:r>
        <w:rPr>
          <w:rFonts w:ascii="宋体-PUA" w:eastAsia="宋体-PUA" w:hAnsi="宋体-PUA" w:cs="宋体-PUA" w:hint="eastAsia"/>
          <w:color w:val="000000"/>
          <w:sz w:val="21"/>
          <w:szCs w:val="21"/>
          <w:shd w:val="clear" w:color="auto" w:fill="FFFFFF"/>
        </w:rPr>
        <w:t>2</w:t>
      </w:r>
      <w:r>
        <w:rPr>
          <w:rFonts w:ascii="宋体-PUA" w:eastAsia="宋体-PUA" w:hAnsi="宋体-PUA" w:cs="宋体-PUA" w:hint="eastAsia"/>
          <w:color w:val="000000"/>
          <w:spacing w:val="-32"/>
          <w:sz w:val="21"/>
          <w:szCs w:val="21"/>
          <w:shd w:val="clear" w:color="auto" w:fill="FFFFFF"/>
        </w:rPr>
        <w:t>）</w:t>
      </w:r>
      <w:r>
        <w:rPr>
          <w:rFonts w:ascii="宋体-PUA" w:eastAsia="宋体-PUA" w:hAnsi="宋体-PUA" w:cs="宋体-PUA" w:hint="eastAsia"/>
          <w:color w:val="000000"/>
          <w:sz w:val="21"/>
          <w:szCs w:val="21"/>
          <w:shd w:val="clear" w:color="auto" w:fill="FFFFFF"/>
        </w:rPr>
        <w:t>在施工中，应执行地方环保、防噪音、安全文明施工等条例，，制定现场规章制度，如：钢材切割、材料吊运等施工过程应采取防噪音措施或限制时段；生活垃圾、建筑垃圾等及文明存放，外运时加强覆盖防止遗洒；施工现场污水有组织排放，保证不外流等等。尽量避免对当地居民的生活造成影响，以免发生扰民现象。此部分请阅“夜间施工措施”、“环境保护措施”、“安全文明施工措施”、“噪音预防措施”等详细内容。</w:t>
      </w:r>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w:t>
      </w:r>
      <w:r>
        <w:rPr>
          <w:rFonts w:ascii="宋体-PUA" w:eastAsia="宋体-PUA" w:hAnsi="宋体-PUA" w:cs="宋体-PUA" w:hint="eastAsia"/>
          <w:color w:val="000000"/>
          <w:sz w:val="21"/>
          <w:szCs w:val="21"/>
          <w:shd w:val="clear" w:color="auto" w:fill="FFFFFF"/>
        </w:rPr>
        <w:t>3</w:t>
      </w:r>
      <w:r>
        <w:rPr>
          <w:rFonts w:ascii="宋体-PUA" w:eastAsia="宋体-PUA" w:hAnsi="宋体-PUA" w:cs="宋体-PUA" w:hint="eastAsia"/>
          <w:color w:val="000000"/>
          <w:spacing w:val="7"/>
          <w:sz w:val="21"/>
          <w:szCs w:val="21"/>
          <w:shd w:val="clear" w:color="auto" w:fill="FFFFFF"/>
        </w:rPr>
        <w:t>）以进入施工前，积极协助建设单位对当地人员作宣传工作，令当地人</w:t>
      </w:r>
      <w:r>
        <w:rPr>
          <w:rFonts w:ascii="宋体-PUA" w:eastAsia="宋体-PUA" w:hAnsi="宋体-PUA" w:cs="宋体-PUA" w:hint="eastAsia"/>
          <w:color w:val="000000"/>
          <w:sz w:val="21"/>
          <w:szCs w:val="21"/>
          <w:shd w:val="clear" w:color="auto" w:fill="FFFFFF"/>
        </w:rPr>
        <w:t>员对本工程的施工加以理解。</w:t>
      </w:r>
    </w:p>
    <w:p w:rsidR="008D4CCF">
      <w:pPr>
        <w:pStyle w:val="Normal0"/>
        <w:autoSpaceDN w:val="0"/>
        <w:spacing w:line="440" w:lineRule="atLeast"/>
        <w:rPr>
          <w:rFonts w:ascii="宋体-PUA" w:eastAsia="宋体-PUA" w:hAnsi="宋体-PUA" w:cs="宋体-PUA"/>
          <w:color w:val="000000"/>
          <w:spacing w:val="7"/>
          <w:sz w:val="21"/>
          <w:szCs w:val="21"/>
          <w:shd w:val="clear" w:color="auto" w:fill="FFFFFF"/>
        </w:rPr>
      </w:pPr>
      <w:r>
        <w:rPr>
          <w:rFonts w:ascii="宋体-PUA" w:eastAsia="宋体-PUA" w:hAnsi="宋体-PUA" w:cs="宋体-PUA" w:hint="eastAsia"/>
          <w:color w:val="000000"/>
          <w:sz w:val="21"/>
          <w:szCs w:val="21"/>
          <w:shd w:val="clear" w:color="auto" w:fill="FFFFFF"/>
        </w:rPr>
        <w:t xml:space="preserve"> </w:t>
      </w:r>
      <w:r>
        <w:rPr>
          <w:rFonts w:ascii="宋体-PUA" w:eastAsia="宋体-PUA" w:hAnsi="宋体-PUA" w:cs="宋体-PUA" w:hint="eastAsia"/>
          <w:color w:val="000000"/>
          <w:sz w:val="21"/>
          <w:szCs w:val="21"/>
          <w:shd w:val="clear" w:color="auto" w:fill="FFFFFF"/>
        </w:rPr>
        <w:t>（</w:t>
      </w:r>
      <w:r>
        <w:rPr>
          <w:rFonts w:ascii="宋体-PUA" w:eastAsia="宋体-PUA" w:hAnsi="宋体-PUA" w:cs="宋体-PUA" w:hint="eastAsia"/>
          <w:color w:val="000000"/>
          <w:sz w:val="21"/>
          <w:szCs w:val="21"/>
          <w:shd w:val="clear" w:color="auto" w:fill="FFFFFF"/>
        </w:rPr>
        <w:t>4</w:t>
      </w:r>
      <w:r>
        <w:rPr>
          <w:rFonts w:ascii="宋体-PUA" w:eastAsia="宋体-PUA" w:hAnsi="宋体-PUA" w:cs="宋体-PUA" w:hint="eastAsia"/>
          <w:color w:val="000000"/>
          <w:spacing w:val="7"/>
          <w:sz w:val="21"/>
          <w:szCs w:val="21"/>
          <w:shd w:val="clear" w:color="auto" w:fill="FFFFFF"/>
        </w:rPr>
        <w:t>）如有居民投诉本工程在的施工中妨</w:t>
      </w:r>
      <w:r>
        <w:rPr>
          <w:rFonts w:ascii="宋体-PUA" w:eastAsia="宋体-PUA" w:hAnsi="宋体-PUA" w:cs="宋体-PUA" w:hint="eastAsia"/>
          <w:color w:val="000000"/>
          <w:spacing w:val="7"/>
          <w:sz w:val="21"/>
          <w:szCs w:val="21"/>
          <w:shd w:val="clear" w:color="auto" w:fill="FFFFFF"/>
        </w:rPr>
        <w:t>碍其生活、工作，我公司将尽力解</w:t>
      </w:r>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决问题并对其做相应的赔偿，以树立本公司的形象、信誉。</w:t>
      </w:r>
    </w:p>
    <w:p w:rsidR="008D4CCF">
      <w:pPr>
        <w:pStyle w:val="Normal0"/>
        <w:autoSpaceDN w:val="0"/>
        <w:spacing w:line="440" w:lineRule="atLeast"/>
        <w:rPr>
          <w:rFonts w:ascii="宋体-PUA" w:eastAsia="宋体-PUA" w:hAnsi="宋体-PUA" w:cs="宋体-PUA"/>
          <w:color w:val="000000"/>
          <w:sz w:val="21"/>
          <w:szCs w:val="21"/>
          <w:shd w:val="clear" w:color="auto" w:fill="FFFFFF"/>
        </w:rPr>
      </w:pPr>
      <w:r>
        <w:rPr>
          <w:rFonts w:ascii="宋体-PUA" w:eastAsia="宋体-PUA" w:hAnsi="宋体-PUA" w:cs="宋体-PUA" w:hint="eastAsia"/>
          <w:color w:val="000000"/>
          <w:sz w:val="21"/>
          <w:szCs w:val="21"/>
          <w:shd w:val="clear" w:color="auto" w:fill="FFFFFF"/>
        </w:rPr>
        <w:t>（</w:t>
      </w:r>
      <w:r>
        <w:rPr>
          <w:rFonts w:ascii="宋体-PUA" w:eastAsia="宋体-PUA" w:hAnsi="宋体-PUA" w:cs="宋体-PUA" w:hint="eastAsia"/>
          <w:color w:val="000000"/>
          <w:sz w:val="21"/>
          <w:szCs w:val="21"/>
          <w:shd w:val="clear" w:color="auto" w:fill="FFFFFF"/>
        </w:rPr>
        <w:t>5</w:t>
      </w:r>
      <w:r>
        <w:rPr>
          <w:rFonts w:ascii="宋体-PUA" w:eastAsia="宋体-PUA" w:hAnsi="宋体-PUA" w:cs="宋体-PUA"/>
          <w:color w:val="000000"/>
          <w:sz w:val="21"/>
          <w:szCs w:val="21"/>
          <w:shd w:val="clear" w:color="auto" w:fill="FFFFFF"/>
        </w:rPr>
        <w:br/>
      </w:r>
      <w:r>
        <w:rPr>
          <w:rFonts w:ascii="宋体-PUA" w:eastAsia="宋体-PUA" w:hAnsi="宋体-PUA" w:cs="宋体-PUA"/>
          <w:color w:val="000000"/>
          <w:sz w:val="21"/>
          <w:szCs w:val="21"/>
          <w:shd w:val="clear" w:color="auto"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https://d.book118.com/676222205145010055</w:t>
        </w:r>
      </w:hyperlink>
    </w:p>
    <w:p w:rsidR="008D4CCF">
      <w:pPr>
        <w:pStyle w:val="Normal0"/>
        <w:autoSpaceDN w:val="0"/>
        <w:spacing w:line="440" w:lineRule="atLeast"/>
        <w:rPr>
          <w:rFonts w:ascii="宋体-PUA" w:eastAsia="宋体-PUA" w:hAnsi="宋体-PUA" w:cs="宋体-PUA"/>
          <w:color w:val="000000"/>
          <w:sz w:val="21"/>
          <w:szCs w:val="21"/>
          <w:shd w:val="clear" w:color="auto" w:fill="FFFFFF"/>
        </w:rPr>
      </w:pPr>
    </w:p>
    <w:sectPr>
      <w:type w:val="nextPage"/>
      <w:pgSz w:w="11906" w:h="16838"/>
      <w:pgMar w:top="1417" w:right="1134" w:bottom="1134" w:left="1134" w:header="851" w:footer="992" w:gutter="0"/>
      <w:pgNumType w:start="32"/>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0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华文细黑">
    <w:altName w:val="黑体"/>
    <w:panose1 w:val="02010600040101010101"/>
    <w:charset w:val="86"/>
    <w:family w:val="auto"/>
    <w:pitch w:val="variable"/>
    <w:sig w:usb0="00000287" w:usb1="080F0000" w:usb2="00000010" w:usb3="00000000" w:csb0="0004009F" w:csb1="00000000"/>
  </w:font>
  <w:font w:name="宋体-PUA">
    <w:altName w:val="宋体"/>
    <w:charset w:val="86"/>
    <w:family w:val="auto"/>
    <w:pitch w:val="default"/>
    <w:sig w:usb0="00000000" w:usb1="1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80"/>
        </w:tabs>
        <w:ind w:left="780" w:hanging="360"/>
      </w:pPr>
      <w:rPr>
        <w:rFonts w:hint="default"/>
      </w:rPr>
    </w:lvl>
    <w:lvl w:ilvl="2">
      <w:start w:val="4"/>
      <w:numFmt w:val="decimal"/>
      <w:lvlText w:val="%3．"/>
      <w:lvlJc w:val="left"/>
      <w:pPr>
        <w:tabs>
          <w:tab w:val="num" w:pos="1200"/>
        </w:tabs>
        <w:ind w:left="1200" w:hanging="360"/>
      </w:pPr>
      <w:rPr>
        <w:rFonts w:hint="eastAsia"/>
      </w:rPr>
    </w:lvl>
    <w:lvl w:ilvl="3">
      <w:start w:val="4"/>
      <w:numFmt w:val="decimal"/>
      <w:lvlText w:val="（%4）"/>
      <w:lvlJc w:val="left"/>
      <w:pPr>
        <w:tabs>
          <w:tab w:val="num" w:pos="1980"/>
        </w:tabs>
        <w:ind w:left="1980" w:hanging="720"/>
      </w:pPr>
      <w:rPr>
        <w:rFonts w:hint="eastAsia"/>
      </w:rPr>
    </w:lvl>
    <w:lvl w:ilvl="4">
      <w:start w:val="1"/>
      <w:numFmt w:val="decimal"/>
      <w:lvlText w:val="%5、"/>
      <w:lvlJc w:val="left"/>
      <w:pPr>
        <w:tabs>
          <w:tab w:val="num" w:pos="2040"/>
        </w:tabs>
        <w:ind w:left="2040" w:hanging="360"/>
      </w:pPr>
      <w:rPr>
        <w:rFonts w:hint="eastAsia"/>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0A"/>
    <w:multiLevelType w:val="multilevel"/>
    <w:tmpl w:val="0000000A"/>
    <w:lvl w:ilvl="0">
      <w:start w:val="1"/>
      <w:numFmt w:val="decimal"/>
      <w:lvlText w:val="%1、"/>
      <w:lvlJc w:val="left"/>
      <w:pPr>
        <w:tabs>
          <w:tab w:val="num" w:pos="360"/>
        </w:tabs>
        <w:ind w:left="360" w:hanging="360"/>
      </w:pPr>
      <w:rPr>
        <w:rFonts w:hint="eastAsia"/>
      </w:rPr>
    </w:lvl>
    <w:lvl w:ilvl="1">
      <w:start w:val="1"/>
      <w:numFmt w:val="decimal"/>
      <w:lvlText w:val="（%2）"/>
      <w:lvlJc w:val="left"/>
      <w:pPr>
        <w:tabs>
          <w:tab w:val="num" w:pos="1140"/>
        </w:tabs>
        <w:ind w:left="1140" w:hanging="720"/>
      </w:pPr>
      <w:rPr>
        <w:rFonts w:hint="default"/>
      </w:rPr>
    </w:lvl>
    <w:lvl w:ilvl="2">
      <w:start w:val="1"/>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B"/>
    <w:multiLevelType w:val="multilevel"/>
    <w:tmpl w:val="0000000B"/>
    <w:lvl w:ilvl="0">
      <w:start w:val="1"/>
      <w:numFmt w:val="decimal"/>
      <w:lvlText w:val="%1、"/>
      <w:lvlJc w:val="left"/>
      <w:pPr>
        <w:tabs>
          <w:tab w:val="num" w:pos="360"/>
        </w:tabs>
        <w:ind w:left="360" w:hanging="360"/>
      </w:pPr>
      <w:rPr>
        <w:rFonts w:hint="eastAsia"/>
      </w:rPr>
    </w:lvl>
    <w:lvl w:ilvl="1">
      <w:start w:val="1"/>
      <w:numFmt w:val="decimal"/>
      <w:lvlText w:val="%2、"/>
      <w:lvlJc w:val="left"/>
      <w:pPr>
        <w:tabs>
          <w:tab w:val="num" w:pos="1020"/>
        </w:tabs>
        <w:ind w:left="1020" w:hanging="60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10"/>
    <w:multiLevelType w:val="multilevel"/>
    <w:tmpl w:val="00000010"/>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4">
    <w:nsid w:val="00000012"/>
    <w:multiLevelType w:val="multilevel"/>
    <w:tmpl w:val="00000012"/>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5">
    <w:nsid w:val="00000015"/>
    <w:multiLevelType w:val="multilevel"/>
    <w:tmpl w:val="00000015"/>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6">
    <w:nsid w:val="00000016"/>
    <w:multiLevelType w:val="multilevel"/>
    <w:tmpl w:val="00000016"/>
    <w:lvl w:ilvl="0">
      <w:start w:val="1"/>
      <w:numFmt w:val="decimal"/>
      <w:lvlText w:val="%1）"/>
      <w:lvlJc w:val="left"/>
      <w:pPr>
        <w:tabs>
          <w:tab w:val="num" w:pos="840"/>
        </w:tabs>
        <w:ind w:left="840" w:hanging="360"/>
      </w:pPr>
      <w:rPr>
        <w:rFonts w:hint="eastAsia"/>
      </w:rPr>
    </w:lvl>
    <w:lvl w:ilvl="1">
      <w:start w:val="1"/>
      <w:numFmt w:val="upperLetter"/>
      <w:lvlText w:val="（%2）"/>
      <w:lvlJc w:val="left"/>
      <w:pPr>
        <w:tabs>
          <w:tab w:val="num" w:pos="1620"/>
        </w:tabs>
        <w:ind w:left="1620" w:hanging="720"/>
      </w:pPr>
      <w:rPr>
        <w:rFonts w:hint="eastAsia"/>
      </w:rPr>
    </w:lvl>
    <w:lvl w:ilvl="2">
      <w:start w:val="1"/>
      <w:numFmt w:val="lowerLetter"/>
      <w:lvlText w:val="%3)"/>
      <w:lvlJc w:val="left"/>
      <w:pPr>
        <w:tabs>
          <w:tab w:val="num" w:pos="1680"/>
        </w:tabs>
        <w:ind w:left="1680" w:hanging="360"/>
      </w:pPr>
      <w:rPr>
        <w:rFonts w:hint="default"/>
      </w:rPr>
    </w:lvl>
    <w:lvl w:ilvl="3">
      <w:start w:val="1"/>
      <w:numFmt w:val="decimal"/>
      <w:lvlText w:val="（%4）"/>
      <w:lvlJc w:val="left"/>
      <w:pPr>
        <w:tabs>
          <w:tab w:val="num" w:pos="2820"/>
        </w:tabs>
        <w:ind w:left="2820" w:hanging="1080"/>
      </w:pPr>
      <w:rPr>
        <w:rFonts w:hint="eastAsia"/>
      </w:rPr>
    </w:lvl>
    <w:lvl w:ilvl="4">
      <w:start w:val="1"/>
      <w:numFmt w:val="decimal"/>
      <w:lvlText w:val="%5."/>
      <w:lvlJc w:val="left"/>
      <w:pPr>
        <w:tabs>
          <w:tab w:val="num" w:pos="2520"/>
        </w:tabs>
        <w:ind w:left="2520" w:hanging="360"/>
      </w:pPr>
      <w:rPr>
        <w:rFonts w:hint="default"/>
      </w:r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00000017"/>
    <w:multiLevelType w:val="multilevel"/>
    <w:tmpl w:val="00000017"/>
    <w:lvl w:ilvl="0">
      <w:start w:val="1"/>
      <w:numFmt w:val="upperLetter"/>
      <w:pStyle w:val="Heading2"/>
      <w:lvlText w:val="%1."/>
      <w:lvlJc w:val="left"/>
      <w:pPr>
        <w:tabs>
          <w:tab w:val="num" w:pos="640"/>
        </w:tabs>
        <w:ind w:left="640" w:hanging="360"/>
      </w:pPr>
      <w:rPr>
        <w:rFonts w:hint="eastAsia"/>
      </w:rPr>
    </w:lvl>
    <w:lvl w:ilvl="1">
      <w:start w:val="1"/>
      <w:numFmt w:val="lowerLetter"/>
      <w:lvlText w:val="%2)"/>
      <w:lvlJc w:val="left"/>
      <w:pPr>
        <w:tabs>
          <w:tab w:val="num" w:pos="1120"/>
        </w:tabs>
        <w:ind w:left="1120" w:hanging="420"/>
      </w:pPr>
    </w:lvl>
    <w:lvl w:ilvl="2">
      <w:start w:val="1"/>
      <w:numFmt w:val="lowerRoman"/>
      <w:lvlText w:val="%3."/>
      <w:lvlJc w:val="right"/>
      <w:pPr>
        <w:tabs>
          <w:tab w:val="num" w:pos="1540"/>
        </w:tabs>
        <w:ind w:left="1540" w:hanging="420"/>
      </w:pPr>
    </w:lvl>
    <w:lvl w:ilvl="3">
      <w:start w:val="1"/>
      <w:numFmt w:val="decimal"/>
      <w:lvlText w:val="%4."/>
      <w:lvlJc w:val="left"/>
      <w:pPr>
        <w:tabs>
          <w:tab w:val="num" w:pos="1960"/>
        </w:tabs>
        <w:ind w:left="1960" w:hanging="420"/>
      </w:pPr>
    </w:lvl>
    <w:lvl w:ilvl="4">
      <w:start w:val="1"/>
      <w:numFmt w:val="lowerLetter"/>
      <w:lvlText w:val="%5)"/>
      <w:lvlJc w:val="left"/>
      <w:pPr>
        <w:tabs>
          <w:tab w:val="num" w:pos="2380"/>
        </w:tabs>
        <w:ind w:left="2380" w:hanging="420"/>
      </w:pPr>
    </w:lvl>
    <w:lvl w:ilvl="5">
      <w:start w:val="1"/>
      <w:numFmt w:val="lowerRoman"/>
      <w:lvlText w:val="%6."/>
      <w:lvlJc w:val="right"/>
      <w:pPr>
        <w:tabs>
          <w:tab w:val="num" w:pos="2800"/>
        </w:tabs>
        <w:ind w:left="2800" w:hanging="420"/>
      </w:pPr>
    </w:lvl>
    <w:lvl w:ilvl="6">
      <w:start w:val="1"/>
      <w:numFmt w:val="decimal"/>
      <w:lvlText w:val="%7."/>
      <w:lvlJc w:val="left"/>
      <w:pPr>
        <w:tabs>
          <w:tab w:val="num" w:pos="3220"/>
        </w:tabs>
        <w:ind w:left="3220" w:hanging="420"/>
      </w:pPr>
    </w:lvl>
    <w:lvl w:ilvl="7">
      <w:start w:val="1"/>
      <w:numFmt w:val="lowerLetter"/>
      <w:lvlText w:val="%8)"/>
      <w:lvlJc w:val="left"/>
      <w:pPr>
        <w:tabs>
          <w:tab w:val="num" w:pos="3640"/>
        </w:tabs>
        <w:ind w:left="3640" w:hanging="420"/>
      </w:pPr>
    </w:lvl>
    <w:lvl w:ilvl="8">
      <w:start w:val="1"/>
      <w:numFmt w:val="lowerRoman"/>
      <w:lvlText w:val="%9."/>
      <w:lvlJc w:val="right"/>
      <w:pPr>
        <w:tabs>
          <w:tab w:val="num" w:pos="4060"/>
        </w:tabs>
        <w:ind w:left="4060" w:hanging="420"/>
      </w:pPr>
    </w:lvl>
  </w:abstractNum>
  <w:abstractNum w:abstractNumId="8">
    <w:nsid w:val="00000018"/>
    <w:multiLevelType w:val="multilevel"/>
    <w:tmpl w:val="00000018"/>
    <w:lvl w:ilvl="0">
      <w:start w:val="1"/>
      <w:numFmt w:val="decimal"/>
      <w:lvlText w:val="%1、"/>
      <w:lvlJc w:val="left"/>
      <w:pPr>
        <w:tabs>
          <w:tab w:val="num" w:pos="360"/>
        </w:tabs>
        <w:ind w:left="360" w:hanging="360"/>
      </w:pPr>
      <w:rPr>
        <w:rFonts w:hint="eastAsia"/>
      </w:rPr>
    </w:lvl>
    <w:lvl w:ilvl="1">
      <w:start w:val="4"/>
      <w:numFmt w:val="japaneseCounting"/>
      <w:lvlText w:val="%2、"/>
      <w:lvlJc w:val="left"/>
      <w:pPr>
        <w:tabs>
          <w:tab w:val="num" w:pos="900"/>
        </w:tabs>
        <w:ind w:left="900" w:hanging="480"/>
      </w:pPr>
      <w:rPr>
        <w:rFonts w:hint="eastAsia"/>
      </w:rPr>
    </w:lvl>
    <w:lvl w:ilvl="2">
      <w:start w:val="1"/>
      <w:numFmt w:val="decimal"/>
      <w:lvlText w:val="%3）"/>
      <w:lvlJc w:val="left"/>
      <w:pPr>
        <w:tabs>
          <w:tab w:val="num" w:pos="1200"/>
        </w:tabs>
        <w:ind w:left="1200" w:hanging="360"/>
      </w:pPr>
      <w:rPr>
        <w:rFonts w:hint="eastAsia"/>
      </w:rPr>
    </w:lvl>
    <w:lvl w:ilvl="3">
      <w:start w:val="1"/>
      <w:numFmt w:val="decimal"/>
      <w:lvlText w:val="(%4)"/>
      <w:lvlJc w:val="left"/>
      <w:pPr>
        <w:tabs>
          <w:tab w:val="num" w:pos="1740"/>
        </w:tabs>
        <w:ind w:left="1740" w:hanging="480"/>
      </w:pPr>
      <w:rPr>
        <w:rFonts w:hint="default"/>
      </w:rPr>
    </w:lvl>
    <w:lvl w:ilvl="4">
      <w:start w:val="1"/>
      <w:numFmt w:val="lowerLetter"/>
      <w:lvlText w:val="%5．"/>
      <w:lvlJc w:val="left"/>
      <w:pPr>
        <w:tabs>
          <w:tab w:val="num" w:pos="2040"/>
        </w:tabs>
        <w:ind w:left="2040" w:hanging="360"/>
      </w:pPr>
      <w:rPr>
        <w:rFonts w:hint="eastAsia"/>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19"/>
    <w:multiLevelType w:val="multilevel"/>
    <w:tmpl w:val="00000019"/>
    <w:lvl w:ilvl="0">
      <w:start w:val="1"/>
      <w:numFmt w:val="decimal"/>
      <w:lvlText w:val="%1．"/>
      <w:lvlJc w:val="left"/>
      <w:pPr>
        <w:tabs>
          <w:tab w:val="num" w:pos="1520"/>
        </w:tabs>
        <w:ind w:left="1520" w:hanging="960"/>
      </w:pPr>
      <w:rPr>
        <w:rFonts w:hint="eastAsia"/>
      </w:rPr>
    </w:lvl>
    <w:lvl w:ilvl="1">
      <w:start w:val="9"/>
      <w:numFmt w:val="japaneseCounting"/>
      <w:lvlText w:val="（%2）"/>
      <w:lvlJc w:val="left"/>
      <w:pPr>
        <w:tabs>
          <w:tab w:val="num" w:pos="1835"/>
        </w:tabs>
        <w:ind w:left="1835" w:hanging="855"/>
      </w:pPr>
      <w:rPr>
        <w:rFonts w:hint="eastAsia"/>
      </w:r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0">
    <w:nsid w:val="0000001A"/>
    <w:multiLevelType w:val="multilevel"/>
    <w:tmpl w:val="0000001A"/>
    <w:lvl w:ilvl="0">
      <w:start w:val="1"/>
      <w:numFmt w:val="decimal"/>
      <w:lvlText w:val="（%1）"/>
      <w:lvlJc w:val="left"/>
      <w:pPr>
        <w:tabs>
          <w:tab w:val="num" w:pos="1200"/>
        </w:tabs>
        <w:ind w:left="1200" w:hanging="720"/>
      </w:pPr>
      <w:rPr>
        <w:rFonts w:hint="eastAsia"/>
      </w:rPr>
    </w:lvl>
    <w:lvl w:ilvl="1">
      <w:start w:val="1"/>
      <w:numFmt w:val="decimal"/>
      <w:lvlText w:val="%2）"/>
      <w:lvlJc w:val="left"/>
      <w:pPr>
        <w:tabs>
          <w:tab w:val="num" w:pos="1260"/>
        </w:tabs>
        <w:ind w:left="1260" w:hanging="360"/>
      </w:pPr>
      <w:rPr>
        <w:rFonts w:hint="eastAsia"/>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1">
    <w:nsid w:val="0000001B"/>
    <w:multiLevelType w:val="multilevel"/>
    <w:tmpl w:val="0000001B"/>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2">
    <w:nsid w:val="0000001C"/>
    <w:multiLevelType w:val="multilevel"/>
    <w:tmpl w:val="0000001C"/>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3">
    <w:nsid w:val="0000001E"/>
    <w:multiLevelType w:val="multilevel"/>
    <w:tmpl w:val="0000001E"/>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21"/>
    <w:multiLevelType w:val="multilevel"/>
    <w:tmpl w:val="00000021"/>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5">
    <w:nsid w:val="00000022"/>
    <w:multiLevelType w:val="multilevel"/>
    <w:tmpl w:val="00000022"/>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6">
    <w:nsid w:val="00000024"/>
    <w:multiLevelType w:val="multilevel"/>
    <w:tmpl w:val="00000024"/>
    <w:lvl w:ilvl="0">
      <w:start w:val="1"/>
      <w:numFmt w:val="decimal"/>
      <w:lvlText w:val="（%1）"/>
      <w:lvlJc w:val="left"/>
      <w:pPr>
        <w:tabs>
          <w:tab w:val="num" w:pos="1360"/>
        </w:tabs>
        <w:ind w:left="1360" w:hanging="720"/>
      </w:pPr>
      <w:rPr>
        <w:rFonts w:hint="eastAsia"/>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abstractNum w:abstractNumId="17">
    <w:nsid w:val="00000026"/>
    <w:multiLevelType w:val="multilevel"/>
    <w:tmpl w:val="00000026"/>
    <w:lvl w:ilvl="0">
      <w:start w:val="3"/>
      <w:numFmt w:val="decimal"/>
      <w:lvlText w:val="%1．"/>
      <w:lvlJc w:val="left"/>
      <w:pPr>
        <w:tabs>
          <w:tab w:val="num" w:pos="1280"/>
        </w:tabs>
        <w:ind w:left="1280" w:hanging="720"/>
      </w:pPr>
      <w:rPr>
        <w:rFonts w:hint="eastAsia"/>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8">
    <w:nsid w:val="00000028"/>
    <w:multiLevelType w:val="multilevel"/>
    <w:tmpl w:val="00000028"/>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19">
    <w:nsid w:val="11A222C5"/>
    <w:multiLevelType w:val="multilevel"/>
    <w:tmpl w:val="0000000B"/>
    <w:lvl w:ilvl="0">
      <w:start w:val="1"/>
      <w:numFmt w:val="decimal"/>
      <w:lvlText w:val="%1、"/>
      <w:lvlJc w:val="left"/>
      <w:pPr>
        <w:tabs>
          <w:tab w:val="num" w:pos="360"/>
        </w:tabs>
        <w:ind w:left="360" w:hanging="360"/>
      </w:pPr>
      <w:rPr>
        <w:rFonts w:hint="eastAsia"/>
      </w:rPr>
    </w:lvl>
    <w:lvl w:ilvl="1">
      <w:start w:val="1"/>
      <w:numFmt w:val="decimal"/>
      <w:lvlText w:val="%2、"/>
      <w:lvlJc w:val="left"/>
      <w:pPr>
        <w:tabs>
          <w:tab w:val="num" w:pos="1020"/>
        </w:tabs>
        <w:ind w:left="1020" w:hanging="60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33BD08E2"/>
    <w:multiLevelType w:val="multilevel"/>
    <w:tmpl w:val="00000022"/>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21">
    <w:nsid w:val="340214A5"/>
    <w:multiLevelType w:val="multilevel"/>
    <w:tmpl w:val="00000012"/>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22">
    <w:nsid w:val="50B137ED"/>
    <w:multiLevelType w:val="multilevel"/>
    <w:tmpl w:val="00000016"/>
    <w:lvl w:ilvl="0">
      <w:start w:val="1"/>
      <w:numFmt w:val="decimal"/>
      <w:lvlText w:val="%1）"/>
      <w:lvlJc w:val="left"/>
      <w:pPr>
        <w:tabs>
          <w:tab w:val="num" w:pos="840"/>
        </w:tabs>
        <w:ind w:left="840" w:hanging="360"/>
      </w:pPr>
      <w:rPr>
        <w:rFonts w:hint="eastAsia"/>
      </w:rPr>
    </w:lvl>
    <w:lvl w:ilvl="1">
      <w:start w:val="1"/>
      <w:numFmt w:val="upperLetter"/>
      <w:lvlText w:val="（%2）"/>
      <w:lvlJc w:val="left"/>
      <w:pPr>
        <w:tabs>
          <w:tab w:val="num" w:pos="1620"/>
        </w:tabs>
        <w:ind w:left="1620" w:hanging="720"/>
      </w:pPr>
      <w:rPr>
        <w:rFonts w:hint="eastAsia"/>
      </w:rPr>
    </w:lvl>
    <w:lvl w:ilvl="2">
      <w:start w:val="1"/>
      <w:numFmt w:val="lowerLetter"/>
      <w:lvlText w:val="%3)"/>
      <w:lvlJc w:val="left"/>
      <w:pPr>
        <w:tabs>
          <w:tab w:val="num" w:pos="1680"/>
        </w:tabs>
        <w:ind w:left="1680" w:hanging="360"/>
      </w:pPr>
      <w:rPr>
        <w:rFonts w:hint="default"/>
      </w:rPr>
    </w:lvl>
    <w:lvl w:ilvl="3">
      <w:start w:val="1"/>
      <w:numFmt w:val="decimal"/>
      <w:lvlText w:val="（%4）"/>
      <w:lvlJc w:val="left"/>
      <w:pPr>
        <w:tabs>
          <w:tab w:val="num" w:pos="2820"/>
        </w:tabs>
        <w:ind w:left="2820" w:hanging="1080"/>
      </w:pPr>
      <w:rPr>
        <w:rFonts w:hint="eastAsia"/>
      </w:rPr>
    </w:lvl>
    <w:lvl w:ilvl="4">
      <w:start w:val="1"/>
      <w:numFmt w:val="decimal"/>
      <w:lvlText w:val="%5."/>
      <w:lvlJc w:val="left"/>
      <w:pPr>
        <w:tabs>
          <w:tab w:val="num" w:pos="2520"/>
        </w:tabs>
        <w:ind w:left="2520" w:hanging="360"/>
      </w:pPr>
      <w:rPr>
        <w:rFonts w:hint="default"/>
      </w:r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23">
    <w:nsid w:val="534E7619"/>
    <w:multiLevelType w:val="singleLevel"/>
    <w:tmpl w:val="534E7619"/>
    <w:lvl w:ilvl="0">
      <w:start w:val="1"/>
      <w:numFmt w:val="decimal"/>
      <w:suff w:val="space"/>
      <w:lvlText w:val="（%1）"/>
      <w:lvlJc w:val="left"/>
    </w:lvl>
  </w:abstractNum>
  <w:abstractNum w:abstractNumId="24">
    <w:nsid w:val="534E7A0F"/>
    <w:multiLevelType w:val="singleLevel"/>
    <w:tmpl w:val="534E7A0F"/>
    <w:lvl w:ilvl="0">
      <w:start w:val="1"/>
      <w:numFmt w:val="decimal"/>
      <w:suff w:val="nothing"/>
      <w:lvlText w:val="%1．"/>
      <w:lvlJc w:val="left"/>
      <w:pPr>
        <w:ind w:left="0" w:firstLine="400"/>
      </w:pPr>
      <w:rPr>
        <w:rFonts w:hint="default"/>
      </w:rPr>
    </w:lvl>
  </w:abstractNum>
  <w:abstractNum w:abstractNumId="25">
    <w:nsid w:val="534E7B87"/>
    <w:multiLevelType w:val="singleLevel"/>
    <w:tmpl w:val="534E7B87"/>
    <w:lvl w:ilvl="0">
      <w:start w:val="1"/>
      <w:numFmt w:val="chineseCounting"/>
      <w:suff w:val="nothing"/>
      <w:lvlText w:val="%1、"/>
      <w:lvlJc w:val="left"/>
      <w:pPr>
        <w:ind w:left="0" w:firstLine="420"/>
      </w:pPr>
      <w:rPr>
        <w:rFonts w:hint="eastAsia"/>
      </w:rPr>
    </w:lvl>
  </w:abstractNum>
  <w:abstractNum w:abstractNumId="26">
    <w:nsid w:val="534E81BE"/>
    <w:multiLevelType w:val="singleLevel"/>
    <w:tmpl w:val="534E81BE"/>
    <w:lvl w:ilvl="0">
      <w:start w:val="2"/>
      <w:numFmt w:val="chineseCounting"/>
      <w:suff w:val="space"/>
      <w:lvlText w:val="第%1章"/>
      <w:lvlJc w:val="left"/>
    </w:lvl>
  </w:abstractNum>
  <w:abstractNum w:abstractNumId="27">
    <w:nsid w:val="534E8222"/>
    <w:multiLevelType w:val="singleLevel"/>
    <w:tmpl w:val="534E8222"/>
    <w:lvl w:ilvl="0">
      <w:start w:val="3"/>
      <w:numFmt w:val="chineseCounting"/>
      <w:suff w:val="space"/>
      <w:lvlText w:val="第%1章"/>
      <w:lvlJc w:val="left"/>
    </w:lvl>
  </w:abstractNum>
  <w:abstractNum w:abstractNumId="28">
    <w:nsid w:val="534E941C"/>
    <w:multiLevelType w:val="singleLevel"/>
    <w:tmpl w:val="534E941C"/>
    <w:lvl w:ilvl="0">
      <w:start w:val="9"/>
      <w:numFmt w:val="chineseCounting"/>
      <w:suff w:val="space"/>
      <w:lvlText w:val="第%1章"/>
      <w:lvlJc w:val="left"/>
    </w:lvl>
  </w:abstractNum>
  <w:abstractNum w:abstractNumId="29">
    <w:nsid w:val="534E9534"/>
    <w:multiLevelType w:val="singleLevel"/>
    <w:tmpl w:val="534E9534"/>
    <w:lvl w:ilvl="0">
      <w:start w:val="11"/>
      <w:numFmt w:val="chineseCounting"/>
      <w:suff w:val="space"/>
      <w:lvlText w:val="第%1章"/>
      <w:lvlJc w:val="left"/>
    </w:lvl>
  </w:abstractNum>
  <w:abstractNum w:abstractNumId="30">
    <w:nsid w:val="534E99BF"/>
    <w:multiLevelType w:val="singleLevel"/>
    <w:tmpl w:val="534E99BF"/>
    <w:lvl w:ilvl="0">
      <w:start w:val="1"/>
      <w:numFmt w:val="decimal"/>
      <w:suff w:val="nothing"/>
      <w:lvlText w:val="（%1）"/>
      <w:lvlJc w:val="left"/>
    </w:lvl>
  </w:abstractNum>
  <w:abstractNum w:abstractNumId="31">
    <w:nsid w:val="534E99E3"/>
    <w:multiLevelType w:val="singleLevel"/>
    <w:tmpl w:val="534E99E3"/>
    <w:lvl w:ilvl="0">
      <w:start w:val="1"/>
      <w:numFmt w:val="decimal"/>
      <w:suff w:val="nothing"/>
      <w:lvlText w:val="（%1）"/>
      <w:lvlJc w:val="left"/>
    </w:lvl>
  </w:abstractNum>
  <w:abstractNum w:abstractNumId="32">
    <w:nsid w:val="534E9A4A"/>
    <w:multiLevelType w:val="singleLevel"/>
    <w:tmpl w:val="534E9A4A"/>
    <w:lvl w:ilvl="0">
      <w:start w:val="4"/>
      <w:numFmt w:val="decimal"/>
      <w:suff w:val="nothing"/>
      <w:lvlText w:val="%1）"/>
      <w:lvlJc w:val="left"/>
    </w:lvl>
  </w:abstractNum>
  <w:abstractNum w:abstractNumId="33">
    <w:nsid w:val="534E9A82"/>
    <w:multiLevelType w:val="singleLevel"/>
    <w:tmpl w:val="534E9A82"/>
    <w:lvl w:ilvl="0">
      <w:start w:val="1"/>
      <w:numFmt w:val="decimal"/>
      <w:lvlText w:val="%1)"/>
      <w:lvlJc w:val="left"/>
      <w:pPr>
        <w:tabs>
          <w:tab w:val="num" w:pos="425"/>
        </w:tabs>
        <w:ind w:left="425" w:hanging="425"/>
      </w:pPr>
      <w:rPr>
        <w:rFonts w:hint="default"/>
      </w:rPr>
    </w:lvl>
  </w:abstractNum>
  <w:abstractNum w:abstractNumId="34">
    <w:nsid w:val="534E9C3D"/>
    <w:multiLevelType w:val="singleLevel"/>
    <w:tmpl w:val="534E9C3D"/>
    <w:lvl w:ilvl="0">
      <w:start w:val="1"/>
      <w:numFmt w:val="chineseCounting"/>
      <w:suff w:val="nothing"/>
      <w:lvlText w:val="%1、"/>
      <w:lvlJc w:val="left"/>
      <w:pPr>
        <w:ind w:left="0" w:firstLine="420"/>
      </w:pPr>
      <w:rPr>
        <w:rFonts w:hint="eastAsia"/>
      </w:rPr>
    </w:lvl>
  </w:abstractNum>
  <w:abstractNum w:abstractNumId="35">
    <w:nsid w:val="534E9EAB"/>
    <w:multiLevelType w:val="singleLevel"/>
    <w:tmpl w:val="534E9EAB"/>
    <w:lvl w:ilvl="0">
      <w:start w:val="14"/>
      <w:numFmt w:val="chineseCounting"/>
      <w:suff w:val="space"/>
      <w:lvlText w:val="第%1章"/>
      <w:lvlJc w:val="left"/>
    </w:lvl>
  </w:abstractNum>
  <w:abstractNum w:abstractNumId="36">
    <w:nsid w:val="534E9F98"/>
    <w:multiLevelType w:val="singleLevel"/>
    <w:tmpl w:val="534E9F98"/>
    <w:lvl w:ilvl="0">
      <w:start w:val="1"/>
      <w:numFmt w:val="decimal"/>
      <w:lvlText w:val="%1)"/>
      <w:lvlJc w:val="left"/>
      <w:pPr>
        <w:tabs>
          <w:tab w:val="num" w:pos="425"/>
        </w:tabs>
        <w:ind w:left="425" w:hanging="425"/>
      </w:pPr>
      <w:rPr>
        <w:rFonts w:hint="default"/>
      </w:rPr>
    </w:lvl>
  </w:abstractNum>
  <w:abstractNum w:abstractNumId="37">
    <w:nsid w:val="534EA5C7"/>
    <w:multiLevelType w:val="singleLevel"/>
    <w:tmpl w:val="534EA5C7"/>
    <w:lvl w:ilvl="0">
      <w:start w:val="1"/>
      <w:numFmt w:val="chineseCounting"/>
      <w:suff w:val="nothing"/>
      <w:lvlText w:val="%1、"/>
      <w:lvlJc w:val="left"/>
      <w:pPr>
        <w:ind w:left="0" w:firstLine="420"/>
      </w:pPr>
      <w:rPr>
        <w:rFonts w:hint="eastAsia"/>
      </w:rPr>
    </w:lvl>
  </w:abstractNum>
  <w:abstractNum w:abstractNumId="38">
    <w:nsid w:val="534EA685"/>
    <w:multiLevelType w:val="singleLevel"/>
    <w:tmpl w:val="534EA685"/>
    <w:lvl w:ilvl="0">
      <w:start w:val="18"/>
      <w:numFmt w:val="chineseCounting"/>
      <w:suff w:val="space"/>
      <w:lvlText w:val="第%1章"/>
      <w:lvlJc w:val="left"/>
    </w:lvl>
  </w:abstractNum>
  <w:abstractNum w:abstractNumId="39">
    <w:nsid w:val="534EA6F7"/>
    <w:multiLevelType w:val="singleLevel"/>
    <w:tmpl w:val="534EA6F7"/>
    <w:lvl w:ilvl="0">
      <w:start w:val="19"/>
      <w:numFmt w:val="chineseCounting"/>
      <w:suff w:val="space"/>
      <w:lvlText w:val="第%1章"/>
      <w:lvlJc w:val="left"/>
    </w:lvl>
  </w:abstractNum>
  <w:abstractNum w:abstractNumId="40">
    <w:nsid w:val="53F5798C"/>
    <w:multiLevelType w:val="multilevel"/>
    <w:tmpl w:val="00000024"/>
    <w:lvl w:ilvl="0">
      <w:start w:val="1"/>
      <w:numFmt w:val="decimal"/>
      <w:lvlText w:val="（%1）"/>
      <w:lvlJc w:val="left"/>
      <w:pPr>
        <w:tabs>
          <w:tab w:val="num" w:pos="1360"/>
        </w:tabs>
        <w:ind w:left="1360" w:hanging="720"/>
      </w:pPr>
      <w:rPr>
        <w:rFonts w:hint="eastAsia"/>
      </w:r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abstractNum w:abstractNumId="41">
    <w:nsid w:val="5F2597BA"/>
    <w:multiLevelType w:val="multilevel"/>
    <w:tmpl w:val="00000022"/>
    <w:lvl w:ilvl="0">
      <w:start w:val="1"/>
      <w:numFmt w:val="decimal"/>
      <w:lvlText w:val="%1）"/>
      <w:lvlJc w:val="left"/>
      <w:pPr>
        <w:tabs>
          <w:tab w:val="num" w:pos="840"/>
        </w:tabs>
        <w:ind w:left="840" w:hanging="360"/>
      </w:pPr>
      <w:rPr>
        <w:rFonts w:hint="eastAsia"/>
      </w:rPr>
    </w:lvl>
    <w:lvl w:ilvl="1">
      <w:start w:val="1"/>
      <w:numFmt w:val="lowerLetter"/>
      <w:lvlText w:val="%2)"/>
      <w:lvlJc w:val="left"/>
      <w:pPr>
        <w:tabs>
          <w:tab w:val="num" w:pos="1320"/>
        </w:tabs>
        <w:ind w:left="1320" w:hanging="420"/>
      </w:p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42">
    <w:nsid w:val="7142B9ED"/>
    <w:multiLevelType w:val="multilevel"/>
    <w:tmpl w:val="00000018"/>
    <w:lvl w:ilvl="0">
      <w:start w:val="1"/>
      <w:numFmt w:val="decimal"/>
      <w:lvlText w:val="%1、"/>
      <w:lvlJc w:val="left"/>
      <w:pPr>
        <w:tabs>
          <w:tab w:val="num" w:pos="360"/>
        </w:tabs>
        <w:ind w:left="360" w:hanging="360"/>
      </w:pPr>
      <w:rPr>
        <w:rFonts w:hint="eastAsia"/>
      </w:rPr>
    </w:lvl>
    <w:lvl w:ilvl="1">
      <w:start w:val="4"/>
      <w:numFmt w:val="japaneseCounting"/>
      <w:lvlText w:val="%2、"/>
      <w:lvlJc w:val="left"/>
      <w:pPr>
        <w:tabs>
          <w:tab w:val="num" w:pos="900"/>
        </w:tabs>
        <w:ind w:left="900" w:hanging="480"/>
      </w:pPr>
      <w:rPr>
        <w:rFonts w:hint="eastAsia"/>
      </w:rPr>
    </w:lvl>
    <w:lvl w:ilvl="2">
      <w:start w:val="1"/>
      <w:numFmt w:val="decimal"/>
      <w:lvlText w:val="%3）"/>
      <w:lvlJc w:val="left"/>
      <w:pPr>
        <w:tabs>
          <w:tab w:val="num" w:pos="1200"/>
        </w:tabs>
        <w:ind w:left="1200" w:hanging="360"/>
      </w:pPr>
      <w:rPr>
        <w:rFonts w:hint="eastAsia"/>
      </w:rPr>
    </w:lvl>
    <w:lvl w:ilvl="3">
      <w:start w:val="1"/>
      <w:numFmt w:val="decimal"/>
      <w:lvlText w:val="(%4)"/>
      <w:lvlJc w:val="left"/>
      <w:pPr>
        <w:tabs>
          <w:tab w:val="num" w:pos="1740"/>
        </w:tabs>
        <w:ind w:left="1740" w:hanging="480"/>
      </w:pPr>
      <w:rPr>
        <w:rFonts w:hint="default"/>
      </w:rPr>
    </w:lvl>
    <w:lvl w:ilvl="4">
      <w:start w:val="1"/>
      <w:numFmt w:val="lowerLetter"/>
      <w:lvlText w:val="%5．"/>
      <w:lvlJc w:val="left"/>
      <w:pPr>
        <w:tabs>
          <w:tab w:val="num" w:pos="2040"/>
        </w:tabs>
        <w:ind w:left="2040" w:hanging="360"/>
      </w:pPr>
      <w:rPr>
        <w:rFonts w:hint="eastAsia"/>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3">
    <w:nsid w:val="7B3952EB"/>
    <w:multiLevelType w:val="multilevel"/>
    <w:tmpl w:val="00000026"/>
    <w:lvl w:ilvl="0">
      <w:start w:val="3"/>
      <w:numFmt w:val="decimal"/>
      <w:lvlText w:val="%1．"/>
      <w:lvlJc w:val="left"/>
      <w:pPr>
        <w:tabs>
          <w:tab w:val="num" w:pos="1280"/>
        </w:tabs>
        <w:ind w:left="1280" w:hanging="720"/>
      </w:pPr>
      <w:rPr>
        <w:rFonts w:hint="eastAsia"/>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num w:numId="1">
    <w:abstractNumId w:val="7"/>
  </w:num>
  <w:num w:numId="2">
    <w:abstractNumId w:val="25"/>
  </w:num>
  <w:num w:numId="3">
    <w:abstractNumId w:val="2"/>
  </w:num>
  <w:num w:numId="4">
    <w:abstractNumId w:val="10"/>
  </w:num>
  <w:num w:numId="5">
    <w:abstractNumId w:val="14"/>
  </w:num>
  <w:num w:numId="6">
    <w:abstractNumId w:val="18"/>
  </w:num>
  <w:num w:numId="7">
    <w:abstractNumId w:val="12"/>
  </w:num>
  <w:num w:numId="8">
    <w:abstractNumId w:val="6"/>
  </w:num>
  <w:num w:numId="9">
    <w:abstractNumId w:val="11"/>
  </w:num>
  <w:num w:numId="10">
    <w:abstractNumId w:val="15"/>
  </w:num>
  <w:num w:numId="11">
    <w:abstractNumId w:val="23"/>
  </w:num>
  <w:num w:numId="12">
    <w:abstractNumId w:val="24"/>
  </w:num>
  <w:num w:numId="13">
    <w:abstractNumId w:val="26"/>
  </w:num>
  <w:num w:numId="14">
    <w:abstractNumId w:val="27"/>
  </w:num>
  <w:num w:numId="15">
    <w:abstractNumId w:val="0"/>
  </w:num>
  <w:num w:numId="16">
    <w:abstractNumId w:val="8"/>
  </w:num>
  <w:num w:numId="17">
    <w:abstractNumId w:val="16"/>
  </w:num>
  <w:num w:numId="18">
    <w:abstractNumId w:val="17"/>
  </w:num>
  <w:num w:numId="19">
    <w:abstractNumId w:val="13"/>
  </w:num>
  <w:num w:numId="20">
    <w:abstractNumId w:val="3"/>
  </w:num>
  <w:num w:numId="21">
    <w:abstractNumId w:val="4"/>
  </w:num>
  <w:num w:numId="22">
    <w:abstractNumId w:val="5"/>
  </w:num>
  <w:num w:numId="23">
    <w:abstractNumId w:val="28"/>
  </w:num>
  <w:num w:numId="24">
    <w:abstractNumId w:val="9"/>
  </w:num>
  <w:num w:numId="25">
    <w:abstractNumId w:val="29"/>
  </w:num>
  <w:num w:numId="26">
    <w:abstractNumId w:val="34"/>
  </w:num>
  <w:num w:numId="27">
    <w:abstractNumId w:val="30"/>
  </w:num>
  <w:num w:numId="28">
    <w:abstractNumId w:val="31"/>
  </w:num>
  <w:num w:numId="29">
    <w:abstractNumId w:val="32"/>
  </w:num>
  <w:num w:numId="30">
    <w:abstractNumId w:val="33"/>
  </w:num>
  <w:num w:numId="31">
    <w:abstractNumId w:val="35"/>
  </w:num>
  <w:num w:numId="32">
    <w:abstractNumId w:val="36"/>
  </w:num>
  <w:num w:numId="33">
    <w:abstractNumId w:val="37"/>
  </w:num>
  <w:num w:numId="34">
    <w:abstractNumId w:val="1"/>
  </w:num>
  <w:num w:numId="35">
    <w:abstractNumId w:val="38"/>
  </w:num>
  <w:num w:numId="36">
    <w:abstractNumId w:val="39"/>
  </w:num>
  <w:num w:numId="37">
    <w:abstractNumId w:val="19"/>
  </w:num>
  <w:num w:numId="38">
    <w:abstractNumId w:val="22"/>
  </w:num>
  <w:num w:numId="39">
    <w:abstractNumId w:val="20"/>
  </w:num>
  <w:num w:numId="40">
    <w:abstractNumId w:val="42"/>
  </w:num>
  <w:num w:numId="41">
    <w:abstractNumId w:val="40"/>
  </w:num>
  <w:num w:numId="42">
    <w:abstractNumId w:val="43"/>
  </w:num>
  <w:num w:numId="43">
    <w:abstractNumId w:val="41"/>
  </w:num>
  <w:num w:numId="4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0621"/>
    <w:rsid w:val="00094F5F"/>
    <w:rsid w:val="00096ABC"/>
    <w:rsid w:val="000D1444"/>
    <w:rsid w:val="000E2E3E"/>
    <w:rsid w:val="000F0BBC"/>
    <w:rsid w:val="000F2505"/>
    <w:rsid w:val="00124BAD"/>
    <w:rsid w:val="00126CB9"/>
    <w:rsid w:val="00141E5E"/>
    <w:rsid w:val="001664C9"/>
    <w:rsid w:val="00171B54"/>
    <w:rsid w:val="00175484"/>
    <w:rsid w:val="00182928"/>
    <w:rsid w:val="001B2487"/>
    <w:rsid w:val="001E342F"/>
    <w:rsid w:val="001F6B78"/>
    <w:rsid w:val="002056FD"/>
    <w:rsid w:val="00206D94"/>
    <w:rsid w:val="002113C0"/>
    <w:rsid w:val="00212291"/>
    <w:rsid w:val="00247963"/>
    <w:rsid w:val="00252B25"/>
    <w:rsid w:val="00270260"/>
    <w:rsid w:val="002A1DCD"/>
    <w:rsid w:val="002B029E"/>
    <w:rsid w:val="002B631C"/>
    <w:rsid w:val="002E61D3"/>
    <w:rsid w:val="002F375A"/>
    <w:rsid w:val="00301065"/>
    <w:rsid w:val="00310CD6"/>
    <w:rsid w:val="00364DBF"/>
    <w:rsid w:val="0037095B"/>
    <w:rsid w:val="00384680"/>
    <w:rsid w:val="00387C2A"/>
    <w:rsid w:val="004707F6"/>
    <w:rsid w:val="004B6B51"/>
    <w:rsid w:val="005801C2"/>
    <w:rsid w:val="00580E9D"/>
    <w:rsid w:val="00585139"/>
    <w:rsid w:val="0059247C"/>
    <w:rsid w:val="005D1529"/>
    <w:rsid w:val="005F422F"/>
    <w:rsid w:val="006100BB"/>
    <w:rsid w:val="00635DA4"/>
    <w:rsid w:val="006924A2"/>
    <w:rsid w:val="006A18E9"/>
    <w:rsid w:val="006B47D7"/>
    <w:rsid w:val="006B70D3"/>
    <w:rsid w:val="006C1626"/>
    <w:rsid w:val="006E7340"/>
    <w:rsid w:val="0076222A"/>
    <w:rsid w:val="007622B9"/>
    <w:rsid w:val="00775904"/>
    <w:rsid w:val="00780D47"/>
    <w:rsid w:val="007A2593"/>
    <w:rsid w:val="007B16C6"/>
    <w:rsid w:val="007D1BB9"/>
    <w:rsid w:val="007E0CCD"/>
    <w:rsid w:val="007E4563"/>
    <w:rsid w:val="007F6EB8"/>
    <w:rsid w:val="00806E93"/>
    <w:rsid w:val="00821D25"/>
    <w:rsid w:val="008441EE"/>
    <w:rsid w:val="00862A7F"/>
    <w:rsid w:val="00875D0A"/>
    <w:rsid w:val="0088072F"/>
    <w:rsid w:val="00881587"/>
    <w:rsid w:val="00887050"/>
    <w:rsid w:val="00890307"/>
    <w:rsid w:val="008D4CCF"/>
    <w:rsid w:val="009245BE"/>
    <w:rsid w:val="00945303"/>
    <w:rsid w:val="009E02DB"/>
    <w:rsid w:val="009E2ACD"/>
    <w:rsid w:val="00A17C0C"/>
    <w:rsid w:val="00A35620"/>
    <w:rsid w:val="00A35A0F"/>
    <w:rsid w:val="00A82D37"/>
    <w:rsid w:val="00AB1891"/>
    <w:rsid w:val="00AC14DD"/>
    <w:rsid w:val="00AD17FD"/>
    <w:rsid w:val="00AF190E"/>
    <w:rsid w:val="00B43FEE"/>
    <w:rsid w:val="00B64EB3"/>
    <w:rsid w:val="00BF6CB8"/>
    <w:rsid w:val="00C1729B"/>
    <w:rsid w:val="00C3480A"/>
    <w:rsid w:val="00C34B35"/>
    <w:rsid w:val="00C84225"/>
    <w:rsid w:val="00CE67F1"/>
    <w:rsid w:val="00D16826"/>
    <w:rsid w:val="00D3298A"/>
    <w:rsid w:val="00D47489"/>
    <w:rsid w:val="00D53862"/>
    <w:rsid w:val="00D75634"/>
    <w:rsid w:val="00D93262"/>
    <w:rsid w:val="00D9792C"/>
    <w:rsid w:val="00DA03AC"/>
    <w:rsid w:val="00DB5DD9"/>
    <w:rsid w:val="00E148F2"/>
    <w:rsid w:val="00E3319B"/>
    <w:rsid w:val="00E426CA"/>
    <w:rsid w:val="00E546ED"/>
    <w:rsid w:val="00E62A0A"/>
    <w:rsid w:val="00E70C61"/>
    <w:rsid w:val="00E73211"/>
    <w:rsid w:val="00E93D20"/>
    <w:rsid w:val="00EB2094"/>
    <w:rsid w:val="00EB6F70"/>
    <w:rsid w:val="00ED32BC"/>
    <w:rsid w:val="00EF34AA"/>
    <w:rsid w:val="00F30037"/>
    <w:rsid w:val="00F50D7A"/>
    <w:rsid w:val="00F56FFC"/>
    <w:rsid w:val="00FC25C7"/>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99816B6-6A35-4BFA-B860-ACF2D5801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keepNext/>
      <w:tabs>
        <w:tab w:val="left" w:pos="1080"/>
        <w:tab w:val="left" w:pos="1620"/>
      </w:tabs>
      <w:jc w:val="left"/>
      <w:outlineLvl w:val="0"/>
    </w:pPr>
    <w:rPr>
      <w:rFonts w:ascii="仿宋_GB2312" w:eastAsia="仿宋_GB2312" w:hAnsi="仿宋_GB2312"/>
      <w:b/>
      <w:snapToGrid w:val="0"/>
      <w:kern w:val="0"/>
      <w:sz w:val="32"/>
      <w:szCs w:val="20"/>
      <w:lang w:eastAsia="en-US"/>
    </w:rPr>
  </w:style>
  <w:style w:type="paragraph" w:styleId="Heading2">
    <w:name w:val="heading 2"/>
    <w:basedOn w:val="Normal"/>
    <w:next w:val="Normal0"/>
    <w:link w:val="2"/>
    <w:uiPriority w:val="9"/>
    <w:qFormat/>
    <w:pPr>
      <w:keepNext/>
      <w:numPr>
        <w:numId w:val="1"/>
      </w:numPr>
      <w:tabs>
        <w:tab w:val="left" w:pos="640"/>
      </w:tabs>
      <w:spacing w:line="520" w:lineRule="exact"/>
      <w:jc w:val="left"/>
      <w:outlineLvl w:val="1"/>
    </w:pPr>
    <w:rPr>
      <w:rFonts w:ascii="宋体" w:eastAsia="MingLiU" w:hAnsi="宋体"/>
      <w:snapToGrid w:val="0"/>
      <w:kern w:val="0"/>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pPr>
    <w:rPr>
      <w:rFonts w:ascii="MingLiU" w:eastAsia="MingLiU"/>
      <w:snapToGrid w:val="0"/>
      <w:sz w:val="24"/>
      <w:lang w:eastAsia="en-US"/>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0"/>
    <w:uiPriority w:val="39"/>
    <w:pPr>
      <w:jc w:val="left"/>
    </w:pPr>
    <w:rPr>
      <w:rFonts w:ascii="MingLiU" w:eastAsia="MingLiU" w:hAnsi="Times New Roman"/>
      <w:snapToGrid w:val="0"/>
      <w:kern w:val="0"/>
      <w:sz w:val="24"/>
      <w:szCs w:val="20"/>
      <w:lang w:eastAsia="en-US"/>
    </w:rPr>
  </w:style>
  <w:style w:type="paragraph" w:styleId="TOC2">
    <w:name w:val="toc 2"/>
    <w:basedOn w:val="Normal"/>
    <w:next w:val="Normal0"/>
    <w:uiPriority w:val="39"/>
    <w:pPr>
      <w:ind w:left="420" w:leftChars="200"/>
      <w:jc w:val="left"/>
    </w:pPr>
    <w:rPr>
      <w:rFonts w:ascii="MingLiU" w:eastAsia="MingLiU" w:hAnsi="Times New Roman"/>
      <w:snapToGrid w:val="0"/>
      <w:kern w:val="0"/>
      <w:sz w:val="24"/>
      <w:szCs w:val="20"/>
      <w:lang w:eastAsia="en-US"/>
    </w:rPr>
  </w:style>
  <w:style w:type="character" w:customStyle="1" w:styleId="2">
    <w:name w:val="标题 2 字符"/>
    <w:link w:val="Heading2"/>
    <w:rPr>
      <w:rFonts w:ascii="宋体" w:hAnsi="宋体"/>
      <w:sz w:val="28"/>
    </w:rPr>
  </w:style>
  <w:style w:type="paragraph" w:styleId="BodyText2">
    <w:name w:val="Body Text 2"/>
    <w:basedOn w:val="Normal"/>
    <w:pPr>
      <w:jc w:val="center"/>
    </w:pPr>
    <w:rPr>
      <w:rFonts w:ascii="Times New Roman" w:hAnsi="Times New Roman"/>
      <w:sz w:val="28"/>
      <w:szCs w:val="24"/>
    </w:rPr>
  </w:style>
  <w:style w:type="paragraph" w:styleId="BodyText">
    <w:name w:val="Body Text"/>
    <w:basedOn w:val="Normal"/>
    <w:pPr>
      <w:jc w:val="center"/>
    </w:pPr>
    <w:rPr>
      <w:rFonts w:ascii="Times New Roman" w:hAnsi="Times New Roman"/>
      <w:spacing w:val="20"/>
      <w:sz w:val="24"/>
      <w:szCs w:val="24"/>
    </w:rPr>
  </w:style>
  <w:style w:type="paragraph" w:styleId="BodyTextIndent">
    <w:name w:val="Body Text Indent"/>
    <w:basedOn w:val="Normal"/>
    <w:pPr>
      <w:ind w:firstLine="435"/>
    </w:pPr>
    <w:rPr>
      <w:rFonts w:ascii="Times New Roman" w:hAnsi="Times New Roman"/>
      <w:sz w:val="28"/>
      <w:szCs w:val="24"/>
    </w:rPr>
  </w:style>
  <w:style w:type="paragraph" w:styleId="BodyTextIndent2">
    <w:name w:val="Body Text Indent 2"/>
    <w:basedOn w:val="Normal"/>
    <w:pPr>
      <w:ind w:firstLine="536" w:firstLineChars="200"/>
    </w:pPr>
    <w:rPr>
      <w:rFonts w:ascii="Times New Roman" w:hAnsi="Times New Roman"/>
      <w:sz w:val="28"/>
      <w:szCs w:val="24"/>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www.jnlongbiao.com/index.aspx" TargetMode="External" /><Relationship Id="rId8" Type="http://schemas.openxmlformats.org/officeDocument/2006/relationships/image" Target="media/image3.png" /><Relationship Id="rId9" Type="http://schemas.openxmlformats.org/officeDocument/2006/relationships/hyperlink" Target="https://d.book118.com/676222205145010055"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35</Pages>
  <Words>6269</Words>
  <Characters>35738</Characters>
  <Application>Microsoft Office Word</Application>
  <DocSecurity>0</DocSecurity>
  <Lines>297</Lines>
  <Paragraphs>83</Paragraphs>
  <ScaleCrop>false</ScaleCrop>
  <Company/>
  <LinksUpToDate>false</LinksUpToDate>
  <CharactersWithSpaces>41924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