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55827" w:rsidP="00255827" w14:paraId="194AC4B5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55827">
        <w:rPr>
          <w:rFonts w:ascii="华文中宋" w:eastAsia="华文中宋" w:hAnsi="华文中宋"/>
          <w:b/>
          <w:sz w:val="30"/>
        </w:rPr>
        <w:t>2023</w:t>
      </w:r>
      <w:r w:rsidRPr="00255827">
        <w:rPr>
          <w:rFonts w:ascii="华文中宋" w:eastAsia="华文中宋" w:hAnsi="华文中宋"/>
          <w:b/>
          <w:sz w:val="30"/>
        </w:rPr>
        <w:t>湖南长沙市雨花区人民政府办公室招聘</w:t>
      </w:r>
      <w:r w:rsidRPr="00255827">
        <w:rPr>
          <w:rFonts w:ascii="华文中宋" w:eastAsia="华文中宋" w:hAnsi="华文中宋"/>
          <w:b/>
          <w:sz w:val="30"/>
        </w:rPr>
        <w:t>2</w:t>
      </w:r>
      <w:r w:rsidRPr="00255827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646905E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2C13766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01B3572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减少财政收入主要是减税，这意味着增加企业和居民的可支配收人，从而产生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的作用。</w:t>
      </w:r>
    </w:p>
    <w:p w:rsidR="0030475A" w14:paraId="5823D41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、减少居民消费</w:t>
      </w:r>
    </w:p>
    <w:p w:rsidR="0030475A" w14:paraId="718CCE3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、减少企业投资</w:t>
      </w:r>
    </w:p>
    <w:p w:rsidR="0030475A" w14:paraId="41D05D5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、增加社会总需求</w:t>
      </w:r>
    </w:p>
    <w:p w:rsidR="0030475A" w14:paraId="7198A29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、减少社会总需求</w:t>
      </w:r>
    </w:p>
    <w:p w:rsidR="0030475A" w14:paraId="07A2ADF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06F7887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减少财政收入主要是减税，这意味着增加企业和居民的可支配收人，会增加居民和企业消费和投资活动，从而增加社会总需求。故选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13ADA2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同一种社会制度总的量变过程中的质变，不改变社会制度的根本性质的现象是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29CFE85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、阶级斗争</w:t>
      </w:r>
    </w:p>
    <w:p w:rsidR="0030475A" w14:paraId="2811AAE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、社会革命</w:t>
      </w:r>
    </w:p>
    <w:p w:rsidR="0030475A" w14:paraId="48D60A1A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、社会改革</w:t>
      </w:r>
    </w:p>
    <w:p w:rsidR="0030475A" w14:paraId="564E6B6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、暴力革命</w:t>
      </w:r>
    </w:p>
    <w:p w:rsidR="0030475A" w14:paraId="197B0DB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C</w:t>
      </w:r>
    </w:p>
    <w:p w:rsidR="0030475A" w14:paraId="20CAAB6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本题考查的知识点为社会革命和社会改革的区分。社会革命是社会制度的根本质变，是用新的社会形态代替旧的社会形态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社会改革是同一社会制度</w:t>
      </w:r>
      <w:r w:rsidRPr="0030475A">
        <w:rPr>
          <w:rFonts w:ascii="微软雅黑" w:eastAsia="微软雅黑" w:cs="微软雅黑"/>
          <w:szCs w:val="14"/>
        </w:rPr>
        <w:t>(</w:t>
      </w:r>
      <w:r w:rsidRPr="0030475A">
        <w:rPr>
          <w:rFonts w:ascii="微软雅黑" w:eastAsia="微软雅黑" w:cs="微软雅黑"/>
          <w:szCs w:val="14"/>
        </w:rPr>
        <w:t>社会形态</w:t>
      </w:r>
      <w:r w:rsidRPr="0030475A">
        <w:rPr>
          <w:rFonts w:ascii="微软雅黑" w:eastAsia="微软雅黑" w:cs="微软雅黑"/>
          <w:szCs w:val="14"/>
        </w:rPr>
        <w:t>)</w:t>
      </w:r>
      <w:r w:rsidRPr="0030475A">
        <w:rPr>
          <w:rFonts w:ascii="微软雅黑" w:eastAsia="微软雅黑" w:cs="微软雅黑"/>
          <w:szCs w:val="14"/>
        </w:rPr>
        <w:t>总的量变过程中的部分质变，不改变社会制度的根本性质。二者的区分在于是否改变社会制度的根本性质。选项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为无关干扰项，应排除。故选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A1F756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发达资本主义国家占统治地位的资本是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3E7AD1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、银行资本</w:t>
      </w:r>
    </w:p>
    <w:p w:rsidR="0030475A" w14:paraId="29E8E9F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、工业资本</w:t>
      </w:r>
    </w:p>
    <w:p w:rsidR="0030475A" w14:paraId="67642D3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、商业资本</w:t>
      </w:r>
    </w:p>
    <w:p w:rsidR="0030475A" w14:paraId="0927E00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、金融资本</w:t>
      </w:r>
    </w:p>
    <w:p w:rsidR="0030475A" w14:paraId="59C9BA0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2AF3018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金融资本是现代资本主义国家占统治地位的垄断资本主义。金融资本是在生产资本和银行资本高度集中的基础上，工业垄断资本和银行资本垄断日益融合的基础上而形成的资本形态。故选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78D6C9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判断一台显示器优劣必须注意的一些问题中，下面的指标不在判断之列的是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78C5FB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、水波纹</w:t>
      </w:r>
    </w:p>
    <w:p w:rsidR="0030475A" w14:paraId="7F41789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、会聚</w:t>
      </w:r>
    </w:p>
    <w:p w:rsidR="0030475A" w14:paraId="0DBB91F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、色彩均匀性</w:t>
      </w:r>
    </w:p>
    <w:p w:rsidR="0030475A" w14:paraId="6FDBA69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、手感</w:t>
      </w:r>
    </w:p>
    <w:p w:rsidR="0030475A" w14:paraId="5892E45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164ED69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手感不是判断一台显示器优劣的指标。故选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98C2C4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为了减少计算机病毒对计算机系统的破坏，应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418BD1E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、不运行来历不明的软件</w:t>
      </w:r>
    </w:p>
    <w:p w:rsidR="0030475A" w14:paraId="2C00352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、尽可能用软盘启动计算机</w:t>
      </w:r>
    </w:p>
    <w:p w:rsidR="0030475A" w14:paraId="1F04EA4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、把用户程序和数据写到系统盘上</w:t>
      </w:r>
    </w:p>
    <w:p w:rsidR="0030475A" w14:paraId="1A9C3AA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、使用来历不明的光盘</w:t>
      </w:r>
    </w:p>
    <w:p w:rsidR="0030475A" w14:paraId="7681D2A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A</w:t>
      </w:r>
    </w:p>
    <w:p w:rsidR="0030475A" w14:paraId="6D7A67C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不运行来历不明的软件可以减少计算机病毒对计算机系统的破坏。故选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BEBBF0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6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构成中国的内聚性的又一重要因素是，存在着一种可追溯到数千年前古老的商朝的书面语。</w:t>
      </w:r>
      <w:r w:rsidRPr="0030475A">
        <w:rPr>
          <w:rFonts w:ascii="微软雅黑" w:eastAsia="微软雅黑" w:cs="微软雅黑"/>
          <w:szCs w:val="14"/>
        </w:rPr>
        <w:t>”“</w:t>
      </w:r>
      <w:r w:rsidRPr="0030475A">
        <w:rPr>
          <w:rFonts w:ascii="微软雅黑" w:eastAsia="微软雅黑" w:cs="微软雅黑"/>
          <w:szCs w:val="14"/>
        </w:rPr>
        <w:t>商朝的书面语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指的是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E0BDD2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、甲骨文</w:t>
      </w:r>
    </w:p>
    <w:p w:rsidR="0030475A" w14:paraId="5831410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、金文</w:t>
      </w:r>
    </w:p>
    <w:p w:rsidR="0030475A" w14:paraId="74983AD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、小篆</w:t>
      </w:r>
    </w:p>
    <w:p w:rsidR="0030475A" w14:paraId="0F16957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、隶书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https://d.book118.com/677054124051006035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paraId="182411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5827" w14:paraId="21B95A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paraId="3ACF139F" w14:textId="31664D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55827" w14:paraId="0A10734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paraId="0BB348F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582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textId="31664D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5582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582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:rsidP="00683DD2" w14:textId="31664D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5582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paraId="35E7EC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paraId="5086C80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paraId="4CD275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8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55827"/>
    <w:rsid w:val="0030475A"/>
    <w:rsid w:val="00683DD2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7D56FD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2558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55827"/>
    <w:rPr>
      <w:sz w:val="18"/>
      <w:szCs w:val="18"/>
    </w:rPr>
  </w:style>
  <w:style w:type="paragraph" w:styleId="Footer">
    <w:name w:val="footer"/>
    <w:basedOn w:val="Normal"/>
    <w:link w:val="a0"/>
    <w:rsid w:val="002558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55827"/>
    <w:rPr>
      <w:sz w:val="18"/>
      <w:szCs w:val="18"/>
    </w:rPr>
  </w:style>
  <w:style w:type="character" w:styleId="PageNumber">
    <w:name w:val="page number"/>
    <w:basedOn w:val="DefaultParagraphFont"/>
    <w:rsid w:val="0025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77054124051006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