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4D42"/>
    <w:p w:rsidR="00014D42">
      <w:pPr>
        <w:rPr>
          <w:rFonts w:ascii="黑体" w:eastAsia="黑体"/>
          <w:szCs w:val="21"/>
        </w:rPr>
      </w:pPr>
      <w:bookmarkStart w:id="0" w:name="_Toc325559036"/>
      <w:r>
        <w:rPr>
          <w:rFonts w:ascii="黑体" w:eastAsia="黑体" w:hint="eastAsia"/>
          <w:szCs w:val="21"/>
        </w:rPr>
        <w:t>项目编号：</w:t>
      </w:r>
    </w:p>
    <w:p w:rsidR="00014D42"/>
    <w:p w:rsidR="00014D42">
      <w:pPr>
        <w:rPr>
          <w:rFonts w:ascii="黑体" w:eastAsia="黑体"/>
          <w:b/>
          <w:sz w:val="44"/>
          <w:szCs w:val="28"/>
        </w:rPr>
      </w:pPr>
    </w:p>
    <w:p w:rsidR="00014D42">
      <w:pPr>
        <w:snapToGrid w:val="0"/>
        <w:spacing w:before="156" w:beforeLines="50" w:after="156" w:afterLines="50" w:line="300" w:lineRule="auto"/>
        <w:jc w:val="center"/>
        <w:rPr>
          <w:sz w:val="84"/>
          <w:szCs w:val="84"/>
        </w:rPr>
      </w:pPr>
      <w:r>
        <w:rPr>
          <w:rFonts w:ascii="黑体" w:eastAsia="黑体" w:hAnsi="黑体" w:cs="黑体" w:hint="eastAsia"/>
          <w:b/>
          <w:sz w:val="84"/>
          <w:szCs w:val="84"/>
        </w:rPr>
        <w:t>大型集团数据安全</w:t>
      </w:r>
    </w:p>
    <w:p w:rsidR="00014D42">
      <w:pPr>
        <w:snapToGrid w:val="0"/>
        <w:spacing w:before="156" w:beforeLines="50" w:after="156" w:afterLines="50" w:line="300" w:lineRule="auto"/>
        <w:jc w:val="center"/>
        <w:rPr>
          <w:rFonts w:ascii="宋体" w:hAnsi="宋体"/>
          <w:b/>
          <w:sz w:val="52"/>
          <w:szCs w:val="52"/>
        </w:rPr>
      </w:pPr>
    </w:p>
    <w:p w:rsidR="00014D42">
      <w:pPr>
        <w:snapToGrid w:val="0"/>
        <w:spacing w:before="156" w:beforeLines="50" w:after="156" w:afterLines="50" w:line="300" w:lineRule="auto"/>
        <w:ind w:firstLine="3840" w:firstLineChars="400"/>
        <w:rPr>
          <w:rFonts w:ascii="黑体" w:eastAsia="黑体" w:hAnsi="黑体"/>
          <w:sz w:val="96"/>
          <w:szCs w:val="96"/>
        </w:rPr>
      </w:pPr>
      <w:r>
        <w:rPr>
          <w:rFonts w:ascii="黑体" w:eastAsia="黑体" w:hAnsi="黑体" w:hint="eastAsia"/>
          <w:sz w:val="96"/>
          <w:szCs w:val="96"/>
        </w:rPr>
        <w:t>应</w:t>
      </w:r>
    </w:p>
    <w:p w:rsidR="00014D42">
      <w:pPr>
        <w:snapToGrid w:val="0"/>
        <w:spacing w:before="156" w:beforeLines="50" w:after="156" w:afterLines="50" w:line="300" w:lineRule="auto"/>
        <w:ind w:firstLine="3840" w:firstLineChars="400"/>
        <w:rPr>
          <w:rFonts w:ascii="黑体" w:eastAsia="黑体" w:hAnsi="黑体"/>
          <w:sz w:val="96"/>
          <w:szCs w:val="96"/>
        </w:rPr>
      </w:pPr>
      <w:r>
        <w:rPr>
          <w:rFonts w:ascii="黑体" w:eastAsia="黑体" w:hAnsi="黑体" w:hint="eastAsia"/>
          <w:sz w:val="96"/>
          <w:szCs w:val="96"/>
        </w:rPr>
        <w:t>急</w:t>
      </w:r>
    </w:p>
    <w:bookmarkEnd w:id="0"/>
    <w:p w:rsidR="00014D42">
      <w:pPr>
        <w:snapToGrid w:val="0"/>
        <w:spacing w:before="156" w:beforeLines="50" w:after="156" w:afterLines="50" w:line="300" w:lineRule="auto"/>
        <w:ind w:firstLine="3840" w:firstLineChars="400"/>
        <w:rPr>
          <w:rFonts w:ascii="黑体" w:eastAsia="黑体" w:hAnsi="黑体"/>
          <w:sz w:val="96"/>
          <w:szCs w:val="96"/>
        </w:rPr>
      </w:pPr>
      <w:r>
        <w:rPr>
          <w:rFonts w:ascii="黑体" w:eastAsia="黑体" w:hAnsi="黑体" w:hint="eastAsia"/>
          <w:sz w:val="96"/>
          <w:szCs w:val="96"/>
        </w:rPr>
        <w:t>预</w:t>
      </w:r>
    </w:p>
    <w:p w:rsidR="00014D42">
      <w:pPr>
        <w:spacing w:line="360" w:lineRule="auto"/>
        <w:ind w:left="-420" w:right="-430" w:leftChars="-200" w:rightChars="-205"/>
        <w:jc w:val="center"/>
        <w:rPr>
          <w:rFonts w:ascii="黑体" w:eastAsia="黑体" w:hAnsi="Abadi MT Condensed Light"/>
          <w:b/>
          <w:bCs/>
          <w:sz w:val="52"/>
          <w:szCs w:val="44"/>
        </w:rPr>
      </w:pPr>
      <w:r>
        <w:rPr>
          <w:rFonts w:ascii="黑体" w:eastAsia="黑体" w:hAnsi="黑体" w:hint="eastAsia"/>
          <w:sz w:val="96"/>
          <w:szCs w:val="96"/>
        </w:rPr>
        <w:t>案</w:t>
      </w:r>
    </w:p>
    <w:p w:rsidR="00014D42">
      <w:pPr>
        <w:spacing w:line="360" w:lineRule="auto"/>
        <w:jc w:val="center"/>
        <w:rPr>
          <w:rFonts w:ascii="宋体" w:hAnsi="宋体"/>
          <w:sz w:val="32"/>
          <w:szCs w:val="32"/>
        </w:rPr>
      </w:pPr>
    </w:p>
    <w:p w:rsidR="00014D42">
      <w:pPr>
        <w:spacing w:line="360" w:lineRule="auto"/>
        <w:jc w:val="center"/>
        <w:rPr>
          <w:b/>
          <w:sz w:val="24"/>
        </w:rPr>
      </w:pPr>
    </w:p>
    <w:p w:rsidR="00014D42">
      <w:pPr>
        <w:rPr>
          <w:b/>
          <w:sz w:val="24"/>
        </w:rPr>
      </w:pPr>
    </w:p>
    <w:p w:rsidR="00014D42">
      <w:pPr>
        <w:jc w:val="center"/>
        <w:rPr>
          <w:b/>
          <w:sz w:val="24"/>
        </w:rPr>
      </w:pPr>
    </w:p>
    <w:p w:rsidR="00014D42">
      <w:pPr>
        <w:jc w:val="center"/>
        <w:rPr>
          <w:b/>
          <w:sz w:val="24"/>
        </w:rPr>
      </w:pPr>
    </w:p>
    <w:p w:rsidR="00014D42">
      <w:pPr>
        <w:jc w:val="center"/>
        <w:rPr>
          <w:b/>
          <w:sz w:val="24"/>
        </w:rPr>
      </w:pPr>
    </w:p>
    <w:p w:rsidR="00014D42">
      <w:pPr>
        <w:jc w:val="center"/>
        <w:rPr>
          <w:b/>
          <w:sz w:val="24"/>
        </w:rPr>
      </w:pPr>
    </w:p>
    <w:p w:rsidR="00014D42">
      <w:pPr>
        <w:jc w:val="center"/>
        <w:rPr>
          <w:b/>
          <w:sz w:val="24"/>
        </w:rPr>
      </w:pPr>
    </w:p>
    <w:p w:rsidR="00014D42">
      <w:pPr>
        <w:jc w:val="center"/>
        <w:rPr>
          <w:b/>
          <w:sz w:val="24"/>
        </w:rPr>
        <w:sectPr>
          <w:headerReference w:type="default" r:id="rId6"/>
          <w:pgSz w:w="11906" w:h="16838"/>
          <w:pgMar w:top="1440" w:right="1558" w:bottom="1440" w:left="1800" w:header="851" w:footer="992" w:gutter="0"/>
          <w:cols w:space="425"/>
          <w:docGrid w:type="lines" w:linePitch="312"/>
        </w:sectPr>
      </w:pPr>
    </w:p>
    <w:p w:rsidR="00014D42">
      <w:pPr>
        <w:snapToGrid w:val="0"/>
        <w:spacing w:line="360" w:lineRule="auto"/>
        <w:rPr>
          <w:rFonts w:eastAsia="华文楷体"/>
          <w:b/>
          <w:sz w:val="28"/>
          <w:szCs w:val="28"/>
        </w:rPr>
      </w:pPr>
    </w:p>
    <w:p w:rsidR="00014D42">
      <w:pPr>
        <w:widowControl/>
        <w:spacing w:before="156" w:beforeLines="50" w:after="156" w:afterLines="50" w:line="360" w:lineRule="auto"/>
        <w:jc w:val="center"/>
        <w:rPr>
          <w:b/>
          <w:spacing w:val="40"/>
          <w:sz w:val="28"/>
          <w:szCs w:val="28"/>
        </w:rPr>
      </w:pPr>
      <w:r>
        <w:rPr>
          <w:rFonts w:hint="eastAsia"/>
          <w:b/>
          <w:spacing w:val="40"/>
          <w:sz w:val="28"/>
          <w:szCs w:val="28"/>
        </w:rPr>
        <w:t>文档信息</w:t>
      </w:r>
    </w:p>
    <w:tbl>
      <w:tblPr>
        <w:tblStyle w:val="100"/>
        <w:tblW w:w="0" w:type="auto"/>
        <w:tblBorders>
          <w:left w:val="single" w:sz="12" w:space="0" w:color="auto"/>
          <w:right w:val="single" w:sz="12" w:space="0" w:color="auto"/>
        </w:tblBorders>
        <w:tblLook w:val="04A0"/>
      </w:tblPr>
      <w:tblGrid>
        <w:gridCol w:w="2062"/>
        <w:gridCol w:w="2073"/>
        <w:gridCol w:w="2062"/>
        <w:gridCol w:w="2079"/>
      </w:tblGrid>
      <w:tr w:rsidTr="00014D42">
        <w:tblPrEx>
          <w:tblW w:w="0" w:type="auto"/>
          <w:tblBorders>
            <w:left w:val="single" w:sz="12" w:space="0" w:color="auto"/>
            <w:right w:val="single" w:sz="12" w:space="0" w:color="auto"/>
          </w:tblBorders>
          <w:tblLook w:val="04A0"/>
        </w:tblPrEx>
        <w:tc>
          <w:tcPr>
            <w:tcW w:w="2062" w:type="dxa"/>
            <w:tcBorders>
              <w:left w:val="single" w:sz="12" w:space="0" w:color="auto"/>
              <w:bottom w:val="single" w:sz="4" w:space="0" w:color="000000"/>
              <w:right w:val="single" w:sz="4" w:space="0" w:color="000000"/>
            </w:tcBorders>
            <w:shd w:val="clear" w:color="auto" w:fill="F2F2F2"/>
          </w:tcPr>
          <w:p w:rsidR="00014D42">
            <w:pPr>
              <w:widowControl/>
              <w:spacing w:line="360" w:lineRule="auto"/>
              <w:jc w:val="left"/>
              <w:rPr>
                <w:b w:val="0"/>
                <w:bCs w:val="0"/>
                <w:spacing w:val="40"/>
                <w:kern w:val="0"/>
                <w:sz w:val="24"/>
              </w:rPr>
            </w:pPr>
            <w:r>
              <w:rPr>
                <w:rFonts w:hint="eastAsia"/>
                <w:spacing w:val="40"/>
                <w:kern w:val="0"/>
                <w:sz w:val="24"/>
              </w:rPr>
              <w:t>文档名称</w:t>
            </w:r>
          </w:p>
        </w:tc>
        <w:tc>
          <w:tcPr>
            <w:tcW w:w="6214" w:type="dxa"/>
            <w:gridSpan w:val="3"/>
            <w:tcBorders>
              <w:left w:val="single" w:sz="4" w:space="0" w:color="000000"/>
              <w:bottom w:val="single" w:sz="4" w:space="0" w:color="000000"/>
              <w:right w:val="single" w:sz="12" w:space="0" w:color="auto"/>
            </w:tcBorders>
          </w:tcPr>
          <w:p w:rsidR="00014D42">
            <w:pPr>
              <w:widowControl/>
              <w:spacing w:line="360" w:lineRule="auto"/>
              <w:jc w:val="left"/>
              <w:rPr>
                <w:spacing w:val="40"/>
                <w:kern w:val="0"/>
                <w:sz w:val="24"/>
                <w:szCs w:val="21"/>
              </w:rPr>
            </w:pPr>
            <w:r>
              <w:rPr>
                <w:rFonts w:hint="eastAsia"/>
                <w:spacing w:val="40"/>
                <w:kern w:val="0"/>
                <w:sz w:val="24"/>
                <w:szCs w:val="21"/>
              </w:rPr>
              <w:t>XXX</w:t>
            </w:r>
            <w:r>
              <w:rPr>
                <w:rFonts w:hint="eastAsia"/>
                <w:spacing w:val="40"/>
                <w:kern w:val="0"/>
                <w:sz w:val="24"/>
                <w:szCs w:val="21"/>
              </w:rPr>
              <w:t>集团</w:t>
            </w:r>
            <w:r>
              <w:rPr>
                <w:rFonts w:hint="eastAsia"/>
                <w:spacing w:val="40"/>
                <w:kern w:val="0"/>
                <w:sz w:val="24"/>
                <w:szCs w:val="21"/>
              </w:rPr>
              <w:t>XXX</w:t>
            </w:r>
            <w:r>
              <w:rPr>
                <w:rFonts w:hint="eastAsia"/>
                <w:spacing w:val="40"/>
                <w:kern w:val="0"/>
                <w:sz w:val="24"/>
                <w:szCs w:val="21"/>
              </w:rPr>
              <w:t>有限公司数据安全应急预案</w:t>
            </w:r>
          </w:p>
        </w:tc>
      </w:tr>
      <w:tr w:rsidTr="00014D42">
        <w:tblPrEx>
          <w:tblW w:w="0" w:type="auto"/>
          <w:tblLook w:val="04A0"/>
        </w:tblPrEx>
        <w:tc>
          <w:tcPr>
            <w:tcW w:w="2062" w:type="dxa"/>
            <w:tcBorders>
              <w:top w:val="single" w:sz="4" w:space="0" w:color="000000"/>
              <w:left w:val="single" w:sz="12" w:space="0" w:color="auto"/>
              <w:bottom w:val="single" w:sz="4" w:space="0" w:color="000000"/>
              <w:right w:val="single" w:sz="4" w:space="0" w:color="000000"/>
            </w:tcBorders>
            <w:shd w:val="clear" w:color="auto" w:fill="F2F2F2"/>
          </w:tcPr>
          <w:p w:rsidR="00014D42">
            <w:pPr>
              <w:widowControl/>
              <w:spacing w:line="360" w:lineRule="auto"/>
              <w:jc w:val="left"/>
              <w:rPr>
                <w:b/>
                <w:bCs w:val="0"/>
                <w:spacing w:val="40"/>
                <w:kern w:val="0"/>
                <w:sz w:val="24"/>
              </w:rPr>
            </w:pPr>
            <w:r>
              <w:rPr>
                <w:rFonts w:hint="eastAsia"/>
                <w:b/>
                <w:spacing w:val="40"/>
                <w:kern w:val="0"/>
                <w:sz w:val="24"/>
              </w:rPr>
              <w:t>文档版本</w:t>
            </w:r>
          </w:p>
        </w:tc>
        <w:tc>
          <w:tcPr>
            <w:tcW w:w="2073" w:type="dxa"/>
            <w:tcBorders>
              <w:top w:val="single" w:sz="4" w:space="0" w:color="000000"/>
              <w:left w:val="single" w:sz="4" w:space="0" w:color="000000"/>
              <w:bottom w:val="single" w:sz="4" w:space="0" w:color="000000"/>
              <w:right w:val="single" w:sz="4" w:space="0" w:color="000000"/>
            </w:tcBorders>
          </w:tcPr>
          <w:p w:rsidR="00014D42">
            <w:pPr>
              <w:widowControl/>
              <w:spacing w:line="360" w:lineRule="auto"/>
              <w:jc w:val="left"/>
              <w:rPr>
                <w:spacing w:val="40"/>
                <w:kern w:val="0"/>
                <w:sz w:val="24"/>
                <w:szCs w:val="21"/>
              </w:rPr>
            </w:pPr>
            <w:sdt>
              <w:sdtPr>
                <w:rPr>
                  <w:spacing w:val="40"/>
                  <w:kern w:val="0"/>
                  <w:sz w:val="24"/>
                  <w:szCs w:val="21"/>
                </w:rPr>
                <w:alias w:val="版本"/>
                <w:tag w:val="版本"/>
                <w:id w:val="14530705"/>
                <w:showingPlcHdr/>
                <w:dataBinding w:prefixMappings="xmlns:ns0='http://purl.org/dc/elements/1.1/' xmlns:ns1='http://schemas.openxmlformats.org/package/2006/metadata/core-properties' " w:xpath="/ns1:coreProperties[1]/ns1:contentStatus[1]" w:storeItemID="{6C3C8BC8-F283-45AE-878A-BAB7291924A1}"/>
                <w:text/>
              </w:sdtPr>
              <w:sdtContent>
                <w:r w:rsidR="00DC144E">
                  <w:rPr>
                    <w:spacing w:val="40"/>
                    <w:kern w:val="0"/>
                    <w:sz w:val="24"/>
                    <w:szCs w:val="21"/>
                  </w:rPr>
                  <w:t xml:space="preserve">     </w:t>
                </w:r>
              </w:sdtContent>
            </w:sdt>
          </w:p>
        </w:tc>
        <w:tc>
          <w:tcPr>
            <w:tcW w:w="2062" w:type="dxa"/>
            <w:tcBorders>
              <w:top w:val="single" w:sz="4" w:space="0" w:color="000000"/>
              <w:left w:val="single" w:sz="4" w:space="0" w:color="000000"/>
              <w:bottom w:val="single" w:sz="4" w:space="0" w:color="000000"/>
              <w:right w:val="single" w:sz="4" w:space="0" w:color="000000"/>
            </w:tcBorders>
            <w:shd w:val="clear" w:color="auto" w:fill="F2F2F2"/>
          </w:tcPr>
          <w:p w:rsidR="00014D42">
            <w:pPr>
              <w:widowControl/>
              <w:spacing w:line="360" w:lineRule="auto"/>
              <w:jc w:val="left"/>
              <w:rPr>
                <w:b/>
                <w:spacing w:val="40"/>
                <w:kern w:val="0"/>
                <w:sz w:val="24"/>
                <w:szCs w:val="21"/>
              </w:rPr>
            </w:pPr>
            <w:r>
              <w:rPr>
                <w:rFonts w:hint="eastAsia"/>
                <w:b/>
                <w:spacing w:val="40"/>
                <w:kern w:val="0"/>
                <w:sz w:val="24"/>
                <w:szCs w:val="21"/>
              </w:rPr>
              <w:t>发布日期</w:t>
            </w:r>
          </w:p>
        </w:tc>
        <w:sdt>
          <w:sdtPr>
            <w:rPr>
              <w:rFonts w:ascii="Calibri" w:hAnsi="Calibri" w:cs="Calibri"/>
              <w:bCs/>
              <w:spacing w:val="40"/>
              <w:kern w:val="0"/>
              <w:sz w:val="24"/>
              <w:szCs w:val="21"/>
            </w:rPr>
            <w:alias w:val="发布日期"/>
            <w:id w:val="34485750"/>
            <w:showingPlcHdr/>
            <w:dataBinding w:prefixMappings="xmlns:ns0='http://schemas.microsoft.com/office/2006/coverPageProps' " w:xpath="/ns0:CoverPageProperties[1]/ns0:PublishDate[1]" w:storeItemID="{55AF091B-3C7A-41E3-B477-F2FDAA23CFDA}"/>
            <w:date>
              <w:dateFormat w:val="yyyy-MM-dd"/>
              <w:lid w:val="zh-CN"/>
              <w:storeMappedDataAs w:val="dateTime"/>
              <w:calendar w:val="gregorian"/>
            </w:date>
          </w:sdtPr>
          <w:sdtContent>
            <w:tc>
              <w:tcPr>
                <w:tcW w:w="2079" w:type="dxa"/>
                <w:tcBorders>
                  <w:top w:val="single" w:sz="4" w:space="0" w:color="000000"/>
                  <w:left w:val="single" w:sz="4" w:space="0" w:color="000000"/>
                  <w:bottom w:val="single" w:sz="4" w:space="0" w:color="000000"/>
                  <w:right w:val="single" w:sz="12" w:space="0" w:color="auto"/>
                </w:tcBorders>
              </w:tcPr>
              <w:p w:rsidR="00014D42">
                <w:pPr>
                  <w:widowControl/>
                  <w:spacing w:line="360" w:lineRule="auto"/>
                  <w:jc w:val="left"/>
                  <w:rPr>
                    <w:spacing w:val="40"/>
                    <w:kern w:val="0"/>
                    <w:sz w:val="24"/>
                    <w:szCs w:val="21"/>
                  </w:rPr>
                </w:pPr>
                <w:r>
                  <w:rPr>
                    <w:spacing w:val="40"/>
                    <w:kern w:val="0"/>
                    <w:sz w:val="24"/>
                    <w:szCs w:val="21"/>
                  </w:rPr>
                  <w:t xml:space="preserve">     </w:t>
                </w:r>
              </w:p>
            </w:tc>
          </w:sdtContent>
        </w:sdt>
      </w:tr>
      <w:tr w:rsidTr="00014D42">
        <w:tblPrEx>
          <w:tblW w:w="0" w:type="auto"/>
          <w:tblLook w:val="04A0"/>
        </w:tblPrEx>
        <w:tc>
          <w:tcPr>
            <w:tcW w:w="2062" w:type="dxa"/>
            <w:tcBorders>
              <w:top w:val="single" w:sz="4" w:space="0" w:color="000000"/>
              <w:left w:val="single" w:sz="12" w:space="0" w:color="auto"/>
              <w:bottom w:val="single" w:sz="4" w:space="0" w:color="000000"/>
              <w:right w:val="single" w:sz="4" w:space="0" w:color="000000"/>
            </w:tcBorders>
            <w:shd w:val="clear" w:color="auto" w:fill="F2F2F2"/>
          </w:tcPr>
          <w:p w:rsidR="00014D42">
            <w:pPr>
              <w:widowControl/>
              <w:spacing w:line="360" w:lineRule="auto"/>
              <w:jc w:val="left"/>
              <w:rPr>
                <w:b/>
                <w:bCs w:val="0"/>
                <w:spacing w:val="40"/>
                <w:kern w:val="0"/>
                <w:sz w:val="24"/>
              </w:rPr>
            </w:pPr>
            <w:r>
              <w:rPr>
                <w:rFonts w:hint="eastAsia"/>
                <w:b/>
                <w:spacing w:val="40"/>
                <w:kern w:val="0"/>
                <w:sz w:val="24"/>
              </w:rPr>
              <w:t>编写人</w:t>
            </w:r>
          </w:p>
        </w:tc>
        <w:tc>
          <w:tcPr>
            <w:tcW w:w="6214" w:type="dxa"/>
            <w:gridSpan w:val="3"/>
            <w:tcBorders>
              <w:top w:val="single" w:sz="4" w:space="0" w:color="000000"/>
              <w:left w:val="single" w:sz="4" w:space="0" w:color="000000"/>
              <w:bottom w:val="single" w:sz="4" w:space="0" w:color="000000"/>
              <w:right w:val="single" w:sz="12" w:space="0" w:color="auto"/>
            </w:tcBorders>
          </w:tcPr>
          <w:p w:rsidR="00014D42">
            <w:pPr>
              <w:widowControl/>
              <w:spacing w:line="360" w:lineRule="auto"/>
              <w:jc w:val="left"/>
              <w:rPr>
                <w:spacing w:val="40"/>
                <w:kern w:val="0"/>
                <w:sz w:val="24"/>
                <w:szCs w:val="21"/>
              </w:rPr>
            </w:pPr>
          </w:p>
        </w:tc>
      </w:tr>
      <w:tr w:rsidTr="00014D42">
        <w:tblPrEx>
          <w:tblW w:w="0" w:type="auto"/>
          <w:tblLook w:val="04A0"/>
        </w:tblPrEx>
        <w:trPr>
          <w:trHeight w:val="872"/>
        </w:trPr>
        <w:tc>
          <w:tcPr>
            <w:tcW w:w="2062" w:type="dxa"/>
            <w:tcBorders>
              <w:top w:val="single" w:sz="4" w:space="0" w:color="000000"/>
              <w:left w:val="single" w:sz="12" w:space="0" w:color="auto"/>
              <w:bottom w:val="single" w:sz="12" w:space="0" w:color="000000"/>
              <w:right w:val="single" w:sz="4" w:space="0" w:color="000000"/>
            </w:tcBorders>
            <w:shd w:val="clear" w:color="auto" w:fill="F2F2F2"/>
          </w:tcPr>
          <w:p w:rsidR="00014D42">
            <w:pPr>
              <w:widowControl/>
              <w:spacing w:line="360" w:lineRule="auto"/>
              <w:jc w:val="left"/>
              <w:rPr>
                <w:b/>
                <w:bCs w:val="0"/>
                <w:spacing w:val="40"/>
                <w:kern w:val="0"/>
                <w:sz w:val="24"/>
              </w:rPr>
            </w:pPr>
            <w:r>
              <w:rPr>
                <w:rFonts w:hint="eastAsia"/>
                <w:b/>
                <w:spacing w:val="40"/>
                <w:kern w:val="0"/>
                <w:sz w:val="24"/>
              </w:rPr>
              <w:t>文档摘要</w:t>
            </w:r>
          </w:p>
        </w:tc>
        <w:tc>
          <w:tcPr>
            <w:tcW w:w="6214" w:type="dxa"/>
            <w:gridSpan w:val="3"/>
            <w:tcBorders>
              <w:top w:val="single" w:sz="4" w:space="0" w:color="000000"/>
              <w:left w:val="single" w:sz="4" w:space="0" w:color="000000"/>
              <w:bottom w:val="single" w:sz="12" w:space="0" w:color="000000"/>
              <w:right w:val="single" w:sz="12" w:space="0" w:color="auto"/>
            </w:tcBorders>
          </w:tcPr>
          <w:p w:rsidR="00014D42">
            <w:pPr>
              <w:widowControl/>
              <w:spacing w:line="360" w:lineRule="auto"/>
              <w:jc w:val="left"/>
              <w:rPr>
                <w:spacing w:val="40"/>
                <w:kern w:val="0"/>
                <w:sz w:val="24"/>
                <w:szCs w:val="21"/>
              </w:rPr>
            </w:pPr>
          </w:p>
        </w:tc>
      </w:tr>
    </w:tbl>
    <w:p w:rsidR="00014D42">
      <w:pPr>
        <w:widowControl/>
        <w:spacing w:before="156" w:beforeLines="50" w:after="156" w:afterLines="50" w:line="360" w:lineRule="auto"/>
        <w:jc w:val="center"/>
        <w:rPr>
          <w:b/>
          <w:spacing w:val="40"/>
          <w:sz w:val="28"/>
          <w:szCs w:val="28"/>
        </w:rPr>
      </w:pPr>
      <w:r>
        <w:rPr>
          <w:rFonts w:hint="eastAsia"/>
          <w:b/>
          <w:spacing w:val="40"/>
          <w:sz w:val="28"/>
          <w:szCs w:val="28"/>
        </w:rPr>
        <w:t>修订记录</w:t>
      </w:r>
    </w:p>
    <w:tbl>
      <w:tblPr>
        <w:tblStyle w:val="100"/>
        <w:tblW w:w="5000" w:type="pct"/>
        <w:tblLook w:val="04A0"/>
      </w:tblPr>
      <w:tblGrid>
        <w:gridCol w:w="1733"/>
        <w:gridCol w:w="1734"/>
        <w:gridCol w:w="3870"/>
        <w:gridCol w:w="1427"/>
      </w:tblGrid>
      <w:tr w:rsidTr="00014D42">
        <w:tblPrEx>
          <w:tblW w:w="5000" w:type="pct"/>
          <w:tblLook w:val="04A0"/>
        </w:tblPrEx>
        <w:trPr>
          <w:tblHeader/>
        </w:trPr>
        <w:tc>
          <w:tcPr>
            <w:tcW w:w="989" w:type="pct"/>
            <w:tcBorders>
              <w:left w:val="single" w:sz="12" w:space="0" w:color="auto"/>
              <w:right w:val="single" w:sz="4" w:space="0" w:color="000000"/>
            </w:tcBorders>
            <w:shd w:val="clear" w:color="auto" w:fill="F2F2F2"/>
          </w:tcPr>
          <w:p w:rsidR="00014D42">
            <w:pPr>
              <w:spacing w:line="360" w:lineRule="auto"/>
              <w:rPr>
                <w:b w:val="0"/>
                <w:bCs w:val="0"/>
                <w:kern w:val="0"/>
                <w:sz w:val="24"/>
              </w:rPr>
            </w:pPr>
            <w:r>
              <w:rPr>
                <w:rFonts w:hint="eastAsia"/>
                <w:kern w:val="0"/>
                <w:sz w:val="24"/>
              </w:rPr>
              <w:t>日期</w:t>
            </w:r>
          </w:p>
        </w:tc>
        <w:tc>
          <w:tcPr>
            <w:tcW w:w="989" w:type="pct"/>
            <w:tcBorders>
              <w:right w:val="single" w:sz="4" w:space="0" w:color="000000"/>
            </w:tcBorders>
            <w:shd w:val="clear" w:color="auto" w:fill="F2F2F2"/>
          </w:tcPr>
          <w:p w:rsidR="00014D42">
            <w:pPr>
              <w:spacing w:line="360" w:lineRule="auto"/>
              <w:rPr>
                <w:b w:val="0"/>
                <w:bCs w:val="0"/>
                <w:kern w:val="0"/>
                <w:sz w:val="24"/>
              </w:rPr>
            </w:pPr>
            <w:r>
              <w:rPr>
                <w:rFonts w:hint="eastAsia"/>
                <w:kern w:val="0"/>
                <w:sz w:val="24"/>
              </w:rPr>
              <w:t>版本</w:t>
            </w:r>
          </w:p>
        </w:tc>
        <w:tc>
          <w:tcPr>
            <w:tcW w:w="2208" w:type="pct"/>
            <w:tcBorders>
              <w:right w:val="single" w:sz="4" w:space="0" w:color="000000"/>
            </w:tcBorders>
            <w:shd w:val="clear" w:color="auto" w:fill="F2F2F2"/>
          </w:tcPr>
          <w:p w:rsidR="00014D42">
            <w:pPr>
              <w:spacing w:line="360" w:lineRule="auto"/>
              <w:rPr>
                <w:b w:val="0"/>
                <w:bCs w:val="0"/>
                <w:kern w:val="0"/>
                <w:sz w:val="24"/>
              </w:rPr>
            </w:pPr>
            <w:r>
              <w:rPr>
                <w:rFonts w:hint="eastAsia"/>
                <w:kern w:val="0"/>
                <w:sz w:val="24"/>
              </w:rPr>
              <w:t>说明</w:t>
            </w:r>
          </w:p>
        </w:tc>
        <w:tc>
          <w:tcPr>
            <w:tcW w:w="814" w:type="pct"/>
            <w:tcBorders>
              <w:right w:val="single" w:sz="12" w:space="0" w:color="auto"/>
            </w:tcBorders>
            <w:shd w:val="clear" w:color="auto" w:fill="F2F2F2"/>
          </w:tcPr>
          <w:p w:rsidR="00014D42">
            <w:pPr>
              <w:spacing w:line="360" w:lineRule="auto"/>
              <w:rPr>
                <w:b w:val="0"/>
                <w:bCs w:val="0"/>
                <w:kern w:val="0"/>
                <w:sz w:val="24"/>
              </w:rPr>
            </w:pPr>
            <w:r>
              <w:rPr>
                <w:rFonts w:hint="eastAsia"/>
                <w:kern w:val="0"/>
                <w:sz w:val="24"/>
              </w:rPr>
              <w:t>修订人</w:t>
            </w: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jc w:val="left"/>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jc w:val="left"/>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jc w:val="left"/>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jc w:val="left"/>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jc w:val="left"/>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jc w:val="left"/>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jc w:val="left"/>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4"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4"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4"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4" w:space="0" w:color="000000"/>
              <w:right w:val="single" w:sz="12" w:space="0" w:color="auto"/>
            </w:tcBorders>
          </w:tcPr>
          <w:p w:rsidR="00014D42">
            <w:pPr>
              <w:spacing w:line="360" w:lineRule="auto"/>
              <w:jc w:val="left"/>
              <w:rPr>
                <w:kern w:val="0"/>
                <w:sz w:val="24"/>
                <w:szCs w:val="21"/>
              </w:rPr>
            </w:pPr>
          </w:p>
        </w:tc>
      </w:tr>
      <w:tr w:rsidTr="00014D42">
        <w:tblPrEx>
          <w:tblW w:w="5000" w:type="pct"/>
          <w:tblLook w:val="04A0"/>
        </w:tblPrEx>
        <w:tc>
          <w:tcPr>
            <w:tcW w:w="989" w:type="pct"/>
            <w:tcBorders>
              <w:top w:val="single" w:sz="4" w:space="0" w:color="000000"/>
              <w:left w:val="single" w:sz="12" w:space="0" w:color="auto"/>
              <w:bottom w:val="single" w:sz="12" w:space="0" w:color="000000"/>
              <w:right w:val="single" w:sz="4" w:space="0" w:color="000000"/>
            </w:tcBorders>
          </w:tcPr>
          <w:p w:rsidR="00014D42">
            <w:pPr>
              <w:spacing w:line="360" w:lineRule="auto"/>
              <w:jc w:val="center"/>
              <w:rPr>
                <w:kern w:val="0"/>
                <w:sz w:val="24"/>
                <w:szCs w:val="21"/>
              </w:rPr>
            </w:pPr>
          </w:p>
        </w:tc>
        <w:tc>
          <w:tcPr>
            <w:tcW w:w="989" w:type="pct"/>
            <w:tcBorders>
              <w:top w:val="single" w:sz="4" w:space="0" w:color="000000"/>
              <w:left w:val="single" w:sz="4" w:space="0" w:color="000000"/>
              <w:bottom w:val="single" w:sz="12" w:space="0" w:color="000000"/>
              <w:right w:val="single" w:sz="4" w:space="0" w:color="000000"/>
            </w:tcBorders>
          </w:tcPr>
          <w:p w:rsidR="00014D42">
            <w:pPr>
              <w:spacing w:line="360" w:lineRule="auto"/>
              <w:jc w:val="left"/>
              <w:rPr>
                <w:kern w:val="0"/>
                <w:sz w:val="24"/>
                <w:szCs w:val="21"/>
              </w:rPr>
            </w:pPr>
          </w:p>
        </w:tc>
        <w:tc>
          <w:tcPr>
            <w:tcW w:w="2208" w:type="pct"/>
            <w:tcBorders>
              <w:top w:val="single" w:sz="4" w:space="0" w:color="000000"/>
              <w:left w:val="single" w:sz="4" w:space="0" w:color="000000"/>
              <w:bottom w:val="single" w:sz="12" w:space="0" w:color="000000"/>
              <w:right w:val="single" w:sz="4" w:space="0" w:color="000000"/>
            </w:tcBorders>
          </w:tcPr>
          <w:p w:rsidR="00014D42">
            <w:pPr>
              <w:spacing w:line="360" w:lineRule="auto"/>
              <w:rPr>
                <w:kern w:val="0"/>
                <w:sz w:val="24"/>
                <w:szCs w:val="21"/>
              </w:rPr>
            </w:pPr>
          </w:p>
        </w:tc>
        <w:tc>
          <w:tcPr>
            <w:tcW w:w="814" w:type="pct"/>
            <w:tcBorders>
              <w:top w:val="single" w:sz="4" w:space="0" w:color="000000"/>
              <w:left w:val="single" w:sz="4" w:space="0" w:color="000000"/>
              <w:bottom w:val="single" w:sz="12" w:space="0" w:color="000000"/>
              <w:right w:val="single" w:sz="12" w:space="0" w:color="auto"/>
            </w:tcBorders>
          </w:tcPr>
          <w:p w:rsidR="00014D42">
            <w:pPr>
              <w:spacing w:line="360" w:lineRule="auto"/>
              <w:jc w:val="left"/>
              <w:rPr>
                <w:kern w:val="0"/>
                <w:sz w:val="24"/>
                <w:szCs w:val="21"/>
              </w:rPr>
            </w:pPr>
          </w:p>
        </w:tc>
      </w:tr>
    </w:tbl>
    <w:p w:rsidR="00014D42">
      <w:pPr>
        <w:spacing w:line="360" w:lineRule="auto"/>
        <w:rPr>
          <w:rFonts w:eastAsia="微软雅黑"/>
          <w:b/>
          <w:sz w:val="72"/>
          <w:szCs w:val="72"/>
        </w:rPr>
        <w:sectPr>
          <w:headerReference w:type="default" r:id="rId7"/>
          <w:type w:val="nextPage"/>
          <w:pgSz w:w="11906" w:h="16838"/>
          <w:pgMar w:top="1440" w:right="1558" w:bottom="1440" w:left="1800" w:header="851" w:footer="992" w:gutter="0"/>
          <w:pgNumType w:start="2"/>
          <w:cols w:space="425"/>
          <w:titlePg w:val="0"/>
          <w:docGrid w:type="lines" w:linePitch="312"/>
        </w:sectPr>
      </w:pPr>
    </w:p>
    <w:p w:rsidR="00014D42">
      <w:pPr>
        <w:adjustRightInd w:val="0"/>
        <w:snapToGrid w:val="0"/>
        <w:spacing w:line="360" w:lineRule="auto"/>
        <w:jc w:val="center"/>
        <w:rPr>
          <w:rFonts w:ascii="仿宋_GB2312" w:eastAsia="仿宋_GB2312"/>
          <w:b/>
          <w:sz w:val="30"/>
          <w:szCs w:val="28"/>
        </w:rPr>
      </w:pPr>
      <w:r>
        <w:rPr>
          <w:rFonts w:ascii="仿宋_GB2312" w:eastAsia="仿宋_GB2312" w:hint="eastAsia"/>
          <w:b/>
          <w:sz w:val="30"/>
          <w:szCs w:val="28"/>
        </w:rPr>
        <w:t>目录</w:t>
      </w:r>
      <w:bookmarkStart w:id="1" w:name="_Toc120410117"/>
      <w:bookmarkStart w:id="2" w:name="_Toc177405977"/>
    </w:p>
    <w:p w:rsidR="00014D42">
      <w:pPr>
        <w:pStyle w:val="TOC1"/>
        <w:rPr>
          <w:rFonts w:asciiTheme="minorHAnsi" w:eastAsiaTheme="minorEastAsia" w:hAnsiTheme="minorHAnsi" w:cstheme="minorBidi"/>
          <w:b w:val="0"/>
          <w:bCs w:val="0"/>
          <w:caps w:val="0"/>
          <w:sz w:val="21"/>
          <w:szCs w:val="22"/>
        </w:rPr>
      </w:pPr>
      <w:r>
        <w:rPr>
          <w:rStyle w:val="Hyperlink"/>
          <w:rFonts w:ascii="仿宋" w:eastAsia="仿宋" w:hAnsi="仿宋"/>
          <w:b w:val="0"/>
          <w:bCs w:val="0"/>
          <w:caps w:val="0"/>
          <w:sz w:val="24"/>
          <w:szCs w:val="24"/>
          <w:shd w:val="pct10" w:color="auto" w:fill="FFFFFF"/>
        </w:rPr>
        <w:fldChar w:fldCharType="begin"/>
      </w:r>
      <w:r>
        <w:rPr>
          <w:rStyle w:val="Hyperlink"/>
          <w:rFonts w:ascii="仿宋" w:eastAsia="仿宋" w:hAnsi="仿宋"/>
          <w:b w:val="0"/>
          <w:bCs w:val="0"/>
          <w:caps w:val="0"/>
          <w:sz w:val="24"/>
          <w:szCs w:val="24"/>
          <w:shd w:val="pct10" w:color="auto" w:fill="FFFFFF"/>
        </w:rPr>
        <w:instrText xml:space="preserve"> TOC \o "1-3" \h \z \u </w:instrText>
      </w:r>
      <w:r>
        <w:rPr>
          <w:rStyle w:val="Hyperlink"/>
          <w:rFonts w:ascii="仿宋" w:eastAsia="仿宋" w:hAnsi="仿宋"/>
          <w:b w:val="0"/>
          <w:bCs w:val="0"/>
          <w:caps w:val="0"/>
          <w:sz w:val="24"/>
          <w:szCs w:val="24"/>
          <w:shd w:val="pct10" w:color="auto" w:fill="FFFFFF"/>
        </w:rPr>
        <w:fldChar w:fldCharType="separate"/>
      </w:r>
      <w:hyperlink w:anchor="_Toc18941434" w:history="1">
        <w:r>
          <w:rPr>
            <w:rStyle w:val="Hyperlink"/>
            <w:rFonts w:ascii="黑体" w:hAnsi="黑体"/>
          </w:rPr>
          <w:t>1.</w:t>
        </w:r>
        <w:r>
          <w:rPr>
            <w:rStyle w:val="Hyperlink"/>
            <w:rFonts w:ascii="黑体" w:hAnsi="黑体"/>
          </w:rPr>
          <w:t>引言</w:t>
        </w:r>
        <w:r>
          <w:fldChar w:fldCharType="begin"/>
        </w:r>
        <w:r>
          <w:instrText xml:space="preserve"> PAGEREF _Toc18941434 \h </w:instrText>
        </w:r>
        <w:r>
          <w:fldChar w:fldCharType="separate"/>
        </w:r>
        <w:r>
          <w:t>4</w:t>
        </w:r>
        <w:r>
          <w:fldChar w:fldCharType="end"/>
        </w:r>
      </w:hyperlink>
    </w:p>
    <w:p w:rsidR="00014D42">
      <w:pPr>
        <w:pStyle w:val="TOC1"/>
        <w:rPr>
          <w:rFonts w:asciiTheme="minorHAnsi" w:eastAsiaTheme="minorEastAsia" w:hAnsiTheme="minorHAnsi" w:cstheme="minorBidi"/>
          <w:b w:val="0"/>
          <w:bCs w:val="0"/>
          <w:caps w:val="0"/>
          <w:sz w:val="21"/>
          <w:szCs w:val="22"/>
        </w:rPr>
      </w:pPr>
      <w:hyperlink w:anchor="_Toc18941435" w:history="1">
        <w:r>
          <w:rPr>
            <w:rStyle w:val="Hyperlink"/>
            <w:rFonts w:ascii="黑体" w:hAnsi="黑体"/>
          </w:rPr>
          <w:t>2.</w:t>
        </w:r>
        <w:r>
          <w:rPr>
            <w:rStyle w:val="Hyperlink"/>
            <w:rFonts w:ascii="黑体" w:hAnsi="黑体"/>
          </w:rPr>
          <w:t>总则</w:t>
        </w:r>
        <w:r>
          <w:fldChar w:fldCharType="begin"/>
        </w:r>
        <w:r>
          <w:instrText xml:space="preserve"> PAGEREF _Toc18941435 \h </w:instrText>
        </w:r>
        <w:r>
          <w:fldChar w:fldCharType="separate"/>
        </w:r>
        <w:r>
          <w:t>4</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36" w:history="1">
        <w:r>
          <w:rPr>
            <w:rStyle w:val="Hyperlink"/>
            <w:rFonts w:ascii="楷体_GB2312" w:eastAsia="楷体_GB2312"/>
          </w:rPr>
          <w:t>2.1</w:t>
        </w:r>
        <w:r>
          <w:rPr>
            <w:rStyle w:val="Hyperlink"/>
            <w:rFonts w:ascii="楷体_GB2312" w:eastAsia="楷体_GB2312"/>
          </w:rPr>
          <w:t>编写依据</w:t>
        </w:r>
        <w:r>
          <w:fldChar w:fldCharType="begin"/>
        </w:r>
        <w:r>
          <w:instrText xml:space="preserve"> PAGEREF _Toc18941436 \h </w:instrText>
        </w:r>
        <w:r>
          <w:fldChar w:fldCharType="separate"/>
        </w:r>
        <w:r>
          <w:t>4</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37" w:history="1">
        <w:r>
          <w:rPr>
            <w:rStyle w:val="Hyperlink"/>
            <w:rFonts w:ascii="楷体_GB2312" w:eastAsia="楷体_GB2312"/>
          </w:rPr>
          <w:t>2.2</w:t>
        </w:r>
        <w:r>
          <w:rPr>
            <w:rStyle w:val="Hyperlink"/>
            <w:rFonts w:ascii="楷体_GB2312" w:eastAsia="楷体_GB2312"/>
          </w:rPr>
          <w:t>适用范围</w:t>
        </w:r>
        <w:r>
          <w:fldChar w:fldCharType="begin"/>
        </w:r>
        <w:r>
          <w:instrText xml:space="preserve"> PAGEREF _Toc18941437</w:instrText>
        </w:r>
        <w:r>
          <w:instrText xml:space="preserve"> \h </w:instrText>
        </w:r>
        <w:r>
          <w:fldChar w:fldCharType="separate"/>
        </w:r>
        <w:r>
          <w:t>6</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38" w:history="1">
        <w:r>
          <w:rPr>
            <w:rStyle w:val="Hyperlink"/>
            <w:rFonts w:ascii="楷体_GB2312" w:eastAsia="楷体_GB2312"/>
          </w:rPr>
          <w:t>2.3</w:t>
        </w:r>
        <w:r>
          <w:rPr>
            <w:rStyle w:val="Hyperlink"/>
            <w:rFonts w:ascii="楷体_GB2312" w:eastAsia="楷体_GB2312"/>
          </w:rPr>
          <w:t>基本原则</w:t>
        </w:r>
        <w:r>
          <w:fldChar w:fldCharType="begin"/>
        </w:r>
        <w:r>
          <w:instrText xml:space="preserve"> PAGEREF _Toc18941438 \h </w:instrText>
        </w:r>
        <w:r>
          <w:fldChar w:fldCharType="separate"/>
        </w:r>
        <w:r>
          <w:t>6</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39" w:history="1">
        <w:r>
          <w:rPr>
            <w:rStyle w:val="Hyperlink"/>
            <w:rFonts w:ascii="楷体_GB2312" w:eastAsia="楷体_GB2312"/>
          </w:rPr>
          <w:t>2.4</w:t>
        </w:r>
        <w:r>
          <w:rPr>
            <w:rStyle w:val="Hyperlink"/>
            <w:rFonts w:ascii="楷体_GB2312" w:eastAsia="楷体_GB2312"/>
          </w:rPr>
          <w:t>发布与生效</w:t>
        </w:r>
        <w:r>
          <w:fldChar w:fldCharType="begin"/>
        </w:r>
        <w:r>
          <w:instrText xml:space="preserve"> PAGEREF _To</w:instrText>
        </w:r>
        <w:r>
          <w:instrText xml:space="preserve">c18941439 \h </w:instrText>
        </w:r>
        <w:r>
          <w:fldChar w:fldCharType="separate"/>
        </w:r>
        <w:r>
          <w:t>6</w:t>
        </w:r>
        <w:r>
          <w:fldChar w:fldCharType="end"/>
        </w:r>
      </w:hyperlink>
    </w:p>
    <w:p w:rsidR="00014D42">
      <w:pPr>
        <w:pStyle w:val="TOC1"/>
        <w:rPr>
          <w:rFonts w:asciiTheme="minorHAnsi" w:eastAsiaTheme="minorEastAsia" w:hAnsiTheme="minorHAnsi" w:cstheme="minorBidi"/>
          <w:b w:val="0"/>
          <w:bCs w:val="0"/>
          <w:caps w:val="0"/>
          <w:sz w:val="21"/>
          <w:szCs w:val="22"/>
        </w:rPr>
      </w:pPr>
      <w:hyperlink w:anchor="_Toc18941440" w:history="1">
        <w:r>
          <w:rPr>
            <w:rStyle w:val="Hyperlink"/>
            <w:rFonts w:ascii="黑体" w:hAnsi="黑体"/>
          </w:rPr>
          <w:t>3.</w:t>
        </w:r>
        <w:r>
          <w:rPr>
            <w:rStyle w:val="Hyperlink"/>
            <w:rFonts w:ascii="黑体" w:hAnsi="黑体"/>
          </w:rPr>
          <w:t>组织与职责</w:t>
        </w:r>
        <w:r>
          <w:fldChar w:fldCharType="begin"/>
        </w:r>
        <w:r>
          <w:instrText xml:space="preserve"> PAGEREF _Toc18941440 \h </w:instrText>
        </w:r>
        <w:r>
          <w:fldChar w:fldCharType="separate"/>
        </w:r>
        <w:r>
          <w:t>6</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41" w:history="1">
        <w:r>
          <w:rPr>
            <w:rStyle w:val="Hyperlink"/>
            <w:rFonts w:ascii="楷体_GB2312" w:eastAsia="楷体_GB2312"/>
          </w:rPr>
          <w:t>3.1</w:t>
        </w:r>
        <w:r>
          <w:rPr>
            <w:rStyle w:val="Hyperlink"/>
            <w:rFonts w:ascii="楷体_GB2312" w:eastAsia="楷体_GB2312"/>
          </w:rPr>
          <w:t>应急保障领导小</w:t>
        </w:r>
        <w:r>
          <w:rPr>
            <w:rStyle w:val="Hyperlink"/>
            <w:rFonts w:ascii="楷体_GB2312" w:eastAsia="楷体_GB2312"/>
          </w:rPr>
          <w:t>组</w:t>
        </w:r>
        <w:r>
          <w:fldChar w:fldCharType="begin"/>
        </w:r>
        <w:r>
          <w:instrText xml:space="preserve"> PAGEREF _Toc18941441 \h </w:instrText>
        </w:r>
        <w:r>
          <w:fldChar w:fldCharType="separate"/>
        </w:r>
        <w:r>
          <w:t>7</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42" w:history="1">
        <w:r>
          <w:rPr>
            <w:rStyle w:val="Hyperlink"/>
            <w:rFonts w:ascii="楷体_GB2312" w:eastAsia="楷体_GB2312"/>
          </w:rPr>
          <w:t>3.2</w:t>
        </w:r>
        <w:r>
          <w:rPr>
            <w:rStyle w:val="Hyperlink"/>
            <w:rFonts w:ascii="楷体_GB2312" w:eastAsia="楷体_GB2312"/>
          </w:rPr>
          <w:t>应急保障领导办公室</w:t>
        </w:r>
        <w:r>
          <w:fldChar w:fldCharType="begin"/>
        </w:r>
        <w:r>
          <w:instrText xml:space="preserve"> PAGEREF _Toc18941442 \h </w:instrText>
        </w:r>
        <w:r>
          <w:fldChar w:fldCharType="separate"/>
        </w:r>
        <w:r>
          <w:t>8</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43" w:history="1">
        <w:r>
          <w:rPr>
            <w:rStyle w:val="Hyperlink"/>
            <w:rFonts w:ascii="楷体_GB2312" w:eastAsia="楷体_GB2312"/>
          </w:rPr>
          <w:t>3.3</w:t>
        </w:r>
        <w:r>
          <w:rPr>
            <w:rStyle w:val="Hyperlink"/>
            <w:rFonts w:ascii="楷体_GB2312" w:eastAsia="楷体_GB2312"/>
          </w:rPr>
          <w:t>应急响应技术保障部门</w:t>
        </w:r>
        <w:r>
          <w:fldChar w:fldCharType="begin"/>
        </w:r>
        <w:r>
          <w:instrText xml:space="preserve"> PAGEREF _Toc18941443 \h </w:instrText>
        </w:r>
        <w:r>
          <w:fldChar w:fldCharType="separate"/>
        </w:r>
        <w:r>
          <w:t>9</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44" w:history="1">
        <w:r>
          <w:rPr>
            <w:rStyle w:val="Hyperlink"/>
            <w:rFonts w:ascii="楷体_GB2312" w:eastAsia="楷体_GB2312"/>
          </w:rPr>
          <w:t>3.4</w:t>
        </w:r>
        <w:r>
          <w:rPr>
            <w:rStyle w:val="Hyperlink"/>
            <w:rFonts w:ascii="楷体_GB2312" w:eastAsia="楷体_GB2312"/>
          </w:rPr>
          <w:t>应急响应实施小组</w:t>
        </w:r>
        <w:r>
          <w:fldChar w:fldCharType="begin"/>
        </w:r>
        <w:r>
          <w:instrText xml:space="preserve"> PAGEREF _Toc18941444 \h </w:instrText>
        </w:r>
        <w:r>
          <w:fldChar w:fldCharType="separate"/>
        </w:r>
        <w:r>
          <w:t>10</w:t>
        </w:r>
        <w:r>
          <w:fldChar w:fldCharType="end"/>
        </w:r>
      </w:hyperlink>
    </w:p>
    <w:p w:rsidR="00014D42">
      <w:pPr>
        <w:pStyle w:val="TOC1"/>
        <w:rPr>
          <w:rFonts w:asciiTheme="minorHAnsi" w:eastAsiaTheme="minorEastAsia" w:hAnsiTheme="minorHAnsi" w:cstheme="minorBidi"/>
          <w:b w:val="0"/>
          <w:bCs w:val="0"/>
          <w:caps w:val="0"/>
          <w:sz w:val="21"/>
          <w:szCs w:val="22"/>
        </w:rPr>
      </w:pPr>
      <w:hyperlink w:anchor="_Toc18941445" w:history="1">
        <w:r>
          <w:rPr>
            <w:rStyle w:val="Hyperlink"/>
            <w:rFonts w:ascii="黑体" w:hAnsi="黑体"/>
          </w:rPr>
          <w:t>4.</w:t>
        </w:r>
        <w:r>
          <w:rPr>
            <w:rStyle w:val="Hyperlink"/>
            <w:rFonts w:ascii="黑体" w:hAnsi="黑体"/>
          </w:rPr>
          <w:t>数据安全事件分级</w:t>
        </w:r>
        <w:r>
          <w:fldChar w:fldCharType="begin"/>
        </w:r>
        <w:r>
          <w:instrText xml:space="preserve"> PAGEREF _Toc18941445 \h </w:instrText>
        </w:r>
        <w:r>
          <w:fldChar w:fldCharType="separate"/>
        </w:r>
        <w:r>
          <w:t>10</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46" w:history="1">
        <w:r>
          <w:rPr>
            <w:rStyle w:val="Hyperlink"/>
            <w:rFonts w:ascii="楷体_GB2312" w:eastAsia="楷体_GB2312"/>
          </w:rPr>
          <w:t>4.1</w:t>
        </w:r>
        <w:r>
          <w:rPr>
            <w:rStyle w:val="Hyperlink"/>
            <w:rFonts w:ascii="楷体_GB2312" w:eastAsia="楷体_GB2312"/>
          </w:rPr>
          <w:t>特别重大数据安全事件（一级）</w:t>
        </w:r>
        <w:r>
          <w:fldChar w:fldCharType="begin"/>
        </w:r>
        <w:r>
          <w:instrText xml:space="preserve"> PAGERE</w:instrText>
        </w:r>
        <w:r>
          <w:instrText xml:space="preserve">F _Toc18941446 \h </w:instrText>
        </w:r>
        <w:r>
          <w:fldChar w:fldCharType="separate"/>
        </w:r>
        <w:r>
          <w:t>10</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47" w:history="1">
        <w:r>
          <w:rPr>
            <w:rStyle w:val="Hyperlink"/>
            <w:rFonts w:ascii="楷体_GB2312" w:eastAsia="楷体_GB2312"/>
          </w:rPr>
          <w:t>4.2</w:t>
        </w:r>
        <w:r>
          <w:rPr>
            <w:rStyle w:val="Hyperlink"/>
            <w:rFonts w:ascii="楷体_GB2312" w:eastAsia="楷体_GB2312"/>
          </w:rPr>
          <w:t>重大数据安全事件（二级）</w:t>
        </w:r>
        <w:r>
          <w:fldChar w:fldCharType="begin"/>
        </w:r>
        <w:r>
          <w:instrText xml:space="preserve"> PAGEREF _Toc18941447 \h </w:instrText>
        </w:r>
        <w:r>
          <w:fldChar w:fldCharType="separate"/>
        </w:r>
        <w:r>
          <w:t>11</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48" w:history="1">
        <w:r>
          <w:rPr>
            <w:rStyle w:val="Hyperlink"/>
            <w:rFonts w:ascii="楷体_GB2312" w:eastAsia="楷体_GB2312"/>
          </w:rPr>
          <w:t>4.3</w:t>
        </w:r>
        <w:r>
          <w:rPr>
            <w:rStyle w:val="Hyperlink"/>
            <w:rFonts w:ascii="楷体_GB2312" w:eastAsia="楷体_GB2312"/>
          </w:rPr>
          <w:t>较大数据安全事件（三级）</w:t>
        </w:r>
        <w:r>
          <w:fldChar w:fldCharType="begin"/>
        </w:r>
        <w:r>
          <w:instrText xml:space="preserve"> PAGEREF _Toc18941448 \h </w:instrText>
        </w:r>
        <w:r>
          <w:fldChar w:fldCharType="separate"/>
        </w:r>
        <w:r>
          <w:t>12</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49" w:history="1">
        <w:r>
          <w:rPr>
            <w:rStyle w:val="Hyperlink"/>
            <w:rFonts w:ascii="楷体_GB2312" w:eastAsia="楷体_GB2312"/>
          </w:rPr>
          <w:t>4.4</w:t>
        </w:r>
        <w:r>
          <w:rPr>
            <w:rStyle w:val="Hyperlink"/>
            <w:rFonts w:ascii="楷体_GB2312" w:eastAsia="楷体_GB2312"/>
          </w:rPr>
          <w:t>一般数据安全事件（四级）</w:t>
        </w:r>
        <w:r>
          <w:fldChar w:fldCharType="begin"/>
        </w:r>
        <w:r>
          <w:instrText xml:space="preserve"> PAGEREF _Toc18941449 \h </w:instrText>
        </w:r>
        <w:r>
          <w:fldChar w:fldCharType="separate"/>
        </w:r>
        <w:r>
          <w:t>13</w:t>
        </w:r>
        <w:r>
          <w:fldChar w:fldCharType="end"/>
        </w:r>
      </w:hyperlink>
    </w:p>
    <w:p w:rsidR="00014D42">
      <w:pPr>
        <w:pStyle w:val="TOC1"/>
        <w:rPr>
          <w:rFonts w:asciiTheme="minorHAnsi" w:eastAsiaTheme="minorEastAsia" w:hAnsiTheme="minorHAnsi" w:cstheme="minorBidi"/>
          <w:b w:val="0"/>
          <w:bCs w:val="0"/>
          <w:caps w:val="0"/>
          <w:sz w:val="21"/>
          <w:szCs w:val="22"/>
        </w:rPr>
      </w:pPr>
      <w:hyperlink w:anchor="_Toc18941450" w:history="1">
        <w:r>
          <w:rPr>
            <w:rStyle w:val="Hyperlink"/>
            <w:rFonts w:ascii="黑体" w:hAnsi="黑体"/>
          </w:rPr>
          <w:t>5.</w:t>
        </w:r>
        <w:r>
          <w:rPr>
            <w:rStyle w:val="Hyperlink"/>
            <w:rFonts w:ascii="黑体" w:hAnsi="黑体"/>
          </w:rPr>
          <w:t>应急预案的制订与演练</w:t>
        </w:r>
        <w:r>
          <w:fldChar w:fldCharType="begin"/>
        </w:r>
        <w:r>
          <w:instrText xml:space="preserve"> PAGEREF _Toc18941450 \h </w:instrText>
        </w:r>
        <w:r>
          <w:fldChar w:fldCharType="separate"/>
        </w:r>
        <w:r>
          <w:t>13</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51" w:history="1">
        <w:r>
          <w:rPr>
            <w:rStyle w:val="Hyperlink"/>
            <w:rFonts w:ascii="楷体_GB2312" w:eastAsia="楷体_GB2312"/>
          </w:rPr>
          <w:t>5.1</w:t>
        </w:r>
        <w:r>
          <w:rPr>
            <w:rStyle w:val="Hyperlink"/>
            <w:rFonts w:ascii="楷体_GB2312" w:eastAsia="楷体_GB2312"/>
          </w:rPr>
          <w:t>准备工作</w:t>
        </w:r>
        <w:r>
          <w:fldChar w:fldCharType="begin"/>
        </w:r>
        <w:r>
          <w:instrText xml:space="preserve"> PAGEREF _Toc18941451 \h </w:instrText>
        </w:r>
        <w:r>
          <w:fldChar w:fldCharType="separate"/>
        </w:r>
        <w:r>
          <w:t>14</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52" w:history="1">
        <w:r>
          <w:rPr>
            <w:rStyle w:val="Hyperlink"/>
            <w:rFonts w:ascii="仿宋_GB2312" w:eastAsia="仿宋_GB2312"/>
          </w:rPr>
          <w:t>5.1.1</w:t>
        </w:r>
        <w:r>
          <w:rPr>
            <w:rStyle w:val="Hyperlink"/>
            <w:rFonts w:ascii="仿宋_GB2312" w:eastAsia="仿宋_GB2312"/>
          </w:rPr>
          <w:t>设计原则</w:t>
        </w:r>
        <w:r>
          <w:fldChar w:fldCharType="begin"/>
        </w:r>
        <w:r>
          <w:instrText xml:space="preserve"> PAGEREF _Toc1894</w:instrText>
        </w:r>
        <w:r>
          <w:instrText xml:space="preserve">1452 \h </w:instrText>
        </w:r>
        <w:r>
          <w:fldChar w:fldCharType="separate"/>
        </w:r>
        <w:r>
          <w:t>14</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53" w:history="1">
        <w:r>
          <w:rPr>
            <w:rStyle w:val="Hyperlink"/>
            <w:rFonts w:ascii="仿宋_GB2312" w:eastAsia="仿宋_GB2312"/>
          </w:rPr>
          <w:t>5.1.2</w:t>
        </w:r>
        <w:r>
          <w:rPr>
            <w:rStyle w:val="Hyperlink"/>
            <w:rFonts w:ascii="仿宋_GB2312" w:eastAsia="仿宋_GB2312"/>
          </w:rPr>
          <w:t>策略内容建议</w:t>
        </w:r>
        <w:r>
          <w:fldChar w:fldCharType="begin"/>
        </w:r>
        <w:r>
          <w:instrText xml:space="preserve"> PAGEREF _Toc18941453 \h </w:instrText>
        </w:r>
        <w:r>
          <w:fldChar w:fldCharType="separate"/>
        </w:r>
        <w:r>
          <w:t>15</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54" w:history="1">
        <w:r>
          <w:rPr>
            <w:rStyle w:val="Hyperlink"/>
            <w:rFonts w:ascii="楷体_GB2312" w:eastAsia="楷体_GB2312"/>
          </w:rPr>
          <w:t>5.2</w:t>
        </w:r>
        <w:r>
          <w:rPr>
            <w:rStyle w:val="Hyperlink"/>
            <w:rFonts w:ascii="楷体_GB2312" w:eastAsia="楷体_GB2312"/>
          </w:rPr>
          <w:t>制定应急预</w:t>
        </w:r>
        <w:r>
          <w:rPr>
            <w:rStyle w:val="Hyperlink"/>
            <w:rFonts w:ascii="楷体_GB2312" w:eastAsia="楷体_GB2312"/>
          </w:rPr>
          <w:t>案</w:t>
        </w:r>
        <w:r>
          <w:fldChar w:fldCharType="begin"/>
        </w:r>
        <w:r>
          <w:instrText xml:space="preserve"> PAGEREF _Toc18941454 \h </w:instrText>
        </w:r>
        <w:r>
          <w:fldChar w:fldCharType="separate"/>
        </w:r>
        <w:r>
          <w:t>15</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55" w:history="1">
        <w:r>
          <w:rPr>
            <w:rStyle w:val="Hyperlink"/>
            <w:rFonts w:ascii="楷体_GB2312" w:eastAsia="楷体_GB2312"/>
          </w:rPr>
          <w:t>5.3</w:t>
        </w:r>
        <w:r>
          <w:rPr>
            <w:rStyle w:val="Hyperlink"/>
            <w:rFonts w:ascii="楷体_GB2312" w:eastAsia="楷体_GB2312"/>
          </w:rPr>
          <w:t>应急预案的管理与维护</w:t>
        </w:r>
        <w:r>
          <w:fldChar w:fldCharType="begin"/>
        </w:r>
        <w:r>
          <w:instrText xml:space="preserve"> PAGEREF _Toc18941455 \h </w:instrText>
        </w:r>
        <w:r>
          <w:fldChar w:fldCharType="separate"/>
        </w:r>
        <w:r>
          <w:t>16</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56" w:history="1">
        <w:r>
          <w:rPr>
            <w:rStyle w:val="Hyperlink"/>
            <w:rFonts w:ascii="楷体_GB2312" w:eastAsia="楷体_GB2312"/>
          </w:rPr>
          <w:t>5.4</w:t>
        </w:r>
        <w:r>
          <w:rPr>
            <w:rStyle w:val="Hyperlink"/>
            <w:rFonts w:ascii="楷体_GB2312" w:eastAsia="楷体_GB2312"/>
          </w:rPr>
          <w:t>应急预案的演练</w:t>
        </w:r>
        <w:r>
          <w:fldChar w:fldCharType="begin"/>
        </w:r>
        <w:r>
          <w:instrText xml:space="preserve"> PAGEREF _Toc18941456 \h </w:instrText>
        </w:r>
        <w:r>
          <w:fldChar w:fldCharType="separate"/>
        </w:r>
        <w:r>
          <w:t>17</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57" w:history="1">
        <w:r>
          <w:rPr>
            <w:rStyle w:val="Hyperlink"/>
            <w:rFonts w:ascii="楷体_GB2312" w:eastAsia="楷体_GB2312"/>
          </w:rPr>
          <w:t>5.5</w:t>
        </w:r>
        <w:r>
          <w:rPr>
            <w:rStyle w:val="Hyperlink"/>
            <w:rFonts w:ascii="楷体_GB2312" w:eastAsia="楷体_GB2312"/>
          </w:rPr>
          <w:t>应急教育和培训</w:t>
        </w:r>
        <w:r>
          <w:fldChar w:fldCharType="begin"/>
        </w:r>
        <w:r>
          <w:instrText xml:space="preserve"> PAGEREF _Toc18941457 \h </w:instrText>
        </w:r>
        <w:r>
          <w:fldChar w:fldCharType="separate"/>
        </w:r>
        <w:r>
          <w:t>18</w:t>
        </w:r>
        <w:r>
          <w:fldChar w:fldCharType="end"/>
        </w:r>
      </w:hyperlink>
    </w:p>
    <w:p w:rsidR="00014D42">
      <w:pPr>
        <w:pStyle w:val="TOC1"/>
        <w:rPr>
          <w:rFonts w:asciiTheme="minorHAnsi" w:eastAsiaTheme="minorEastAsia" w:hAnsiTheme="minorHAnsi" w:cstheme="minorBidi"/>
          <w:b w:val="0"/>
          <w:bCs w:val="0"/>
          <w:caps w:val="0"/>
          <w:sz w:val="21"/>
          <w:szCs w:val="22"/>
        </w:rPr>
      </w:pPr>
      <w:hyperlink w:anchor="_Toc18941458" w:history="1">
        <w:r>
          <w:rPr>
            <w:rStyle w:val="Hyperlink"/>
            <w:rFonts w:ascii="黑体" w:hAnsi="黑体"/>
          </w:rPr>
          <w:t>6.</w:t>
        </w:r>
        <w:r>
          <w:rPr>
            <w:rStyle w:val="Hyperlink"/>
            <w:rFonts w:ascii="黑体" w:hAnsi="黑体"/>
          </w:rPr>
          <w:t>应急响应实施</w:t>
        </w:r>
        <w:r>
          <w:fldChar w:fldCharType="begin"/>
        </w:r>
        <w:r>
          <w:instrText xml:space="preserve"> PAGEREF _Toc18941458 \h </w:instrText>
        </w:r>
        <w:r>
          <w:fldChar w:fldCharType="separate"/>
        </w:r>
        <w:r>
          <w:t>18</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59" w:history="1">
        <w:r>
          <w:rPr>
            <w:rStyle w:val="Hyperlink"/>
            <w:rFonts w:ascii="楷体_GB2312" w:eastAsia="楷体_GB2312"/>
          </w:rPr>
          <w:t>6.1</w:t>
        </w:r>
        <w:r>
          <w:rPr>
            <w:rStyle w:val="Hyperlink"/>
            <w:rFonts w:ascii="楷体_GB2312" w:eastAsia="楷体_GB2312"/>
          </w:rPr>
          <w:t>日常监测</w:t>
        </w:r>
        <w:r>
          <w:fldChar w:fldCharType="begin"/>
        </w:r>
        <w:r>
          <w:instrText xml:space="preserve"> PAGEREF _Toc18941459 \h </w:instrText>
        </w:r>
        <w:r>
          <w:fldChar w:fldCharType="separate"/>
        </w:r>
        <w:r>
          <w:t>19</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60" w:history="1">
        <w:r>
          <w:rPr>
            <w:rStyle w:val="Hyperlink"/>
            <w:rFonts w:ascii="楷体_GB2312" w:eastAsia="楷体_GB2312"/>
          </w:rPr>
          <w:t>6.2</w:t>
        </w:r>
        <w:r>
          <w:rPr>
            <w:rStyle w:val="Hyperlink"/>
            <w:rFonts w:ascii="楷体_GB2312" w:eastAsia="楷体_GB2312"/>
          </w:rPr>
          <w:t>事件监测</w:t>
        </w:r>
        <w:r>
          <w:fldChar w:fldCharType="begin"/>
        </w:r>
        <w:r>
          <w:instrText xml:space="preserve"> PAGEREF _Toc18941460 \h </w:instrText>
        </w:r>
        <w:r>
          <w:fldChar w:fldCharType="separate"/>
        </w:r>
        <w:r>
          <w:t>20</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61" w:history="1">
        <w:r>
          <w:rPr>
            <w:rStyle w:val="Hyperlink"/>
            <w:rFonts w:ascii="仿宋_GB2312" w:eastAsia="仿宋_GB2312"/>
          </w:rPr>
          <w:t>6.2.1</w:t>
        </w:r>
        <w:r>
          <w:rPr>
            <w:rStyle w:val="Hyperlink"/>
            <w:rFonts w:ascii="仿宋_GB2312" w:eastAsia="仿宋_GB2312"/>
          </w:rPr>
          <w:t>信息通报</w:t>
        </w:r>
        <w:r>
          <w:fldChar w:fldCharType="begin"/>
        </w:r>
        <w:r>
          <w:instrText xml:space="preserve"> PAGEREF _Toc18941461 \h </w:instrText>
        </w:r>
        <w:r>
          <w:fldChar w:fldCharType="separate"/>
        </w:r>
        <w:r>
          <w:t>20</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62" w:history="1">
        <w:r>
          <w:rPr>
            <w:rStyle w:val="Hyperlink"/>
            <w:rFonts w:ascii="仿宋_GB2312" w:eastAsia="仿宋_GB2312"/>
          </w:rPr>
          <w:t>6.2.2</w:t>
        </w:r>
        <w:r>
          <w:rPr>
            <w:rStyle w:val="Hyperlink"/>
            <w:rFonts w:ascii="仿宋_GB2312" w:eastAsia="仿宋_GB2312"/>
          </w:rPr>
          <w:t>信息上报</w:t>
        </w:r>
        <w:r>
          <w:fldChar w:fldCharType="begin"/>
        </w:r>
        <w:r>
          <w:instrText xml:space="preserve"> PAGEREF _Toc18941462 \h </w:instrText>
        </w:r>
        <w:r>
          <w:fldChar w:fldCharType="separate"/>
        </w:r>
        <w:r>
          <w:t>20</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63" w:history="1">
        <w:r>
          <w:rPr>
            <w:rStyle w:val="Hyperlink"/>
            <w:rFonts w:ascii="仿宋_GB2312" w:eastAsia="仿宋_GB2312"/>
          </w:rPr>
          <w:t>6.2.3</w:t>
        </w:r>
        <w:r>
          <w:rPr>
            <w:rStyle w:val="Hyperlink"/>
            <w:rFonts w:ascii="仿宋_GB2312" w:eastAsia="仿宋_GB2312"/>
          </w:rPr>
          <w:t>信息披露</w:t>
        </w:r>
        <w:r>
          <w:fldChar w:fldCharType="begin"/>
        </w:r>
        <w:r>
          <w:instrText xml:space="preserve"> PAGEREF _Toc18941463 \h </w:instrText>
        </w:r>
        <w:r>
          <w:fldChar w:fldCharType="separate"/>
        </w:r>
        <w:r>
          <w:t>20</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64" w:history="1">
        <w:r>
          <w:rPr>
            <w:rStyle w:val="Hyperlink"/>
            <w:rFonts w:ascii="楷体_GB2312" w:eastAsia="楷体_GB2312"/>
          </w:rPr>
          <w:t>6.3</w:t>
        </w:r>
        <w:r>
          <w:rPr>
            <w:rStyle w:val="Hyperlink"/>
            <w:rFonts w:ascii="楷体_GB2312" w:eastAsia="楷体_GB2312"/>
          </w:rPr>
          <w:t>预警分级</w:t>
        </w:r>
        <w:r>
          <w:fldChar w:fldCharType="begin"/>
        </w:r>
        <w:r>
          <w:instrText xml:space="preserve"> PAGEREF _Toc18941464 \h </w:instrText>
        </w:r>
        <w:r>
          <w:fldChar w:fldCharType="separate"/>
        </w:r>
        <w:r>
          <w:t>21</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65" w:history="1">
        <w:r>
          <w:rPr>
            <w:rStyle w:val="Hyperlink"/>
            <w:rFonts w:ascii="楷体_GB2312" w:eastAsia="楷体_GB2312"/>
          </w:rPr>
          <w:t>6.4</w:t>
        </w:r>
        <w:r>
          <w:rPr>
            <w:rStyle w:val="Hyperlink"/>
            <w:rFonts w:ascii="楷体_GB2312" w:eastAsia="楷体_GB2312"/>
          </w:rPr>
          <w:t>应急启动</w:t>
        </w:r>
        <w:r>
          <w:fldChar w:fldCharType="begin"/>
        </w:r>
        <w:r>
          <w:instrText xml:space="preserve"> PAGEREF _Toc18941465 \h </w:instrText>
        </w:r>
        <w:r>
          <w:fldChar w:fldCharType="separate"/>
        </w:r>
        <w:r>
          <w:t>21</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66" w:history="1">
        <w:r>
          <w:rPr>
            <w:rStyle w:val="Hyperlink"/>
            <w:rFonts w:ascii="楷体_GB2312" w:eastAsia="楷体_GB2312"/>
          </w:rPr>
          <w:t>6.5</w:t>
        </w:r>
        <w:r>
          <w:rPr>
            <w:rStyle w:val="Hyperlink"/>
            <w:rFonts w:ascii="楷体_GB2312" w:eastAsia="楷体_GB2312"/>
          </w:rPr>
          <w:t>应急处置</w:t>
        </w:r>
        <w:r>
          <w:fldChar w:fldCharType="begin"/>
        </w:r>
        <w:r>
          <w:instrText xml:space="preserve"> PAGEREF _Toc189414</w:instrText>
        </w:r>
        <w:r>
          <w:instrText xml:space="preserve">66 \h </w:instrText>
        </w:r>
        <w:r>
          <w:fldChar w:fldCharType="separate"/>
        </w:r>
        <w:r>
          <w:t>22</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67" w:history="1">
        <w:r>
          <w:rPr>
            <w:rStyle w:val="Hyperlink"/>
            <w:rFonts w:ascii="仿宋_GB2312" w:eastAsia="仿宋_GB2312"/>
          </w:rPr>
          <w:t>6.5.1</w:t>
        </w:r>
        <w:r>
          <w:rPr>
            <w:rStyle w:val="Hyperlink"/>
            <w:rFonts w:ascii="仿宋_GB2312" w:eastAsia="仿宋_GB2312"/>
          </w:rPr>
          <w:t>一级应急响应</w:t>
        </w:r>
        <w:r>
          <w:fldChar w:fldCharType="begin"/>
        </w:r>
        <w:r>
          <w:instrText xml:space="preserve"> PAGEREF _Toc18941467 \h </w:instrText>
        </w:r>
        <w:r>
          <w:fldChar w:fldCharType="separate"/>
        </w:r>
        <w:r>
          <w:t>22</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68" w:history="1">
        <w:r>
          <w:rPr>
            <w:rStyle w:val="Hyperlink"/>
            <w:rFonts w:ascii="仿宋_GB2312" w:eastAsia="仿宋_GB2312"/>
          </w:rPr>
          <w:t>6.5.2</w:t>
        </w:r>
        <w:r>
          <w:rPr>
            <w:rStyle w:val="Hyperlink"/>
            <w:rFonts w:ascii="仿宋_GB2312" w:eastAsia="仿宋_GB2312"/>
          </w:rPr>
          <w:t>二级应急响</w:t>
        </w:r>
        <w:r>
          <w:rPr>
            <w:rStyle w:val="Hyperlink"/>
            <w:rFonts w:ascii="仿宋_GB2312" w:eastAsia="仿宋_GB2312"/>
          </w:rPr>
          <w:t>应</w:t>
        </w:r>
        <w:r>
          <w:fldChar w:fldCharType="begin"/>
        </w:r>
        <w:r>
          <w:instrText xml:space="preserve"> PAGEREF _Toc18941468 \h </w:instrText>
        </w:r>
        <w:r>
          <w:fldChar w:fldCharType="separate"/>
        </w:r>
        <w:r>
          <w:t>22</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69" w:history="1">
        <w:r>
          <w:rPr>
            <w:rStyle w:val="Hyperlink"/>
            <w:rFonts w:ascii="仿宋_GB2312" w:eastAsia="仿宋_GB2312"/>
          </w:rPr>
          <w:t>6.5.3</w:t>
        </w:r>
        <w:r>
          <w:rPr>
            <w:rStyle w:val="Hyperlink"/>
            <w:rFonts w:ascii="仿宋_GB2312" w:eastAsia="仿宋_GB2312"/>
          </w:rPr>
          <w:t>三级、四级应急响应</w:t>
        </w:r>
        <w:r>
          <w:fldChar w:fldCharType="begin"/>
        </w:r>
        <w:r>
          <w:instrText xml:space="preserve"> PAGEREF _Toc18941469 \h </w:instrText>
        </w:r>
        <w:r>
          <w:fldChar w:fldCharType="separate"/>
        </w:r>
        <w:r>
          <w:t>23</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70" w:history="1">
        <w:r>
          <w:rPr>
            <w:rStyle w:val="Hyperlink"/>
            <w:rFonts w:ascii="楷体_GB2312" w:eastAsia="楷体_GB2312"/>
          </w:rPr>
          <w:t>6.6</w:t>
        </w:r>
        <w:r>
          <w:rPr>
            <w:rStyle w:val="Hyperlink"/>
            <w:rFonts w:ascii="楷体_GB2312" w:eastAsia="楷体_GB2312"/>
          </w:rPr>
          <w:t>媒体沟通</w:t>
        </w:r>
        <w:r>
          <w:fldChar w:fldCharType="begin"/>
        </w:r>
        <w:r>
          <w:instrText xml:space="preserve"> PAGEREF _Toc18941470 \h </w:instrText>
        </w:r>
        <w:r>
          <w:fldChar w:fldCharType="separate"/>
        </w:r>
        <w:r>
          <w:t>24</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sectPr>
          <w:headerReference w:type="default" r:id="rId8"/>
          <w:type w:val="nextPage"/>
          <w:pgSz w:w="11906" w:h="16838"/>
          <w:pgMar w:top="1440" w:right="1558" w:bottom="1440" w:left="1800" w:header="851" w:footer="992" w:gutter="0"/>
          <w:pgNumType w:start="3"/>
          <w:cols w:space="425"/>
          <w:titlePg w:val="0"/>
          <w:docGrid w:type="lines" w:linePitch="312"/>
        </w:sectPr>
      </w:pPr>
      <w:hyperlink w:anchor="_Toc18941471" w:history="1">
        <w:r>
          <w:rPr>
            <w:rStyle w:val="Hyperlink"/>
            <w:rFonts w:ascii="楷体_GB2312" w:eastAsia="楷体_GB2312"/>
          </w:rPr>
          <w:t>6.7</w:t>
        </w:r>
        <w:r>
          <w:rPr>
            <w:rStyle w:val="Hyperlink"/>
            <w:rFonts w:ascii="楷体_GB2312" w:eastAsia="楷体_GB2312"/>
          </w:rPr>
          <w:t>结束响应</w:t>
        </w:r>
        <w:r>
          <w:fldChar w:fldCharType="begin"/>
        </w:r>
        <w:r>
          <w:instrText xml:space="preserve"> PAGEREF _Toc18941471 \h </w:instrText>
        </w:r>
        <w:r>
          <w:fldChar w:fldCharType="separate"/>
        </w:r>
        <w:r>
          <w:t>24</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72" w:history="1">
        <w:r>
          <w:rPr>
            <w:rStyle w:val="Hyperlink"/>
            <w:rFonts w:ascii="楷体_GB2312" w:eastAsia="楷体_GB2312"/>
          </w:rPr>
          <w:t>6.8</w:t>
        </w:r>
        <w:r>
          <w:rPr>
            <w:rStyle w:val="Hyperlink"/>
            <w:rFonts w:ascii="楷体_GB2312" w:eastAsia="楷体_GB2312"/>
          </w:rPr>
          <w:t>应急响应总结</w:t>
        </w:r>
        <w:r>
          <w:fldChar w:fldCharType="begin"/>
        </w:r>
        <w:r>
          <w:instrText xml:space="preserve"> PAGEREF _Toc18941472 \h </w:instrText>
        </w:r>
        <w:r>
          <w:fldChar w:fldCharType="separate"/>
        </w:r>
        <w:r>
          <w:t>24</w:t>
        </w:r>
        <w:r>
          <w:fldChar w:fldCharType="end"/>
        </w:r>
      </w:hyperlink>
    </w:p>
    <w:p w:rsidR="00014D42">
      <w:pPr>
        <w:pStyle w:val="TOC1"/>
        <w:rPr>
          <w:rFonts w:asciiTheme="minorHAnsi" w:eastAsiaTheme="minorEastAsia" w:hAnsiTheme="minorHAnsi" w:cstheme="minorBidi"/>
          <w:b w:val="0"/>
          <w:bCs w:val="0"/>
          <w:caps w:val="0"/>
          <w:sz w:val="21"/>
          <w:szCs w:val="22"/>
        </w:rPr>
      </w:pPr>
      <w:hyperlink w:anchor="_Toc18941473" w:history="1">
        <w:r>
          <w:rPr>
            <w:rStyle w:val="Hyperlink"/>
            <w:rFonts w:ascii="黑体" w:hAnsi="黑体"/>
          </w:rPr>
          <w:t>7.</w:t>
        </w:r>
        <w:r>
          <w:rPr>
            <w:rStyle w:val="Hyperlink"/>
            <w:rFonts w:ascii="黑体" w:hAnsi="黑体"/>
          </w:rPr>
          <w:t>应急处理流程及措施</w:t>
        </w:r>
        <w:r>
          <w:fldChar w:fldCharType="begin"/>
        </w:r>
        <w:r>
          <w:instrText xml:space="preserve"> PAGEREF _Toc18941473 \h </w:instrText>
        </w:r>
        <w:r>
          <w:fldChar w:fldCharType="separate"/>
        </w:r>
        <w:r>
          <w:t>25</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74" w:history="1">
        <w:r>
          <w:rPr>
            <w:rStyle w:val="Hyperlink"/>
            <w:rFonts w:ascii="楷体_GB2312" w:eastAsia="楷体_GB2312"/>
          </w:rPr>
          <w:t>7.1</w:t>
        </w:r>
        <w:r>
          <w:rPr>
            <w:rStyle w:val="Hyperlink"/>
            <w:rFonts w:ascii="楷体_GB2312" w:eastAsia="楷体_GB2312"/>
          </w:rPr>
          <w:t>应急准备</w:t>
        </w:r>
        <w:r>
          <w:fldChar w:fldCharType="begin"/>
        </w:r>
        <w:r>
          <w:instrText xml:space="preserve"> PAGEREF _Toc18941474 \h </w:instrText>
        </w:r>
        <w:r>
          <w:fldChar w:fldCharType="separate"/>
        </w:r>
        <w:r>
          <w:t>26</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75" w:history="1">
        <w:r>
          <w:rPr>
            <w:rStyle w:val="Hyperlink"/>
            <w:rFonts w:ascii="楷体_GB2312" w:eastAsia="楷体_GB2312"/>
          </w:rPr>
          <w:t>7.2</w:t>
        </w:r>
        <w:r>
          <w:rPr>
            <w:rStyle w:val="Hyperlink"/>
            <w:rFonts w:ascii="楷体_GB2312" w:eastAsia="楷体_GB2312"/>
          </w:rPr>
          <w:t>网页内容篡改</w:t>
        </w:r>
        <w:r>
          <w:fldChar w:fldCharType="begin"/>
        </w:r>
        <w:r>
          <w:instrText xml:space="preserve"> PAGEREF _Toc18941475 \h </w:instrText>
        </w:r>
        <w:r>
          <w:fldChar w:fldCharType="separate"/>
        </w:r>
        <w:r>
          <w:t>26</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76" w:history="1">
        <w:r>
          <w:rPr>
            <w:rStyle w:val="Hyperlink"/>
            <w:rFonts w:ascii="仿宋_GB2312" w:eastAsia="仿宋_GB2312"/>
          </w:rPr>
          <w:t>7.2.1</w:t>
        </w:r>
        <w:r>
          <w:rPr>
            <w:rStyle w:val="Hyperlink"/>
            <w:rFonts w:ascii="仿宋_GB2312" w:eastAsia="仿宋_GB2312"/>
          </w:rPr>
          <w:t>应急流程</w:t>
        </w:r>
        <w:r>
          <w:fldChar w:fldCharType="begin"/>
        </w:r>
        <w:r>
          <w:instrText xml:space="preserve"> PAGEREF _Toc18941476 \h </w:instrText>
        </w:r>
        <w:r>
          <w:fldChar w:fldCharType="separate"/>
        </w:r>
        <w:r>
          <w:t>26</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77" w:history="1">
        <w:r>
          <w:rPr>
            <w:rStyle w:val="Hyperlink"/>
            <w:rFonts w:ascii="仿宋_GB2312" w:eastAsia="仿宋_GB2312"/>
          </w:rPr>
          <w:t>7.2.2</w:t>
        </w:r>
        <w:r>
          <w:rPr>
            <w:rStyle w:val="Hyperlink"/>
            <w:rFonts w:ascii="仿宋_GB2312" w:eastAsia="仿宋_GB2312"/>
          </w:rPr>
          <w:t>应急工具</w:t>
        </w:r>
        <w:r>
          <w:fldChar w:fldCharType="begin"/>
        </w:r>
        <w:r>
          <w:instrText xml:space="preserve"> PAGEREF _Toc18941477 \h </w:instrText>
        </w:r>
        <w:r>
          <w:fldChar w:fldCharType="separate"/>
        </w:r>
        <w:r>
          <w:t>27</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78" w:history="1">
        <w:r>
          <w:rPr>
            <w:rStyle w:val="Hyperlink"/>
            <w:rFonts w:ascii="仿宋_GB2312" w:eastAsia="仿宋_GB2312"/>
          </w:rPr>
          <w:t>7.2.3</w:t>
        </w:r>
        <w:r>
          <w:rPr>
            <w:rStyle w:val="Hyperlink"/>
            <w:rFonts w:ascii="仿宋_GB2312" w:eastAsia="仿宋_GB2312"/>
          </w:rPr>
          <w:t>应急步骤</w:t>
        </w:r>
        <w:r>
          <w:fldChar w:fldCharType="begin"/>
        </w:r>
        <w:r>
          <w:instrText xml:space="preserve"> PAGEREF _Toc18941478 \h </w:instrText>
        </w:r>
        <w:r>
          <w:fldChar w:fldCharType="separate"/>
        </w:r>
        <w:r>
          <w:t>27</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79" w:history="1">
        <w:r>
          <w:rPr>
            <w:rStyle w:val="Hyperlink"/>
            <w:rFonts w:ascii="楷体_GB2312" w:eastAsia="楷体_GB2312"/>
          </w:rPr>
          <w:t>7.3</w:t>
        </w:r>
        <w:r>
          <w:rPr>
            <w:rStyle w:val="Hyperlink"/>
            <w:rFonts w:ascii="楷体_GB2312" w:eastAsia="楷体_GB2312"/>
          </w:rPr>
          <w:t>非法入侵窃取数据</w:t>
        </w:r>
        <w:r>
          <w:fldChar w:fldCharType="begin"/>
        </w:r>
        <w:r>
          <w:instrText xml:space="preserve"> PAGEREF _Toc18941479 \h </w:instrText>
        </w:r>
        <w:r>
          <w:fldChar w:fldCharType="separate"/>
        </w:r>
        <w:r>
          <w:t>29</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80" w:history="1">
        <w:r>
          <w:rPr>
            <w:rStyle w:val="Hyperlink"/>
            <w:rFonts w:ascii="仿宋_GB2312" w:eastAsia="仿宋_GB2312"/>
          </w:rPr>
          <w:t>7.3.1</w:t>
        </w:r>
        <w:r>
          <w:rPr>
            <w:rStyle w:val="Hyperlink"/>
            <w:rFonts w:ascii="仿宋_GB2312" w:eastAsia="仿宋_GB2312"/>
          </w:rPr>
          <w:t>应急流程</w:t>
        </w:r>
        <w:r>
          <w:fldChar w:fldCharType="begin"/>
        </w:r>
        <w:r>
          <w:instrText xml:space="preserve"> PAGEREF _Toc18941480 \h </w:instrText>
        </w:r>
        <w:r>
          <w:fldChar w:fldCharType="separate"/>
        </w:r>
        <w:r>
          <w:t>29</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81" w:history="1">
        <w:r>
          <w:rPr>
            <w:rStyle w:val="Hyperlink"/>
            <w:rFonts w:ascii="仿宋_GB2312" w:eastAsia="仿宋_GB2312"/>
          </w:rPr>
          <w:t>7.3.2</w:t>
        </w:r>
        <w:r>
          <w:rPr>
            <w:rStyle w:val="Hyperlink"/>
            <w:rFonts w:ascii="仿宋_GB2312" w:eastAsia="仿宋_GB2312"/>
          </w:rPr>
          <w:t>应急工具</w:t>
        </w:r>
        <w:r>
          <w:fldChar w:fldCharType="begin"/>
        </w:r>
        <w:r>
          <w:instrText xml:space="preserve"> PAGEREF _Toc18</w:instrText>
        </w:r>
        <w:r>
          <w:instrText xml:space="preserve">941481 \h </w:instrText>
        </w:r>
        <w:r>
          <w:fldChar w:fldCharType="separate"/>
        </w:r>
        <w:r>
          <w:t>29</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82" w:history="1">
        <w:r>
          <w:rPr>
            <w:rStyle w:val="Hyperlink"/>
            <w:rFonts w:ascii="仿宋_GB2312" w:eastAsia="仿宋_GB2312"/>
          </w:rPr>
          <w:t>7.3.3</w:t>
        </w:r>
        <w:r>
          <w:rPr>
            <w:rStyle w:val="Hyperlink"/>
            <w:rFonts w:ascii="仿宋_GB2312" w:eastAsia="仿宋_GB2312"/>
          </w:rPr>
          <w:t>应急步骤</w:t>
        </w:r>
        <w:r>
          <w:fldChar w:fldCharType="begin"/>
        </w:r>
        <w:r>
          <w:instrText xml:space="preserve"> PAGEREF _Toc18941482 \h </w:instrText>
        </w:r>
        <w:r>
          <w:fldChar w:fldCharType="separate"/>
        </w:r>
        <w:r>
          <w:t>30</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83" w:history="1">
        <w:r>
          <w:rPr>
            <w:rStyle w:val="Hyperlink"/>
            <w:rFonts w:ascii="楷体_GB2312" w:eastAsia="楷体_GB2312"/>
          </w:rPr>
          <w:t>7.4</w:t>
        </w:r>
        <w:r>
          <w:rPr>
            <w:rStyle w:val="Hyperlink"/>
            <w:rFonts w:ascii="楷体_GB2312" w:eastAsia="楷体_GB2312"/>
          </w:rPr>
          <w:t>员工泄露敏</w:t>
        </w:r>
        <w:r>
          <w:rPr>
            <w:rStyle w:val="Hyperlink"/>
            <w:rFonts w:ascii="楷体_GB2312" w:eastAsia="楷体_GB2312"/>
          </w:rPr>
          <w:t>感数据</w:t>
        </w:r>
        <w:r>
          <w:fldChar w:fldCharType="begin"/>
        </w:r>
        <w:r>
          <w:instrText xml:space="preserve"> PAGEREF _Toc18941483 \h </w:instrText>
        </w:r>
        <w:r>
          <w:fldChar w:fldCharType="separate"/>
        </w:r>
        <w:r>
          <w:t>33</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84" w:history="1">
        <w:r>
          <w:rPr>
            <w:rStyle w:val="Hyperlink"/>
            <w:rFonts w:ascii="仿宋_GB2312" w:eastAsia="仿宋_GB2312"/>
          </w:rPr>
          <w:t>7.4.1</w:t>
        </w:r>
        <w:r>
          <w:rPr>
            <w:rStyle w:val="Hyperlink"/>
            <w:rFonts w:ascii="仿宋_GB2312" w:eastAsia="仿宋_GB2312"/>
          </w:rPr>
          <w:t>应急流程</w:t>
        </w:r>
        <w:r>
          <w:fldChar w:fldCharType="begin"/>
        </w:r>
        <w:r>
          <w:instrText xml:space="preserve"> PAGEREF _Toc18941484 \h </w:instrText>
        </w:r>
        <w:r>
          <w:fldChar w:fldCharType="separate"/>
        </w:r>
        <w:r>
          <w:t>34</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85" w:history="1">
        <w:r>
          <w:rPr>
            <w:rStyle w:val="Hyperlink"/>
            <w:rFonts w:ascii="仿宋_GB2312" w:eastAsia="仿宋_GB2312"/>
          </w:rPr>
          <w:t>7.4.2</w:t>
        </w:r>
        <w:r>
          <w:rPr>
            <w:rStyle w:val="Hyperlink"/>
            <w:rFonts w:ascii="仿宋_GB2312" w:eastAsia="仿宋_GB2312"/>
          </w:rPr>
          <w:t>应急工具</w:t>
        </w:r>
        <w:r>
          <w:fldChar w:fldCharType="begin"/>
        </w:r>
        <w:r>
          <w:instrText xml:space="preserve"> PAGEREF _Toc18941485 \h </w:instrText>
        </w:r>
        <w:r>
          <w:fldChar w:fldCharType="separate"/>
        </w:r>
        <w:r>
          <w:t>34</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86" w:history="1">
        <w:r>
          <w:rPr>
            <w:rStyle w:val="Hyperlink"/>
            <w:rFonts w:ascii="仿宋_GB2312" w:eastAsia="仿宋_GB2312"/>
          </w:rPr>
          <w:t>7.4.3</w:t>
        </w:r>
        <w:r>
          <w:rPr>
            <w:rStyle w:val="Hyperlink"/>
            <w:rFonts w:ascii="仿宋_GB2312" w:eastAsia="仿宋_GB2312"/>
          </w:rPr>
          <w:t>应急步骤</w:t>
        </w:r>
        <w:r>
          <w:fldChar w:fldCharType="begin"/>
        </w:r>
        <w:r>
          <w:instrText xml:space="preserve"> PAGEREF _Toc18941486 \h </w:instrText>
        </w:r>
        <w:r>
          <w:fldChar w:fldCharType="separate"/>
        </w:r>
        <w:r>
          <w:t>34</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87" w:history="1">
        <w:r>
          <w:rPr>
            <w:rStyle w:val="Hyperlink"/>
            <w:rFonts w:ascii="楷体_GB2312" w:eastAsia="楷体_GB2312"/>
          </w:rPr>
          <w:t>7.5</w:t>
        </w:r>
        <w:r>
          <w:rPr>
            <w:rStyle w:val="Hyperlink"/>
            <w:rFonts w:ascii="楷体_GB2312" w:eastAsia="楷体_GB2312"/>
          </w:rPr>
          <w:t>权限失控导致数据泄露</w:t>
        </w:r>
        <w:r>
          <w:fldChar w:fldCharType="begin"/>
        </w:r>
        <w:r>
          <w:instrText xml:space="preserve"> PAGEREF _Toc18941487 \h </w:instrText>
        </w:r>
        <w:r>
          <w:fldChar w:fldCharType="separate"/>
        </w:r>
        <w:r>
          <w:t>37</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88" w:history="1">
        <w:r>
          <w:rPr>
            <w:rStyle w:val="Hyperlink"/>
            <w:rFonts w:ascii="仿宋_GB2312" w:eastAsia="仿宋_GB2312"/>
          </w:rPr>
          <w:t>7.5.1</w:t>
        </w:r>
        <w:r>
          <w:rPr>
            <w:rStyle w:val="Hyperlink"/>
            <w:rFonts w:ascii="仿宋_GB2312" w:eastAsia="仿宋_GB2312"/>
          </w:rPr>
          <w:t>应急流程</w:t>
        </w:r>
        <w:r>
          <w:fldChar w:fldCharType="begin"/>
        </w:r>
        <w:r>
          <w:instrText xml:space="preserve"> PAGEREF _T</w:instrText>
        </w:r>
        <w:r>
          <w:instrText xml:space="preserve">oc18941488 \h </w:instrText>
        </w:r>
        <w:r>
          <w:fldChar w:fldCharType="separate"/>
        </w:r>
        <w:r>
          <w:t>37</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89" w:history="1">
        <w:r>
          <w:rPr>
            <w:rStyle w:val="Hyperlink"/>
            <w:rFonts w:ascii="仿宋_GB2312" w:eastAsia="仿宋_GB2312"/>
          </w:rPr>
          <w:t>7.5.2</w:t>
        </w:r>
        <w:r>
          <w:rPr>
            <w:rStyle w:val="Hyperlink"/>
            <w:rFonts w:ascii="仿宋_GB2312" w:eastAsia="仿宋_GB2312"/>
          </w:rPr>
          <w:t>应急工具</w:t>
        </w:r>
        <w:r>
          <w:fldChar w:fldCharType="begin"/>
        </w:r>
        <w:r>
          <w:instrText xml:space="preserve"> PAGEREF _Toc18941489 \h </w:instrText>
        </w:r>
        <w:r>
          <w:fldChar w:fldCharType="separate"/>
        </w:r>
        <w:r>
          <w:t>38</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90" w:history="1">
        <w:r>
          <w:rPr>
            <w:rStyle w:val="Hyperlink"/>
            <w:rFonts w:ascii="仿宋_GB2312" w:eastAsia="仿宋_GB2312"/>
          </w:rPr>
          <w:t>7.5.</w:t>
        </w:r>
        <w:r>
          <w:rPr>
            <w:rStyle w:val="Hyperlink"/>
            <w:rFonts w:ascii="仿宋_GB2312" w:eastAsia="仿宋_GB2312"/>
          </w:rPr>
          <w:t>3</w:t>
        </w:r>
        <w:r>
          <w:rPr>
            <w:rStyle w:val="Hyperlink"/>
            <w:rFonts w:ascii="仿宋_GB2312" w:eastAsia="仿宋_GB2312"/>
          </w:rPr>
          <w:t>应急步骤</w:t>
        </w:r>
        <w:r>
          <w:fldChar w:fldCharType="begin"/>
        </w:r>
        <w:r>
          <w:instrText xml:space="preserve"> PAGEREF _Toc18941490 \h </w:instrText>
        </w:r>
        <w:r>
          <w:fldChar w:fldCharType="separate"/>
        </w:r>
        <w:r>
          <w:t>38</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91" w:history="1">
        <w:r>
          <w:rPr>
            <w:rStyle w:val="Hyperlink"/>
            <w:rFonts w:ascii="楷体_GB2312" w:eastAsia="楷体_GB2312"/>
          </w:rPr>
          <w:t>7.6</w:t>
        </w:r>
        <w:r>
          <w:rPr>
            <w:rStyle w:val="Hyperlink"/>
            <w:rFonts w:ascii="楷体_GB2312" w:eastAsia="楷体_GB2312"/>
          </w:rPr>
          <w:t>数据维护及处置不当造成数据泄露</w:t>
        </w:r>
        <w:r>
          <w:fldChar w:fldCharType="begin"/>
        </w:r>
        <w:r>
          <w:instrText xml:space="preserve"> PAGEREF _Toc18941491 \h </w:instrText>
        </w:r>
        <w:r>
          <w:fldChar w:fldCharType="separate"/>
        </w:r>
        <w:r>
          <w:t>41</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92" w:history="1">
        <w:r>
          <w:rPr>
            <w:rStyle w:val="Hyperlink"/>
            <w:rFonts w:ascii="仿宋_GB2312" w:eastAsia="仿宋_GB2312"/>
          </w:rPr>
          <w:t>7.6.1</w:t>
        </w:r>
        <w:r>
          <w:rPr>
            <w:rStyle w:val="Hyperlink"/>
            <w:rFonts w:ascii="仿宋_GB2312" w:eastAsia="仿宋_GB2312"/>
          </w:rPr>
          <w:t>应急流程</w:t>
        </w:r>
        <w:r>
          <w:fldChar w:fldCharType="begin"/>
        </w:r>
        <w:r>
          <w:instrText xml:space="preserve"> PAGEREF _Toc18941492 \h </w:instrText>
        </w:r>
        <w:r>
          <w:fldChar w:fldCharType="separate"/>
        </w:r>
        <w:r>
          <w:t>41</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93" w:history="1">
        <w:r>
          <w:rPr>
            <w:rStyle w:val="Hyperlink"/>
            <w:rFonts w:ascii="仿宋_GB2312" w:eastAsia="仿宋_GB2312"/>
          </w:rPr>
          <w:t>7.6.2</w:t>
        </w:r>
        <w:r>
          <w:rPr>
            <w:rStyle w:val="Hyperlink"/>
            <w:rFonts w:ascii="仿宋_GB2312" w:eastAsia="仿宋_GB2312"/>
          </w:rPr>
          <w:t>应急工具</w:t>
        </w:r>
        <w:r>
          <w:fldChar w:fldCharType="begin"/>
        </w:r>
        <w:r>
          <w:instrText xml:space="preserve"> PAGEREF _Toc18941493 \h </w:instrText>
        </w:r>
        <w:r>
          <w:fldChar w:fldCharType="separate"/>
        </w:r>
        <w:r>
          <w:t>42</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94" w:history="1">
        <w:r>
          <w:rPr>
            <w:rStyle w:val="Hyperlink"/>
            <w:rFonts w:ascii="仿宋_GB2312" w:eastAsia="仿宋_GB2312"/>
          </w:rPr>
          <w:t>7.6.3</w:t>
        </w:r>
        <w:r>
          <w:rPr>
            <w:rStyle w:val="Hyperlink"/>
            <w:rFonts w:ascii="仿宋_GB2312" w:eastAsia="仿宋_GB2312"/>
          </w:rPr>
          <w:t>应急步骤</w:t>
        </w:r>
        <w:r>
          <w:fldChar w:fldCharType="begin"/>
        </w:r>
        <w:r>
          <w:instrText xml:space="preserve"> PAGEREF _Toc18941494 \h </w:instrText>
        </w:r>
        <w:r>
          <w:fldChar w:fldCharType="separate"/>
        </w:r>
        <w:r>
          <w:t>42</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495" w:history="1">
        <w:r>
          <w:rPr>
            <w:rStyle w:val="Hyperlink"/>
            <w:rFonts w:ascii="楷体_GB2312" w:eastAsia="楷体_GB2312"/>
          </w:rPr>
          <w:t>7.7</w:t>
        </w:r>
        <w:r>
          <w:rPr>
            <w:rStyle w:val="Hyperlink"/>
            <w:rFonts w:ascii="楷体_GB2312" w:eastAsia="楷体_GB2312"/>
          </w:rPr>
          <w:t>信息发布不规范造成数据泄露</w:t>
        </w:r>
        <w:r>
          <w:fldChar w:fldCharType="begin"/>
        </w:r>
        <w:r>
          <w:instrText xml:space="preserve"> PAGEREF _Toc18941495 \h </w:instrText>
        </w:r>
        <w:r>
          <w:fldChar w:fldCharType="separate"/>
        </w:r>
        <w:r>
          <w:t>44</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96" w:history="1">
        <w:r>
          <w:rPr>
            <w:rStyle w:val="Hyperlink"/>
            <w:rFonts w:ascii="仿宋_GB2312" w:eastAsia="仿宋_GB2312"/>
          </w:rPr>
          <w:t>7.7.1</w:t>
        </w:r>
        <w:r>
          <w:rPr>
            <w:rStyle w:val="Hyperlink"/>
            <w:rFonts w:ascii="仿宋_GB2312" w:eastAsia="仿宋_GB2312"/>
          </w:rPr>
          <w:t>应急流程</w:t>
        </w:r>
        <w:r>
          <w:fldChar w:fldCharType="begin"/>
        </w:r>
        <w:r>
          <w:instrText xml:space="preserve"> PAGEREF </w:instrText>
        </w:r>
        <w:r>
          <w:instrText xml:space="preserve">_Toc18941496 \h </w:instrText>
        </w:r>
        <w:r>
          <w:fldChar w:fldCharType="separate"/>
        </w:r>
        <w:r>
          <w:t>44</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97" w:history="1">
        <w:r>
          <w:rPr>
            <w:rStyle w:val="Hyperlink"/>
            <w:rFonts w:ascii="仿宋_GB2312" w:eastAsia="仿宋_GB2312"/>
          </w:rPr>
          <w:t>7.7.2</w:t>
        </w:r>
        <w:r>
          <w:rPr>
            <w:rStyle w:val="Hyperlink"/>
            <w:rFonts w:ascii="仿宋_GB2312" w:eastAsia="仿宋_GB2312"/>
          </w:rPr>
          <w:t>应急工具</w:t>
        </w:r>
        <w:r>
          <w:fldChar w:fldCharType="begin"/>
        </w:r>
        <w:r>
          <w:instrText xml:space="preserve"> PAGEREF _Toc18941497 \h </w:instrText>
        </w:r>
        <w:r>
          <w:fldChar w:fldCharType="separate"/>
        </w:r>
        <w:r>
          <w:t>44</w:t>
        </w:r>
        <w:r>
          <w:fldChar w:fldCharType="end"/>
        </w:r>
      </w:hyperlink>
    </w:p>
    <w:p w:rsidR="00014D42">
      <w:pPr>
        <w:pStyle w:val="TOC3"/>
        <w:tabs>
          <w:tab w:val="right" w:leader="dot" w:pos="8538"/>
        </w:tabs>
        <w:rPr>
          <w:rFonts w:asciiTheme="minorHAnsi" w:eastAsiaTheme="minorEastAsia" w:hAnsiTheme="minorHAnsi" w:cstheme="minorBidi"/>
          <w:i w:val="0"/>
          <w:iCs w:val="0"/>
          <w:sz w:val="21"/>
          <w:szCs w:val="22"/>
        </w:rPr>
      </w:pPr>
      <w:hyperlink w:anchor="_Toc18941498" w:history="1">
        <w:r>
          <w:rPr>
            <w:rStyle w:val="Hyperlink"/>
            <w:rFonts w:ascii="仿宋_GB2312" w:eastAsia="仿宋_GB2312"/>
          </w:rPr>
          <w:t>7.</w:t>
        </w:r>
        <w:r>
          <w:rPr>
            <w:rStyle w:val="Hyperlink"/>
            <w:rFonts w:ascii="仿宋_GB2312" w:eastAsia="仿宋_GB2312"/>
          </w:rPr>
          <w:t>7.3</w:t>
        </w:r>
        <w:r>
          <w:rPr>
            <w:rStyle w:val="Hyperlink"/>
            <w:rFonts w:ascii="仿宋_GB2312" w:eastAsia="仿宋_GB2312"/>
          </w:rPr>
          <w:t>应急步骤</w:t>
        </w:r>
        <w:r>
          <w:fldChar w:fldCharType="begin"/>
        </w:r>
        <w:r>
          <w:instrText xml:space="preserve"> PAGEREF _Toc18941498 \h </w:instrText>
        </w:r>
        <w:r>
          <w:fldChar w:fldCharType="separate"/>
        </w:r>
        <w:r>
          <w:t>45</w:t>
        </w:r>
        <w:r>
          <w:fldChar w:fldCharType="end"/>
        </w:r>
      </w:hyperlink>
    </w:p>
    <w:p w:rsidR="00014D42">
      <w:pPr>
        <w:pStyle w:val="TOC1"/>
        <w:rPr>
          <w:rFonts w:asciiTheme="minorHAnsi" w:eastAsiaTheme="minorEastAsia" w:hAnsiTheme="minorHAnsi" w:cstheme="minorBidi"/>
          <w:b w:val="0"/>
          <w:bCs w:val="0"/>
          <w:caps w:val="0"/>
          <w:sz w:val="21"/>
          <w:szCs w:val="22"/>
        </w:rPr>
      </w:pPr>
      <w:hyperlink w:anchor="_Toc18941499" w:history="1">
        <w:r>
          <w:rPr>
            <w:rStyle w:val="Hyperlink"/>
            <w:rFonts w:ascii="黑体" w:hAnsi="黑体"/>
          </w:rPr>
          <w:t>8.</w:t>
        </w:r>
        <w:r>
          <w:rPr>
            <w:rStyle w:val="Hyperlink"/>
            <w:rFonts w:ascii="黑体" w:hAnsi="黑体"/>
          </w:rPr>
          <w:t>应急保障</w:t>
        </w:r>
        <w:r>
          <w:fldChar w:fldCharType="begin"/>
        </w:r>
        <w:r>
          <w:instrText xml:space="preserve"> PAGEREF _Toc18941499 \h </w:instrText>
        </w:r>
        <w:r>
          <w:fldChar w:fldCharType="separate"/>
        </w:r>
        <w:r>
          <w:t>48</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500" w:history="1">
        <w:r>
          <w:rPr>
            <w:rStyle w:val="Hyperlink"/>
            <w:rFonts w:ascii="楷体_GB2312" w:eastAsia="楷体_GB2312"/>
          </w:rPr>
          <w:t>8.1</w:t>
        </w:r>
        <w:r>
          <w:rPr>
            <w:rStyle w:val="Hyperlink"/>
            <w:rFonts w:ascii="楷体_GB2312" w:eastAsia="楷体_GB2312"/>
          </w:rPr>
          <w:t>人力保障</w:t>
        </w:r>
        <w:r>
          <w:fldChar w:fldCharType="begin"/>
        </w:r>
        <w:r>
          <w:instrText xml:space="preserve"> PAGEREF _Toc18941500 \h </w:instrText>
        </w:r>
        <w:r>
          <w:fldChar w:fldCharType="separate"/>
        </w:r>
        <w:r>
          <w:t>48</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501" w:history="1">
        <w:r>
          <w:rPr>
            <w:rStyle w:val="Hyperlink"/>
            <w:rFonts w:ascii="楷体_GB2312" w:eastAsia="楷体_GB2312"/>
          </w:rPr>
          <w:t>8.2</w:t>
        </w:r>
        <w:r>
          <w:rPr>
            <w:rStyle w:val="Hyperlink"/>
            <w:rFonts w:ascii="楷体_GB2312" w:eastAsia="楷体_GB2312"/>
          </w:rPr>
          <w:t>技术保障</w:t>
        </w:r>
        <w:r>
          <w:fldChar w:fldCharType="begin"/>
        </w:r>
        <w:r>
          <w:instrText xml:space="preserve"> PAGEREF _Toc18941501 \h </w:instrText>
        </w:r>
        <w:r>
          <w:fldChar w:fldCharType="separate"/>
        </w:r>
        <w:r>
          <w:t>48</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502" w:history="1">
        <w:r>
          <w:rPr>
            <w:rStyle w:val="Hyperlink"/>
            <w:rFonts w:ascii="楷体_GB2312" w:eastAsia="楷体_GB2312"/>
          </w:rPr>
          <w:t>8.3</w:t>
        </w:r>
        <w:r>
          <w:rPr>
            <w:rStyle w:val="Hyperlink"/>
            <w:rFonts w:ascii="楷体_GB2312" w:eastAsia="楷体_GB2312"/>
          </w:rPr>
          <w:t>物质保障</w:t>
        </w:r>
        <w:r>
          <w:fldChar w:fldCharType="begin"/>
        </w:r>
        <w:r>
          <w:instrText xml:space="preserve"> PAGEREF _Toc18941502 \h </w:instrText>
        </w:r>
        <w:r>
          <w:fldChar w:fldCharType="separate"/>
        </w:r>
        <w:r>
          <w:t>48</w:t>
        </w:r>
        <w:r>
          <w:fldChar w:fldCharType="end"/>
        </w:r>
      </w:hyperlink>
    </w:p>
    <w:p w:rsidR="00014D42">
      <w:pPr>
        <w:pStyle w:val="TOC2"/>
        <w:tabs>
          <w:tab w:val="right" w:leader="dot" w:pos="8538"/>
        </w:tabs>
        <w:rPr>
          <w:rFonts w:asciiTheme="minorHAnsi" w:eastAsiaTheme="minorEastAsia" w:hAnsiTheme="minorHAnsi" w:cstheme="minorBidi"/>
          <w:smallCaps w:val="0"/>
          <w:sz w:val="21"/>
          <w:szCs w:val="22"/>
        </w:rPr>
      </w:pPr>
      <w:hyperlink w:anchor="_Toc18941503" w:history="1">
        <w:r>
          <w:rPr>
            <w:rStyle w:val="Hyperlink"/>
            <w:rFonts w:ascii="楷体_GB2312" w:eastAsia="楷体_GB2312"/>
          </w:rPr>
          <w:t>8.4</w:t>
        </w:r>
        <w:r>
          <w:rPr>
            <w:rStyle w:val="Hyperlink"/>
            <w:rFonts w:ascii="楷体_GB2312" w:eastAsia="楷体_GB2312"/>
          </w:rPr>
          <w:t>资金保障</w:t>
        </w:r>
        <w:r>
          <w:fldChar w:fldCharType="begin"/>
        </w:r>
        <w:r>
          <w:instrText xml:space="preserve"> PAGEREF _Toc189415</w:instrText>
        </w:r>
        <w:r>
          <w:instrText xml:space="preserve">03 \h </w:instrText>
        </w:r>
        <w:r>
          <w:fldChar w:fldCharType="separate"/>
        </w:r>
        <w:r>
          <w:t>49</w:t>
        </w:r>
        <w:r>
          <w:fldChar w:fldCharType="end"/>
        </w:r>
      </w:hyperlink>
    </w:p>
    <w:p w:rsidR="00014D42">
      <w:pPr>
        <w:pStyle w:val="TOC1"/>
        <w:rPr>
          <w:rFonts w:asciiTheme="minorHAnsi" w:eastAsiaTheme="minorEastAsia" w:hAnsiTheme="minorHAnsi" w:cstheme="minorBidi"/>
          <w:b w:val="0"/>
          <w:bCs w:val="0"/>
          <w:caps w:val="0"/>
          <w:sz w:val="21"/>
          <w:szCs w:val="22"/>
        </w:rPr>
      </w:pPr>
      <w:hyperlink w:anchor="_Toc18941504" w:history="1">
        <w:r>
          <w:rPr>
            <w:rStyle w:val="Hyperlink"/>
            <w:rFonts w:ascii="黑体" w:eastAsia="黑体"/>
            <w:kern w:val="44"/>
          </w:rPr>
          <w:t>附件</w:t>
        </w:r>
        <w:r>
          <w:rPr>
            <w:rStyle w:val="Hyperlink"/>
            <w:rFonts w:ascii="黑体" w:eastAsia="黑体"/>
            <w:kern w:val="44"/>
          </w:rPr>
          <w:t>1</w:t>
        </w:r>
        <w:r>
          <w:rPr>
            <w:rStyle w:val="Hyperlink"/>
            <w:rFonts w:ascii="黑体" w:eastAsia="黑体"/>
            <w:kern w:val="44"/>
          </w:rPr>
          <w:t>：数据安全事件记录表格</w:t>
        </w:r>
        <w:r>
          <w:fldChar w:fldCharType="begin"/>
        </w:r>
        <w:r>
          <w:instrText xml:space="preserve"> PAGEREF _Toc18941504 \h </w:instrText>
        </w:r>
        <w:r>
          <w:fldChar w:fldCharType="separate"/>
        </w:r>
        <w:r>
          <w:t>50</w:t>
        </w:r>
        <w:r>
          <w:fldChar w:fldCharType="end"/>
        </w:r>
      </w:hyperlink>
    </w:p>
    <w:p w:rsidR="00014D42">
      <w:pPr>
        <w:adjustRightInd w:val="0"/>
        <w:snapToGrid w:val="0"/>
        <w:spacing w:line="380" w:lineRule="exact"/>
        <w:rPr>
          <w:rStyle w:val="Hyperlink"/>
          <w:b/>
          <w:bCs/>
          <w:caps/>
          <w:sz w:val="24"/>
          <w:shd w:val="pct10" w:color="auto" w:fill="FFFFFF"/>
        </w:rPr>
        <w:sectPr>
          <w:headerReference w:type="default" r:id="rId9"/>
          <w:type w:val="nextPage"/>
          <w:pgSz w:w="11906" w:h="16838"/>
          <w:pgMar w:top="1440" w:right="1558" w:bottom="1440" w:left="1800" w:header="851" w:footer="992" w:gutter="0"/>
          <w:pgNumType w:start="4"/>
          <w:cols w:space="425"/>
          <w:titlePg w:val="0"/>
          <w:docGrid w:type="lines" w:linePitch="312"/>
        </w:sectPr>
      </w:pPr>
      <w:r>
        <w:rPr>
          <w:rStyle w:val="Hyperlink"/>
          <w:rFonts w:ascii="仿宋" w:eastAsia="仿宋" w:hAnsi="仿宋"/>
          <w:caps/>
          <w:sz w:val="24"/>
          <w:shd w:val="pct10" w:color="auto" w:fill="FFFFFF"/>
        </w:rPr>
        <w:fldChar w:fldCharType="end"/>
      </w:r>
    </w:p>
    <w:p w:rsidR="00014D42">
      <w:pPr>
        <w:pStyle w:val="Heading1"/>
        <w:numPr>
          <w:ilvl w:val="0"/>
          <w:numId w:val="0"/>
        </w:numPr>
        <w:spacing w:line="560" w:lineRule="exact"/>
        <w:rPr>
          <w:rFonts w:ascii="黑体" w:hAnsi="黑体"/>
          <w:b w:val="0"/>
          <w:bCs w:val="0"/>
          <w:lang w:eastAsia="zh-CN"/>
        </w:rPr>
      </w:pPr>
      <w:bookmarkStart w:id="3" w:name="_Toc18941434"/>
      <w:r>
        <w:rPr>
          <w:rFonts w:ascii="黑体" w:hAnsi="黑体" w:hint="eastAsia"/>
          <w:b w:val="0"/>
          <w:bCs w:val="0"/>
          <w:lang w:eastAsia="zh-CN"/>
        </w:rPr>
        <w:t>1</w:t>
      </w:r>
      <w:r>
        <w:rPr>
          <w:rFonts w:ascii="黑体" w:hAnsi="黑体"/>
          <w:b w:val="0"/>
          <w:bCs w:val="0"/>
          <w:lang w:eastAsia="zh-CN"/>
        </w:rPr>
        <w:t>.</w:t>
      </w:r>
      <w:r>
        <w:rPr>
          <w:rFonts w:ascii="黑体" w:hAnsi="黑体" w:hint="eastAsia"/>
          <w:b w:val="0"/>
          <w:bCs w:val="0"/>
          <w:lang w:eastAsia="zh-CN"/>
        </w:rPr>
        <w:t>引言</w:t>
      </w:r>
      <w:bookmarkEnd w:id="3"/>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为建立健全</w:t>
      </w:r>
      <w:r>
        <w:rPr>
          <w:rFonts w:ascii="仿宋_GB2312" w:eastAsia="仿宋_GB2312" w:hAnsi="宋体" w:hint="eastAsia"/>
          <w:sz w:val="30"/>
          <w:szCs w:val="30"/>
        </w:rPr>
        <w:t>XXXXXX</w:t>
      </w:r>
      <w:r>
        <w:rPr>
          <w:rFonts w:ascii="仿宋_GB2312" w:eastAsia="仿宋_GB2312" w:hAnsi="宋体" w:hint="eastAsia"/>
          <w:sz w:val="30"/>
          <w:szCs w:val="30"/>
        </w:rPr>
        <w:t>数据安全事件应急响应机制，提高应对数据安全事件的应急处置能力，预防和减少数据安全事件造成的损失和危害，全面提升公司的数据安全事件应急管理水平，促进大数据业务健康有序发展，保障公司数据资产安全和用户合法权益，满足上级单位要求企业建立数据安全应急响应制度的重点考核要求，特制定本预案。</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本预案作为</w:t>
      </w:r>
      <w:r>
        <w:rPr>
          <w:rFonts w:ascii="仿宋_GB2312" w:eastAsia="仿宋_GB2312" w:hAnsi="宋体" w:hint="eastAsia"/>
          <w:sz w:val="30"/>
          <w:szCs w:val="30"/>
        </w:rPr>
        <w:t>XXXXXX</w:t>
      </w:r>
      <w:r>
        <w:rPr>
          <w:rFonts w:ascii="仿宋_GB2312" w:eastAsia="仿宋_GB2312" w:hAnsi="宋体" w:hint="eastAsia"/>
          <w:sz w:val="30"/>
          <w:szCs w:val="30"/>
        </w:rPr>
        <w:t>数据安全事件应急处置流程规范，主要参照《</w:t>
      </w:r>
      <w:r>
        <w:rPr>
          <w:rFonts w:ascii="仿宋_GB2312" w:eastAsia="仿宋_GB2312" w:hAnsi="宋体" w:hint="eastAsia"/>
          <w:sz w:val="30"/>
          <w:szCs w:val="30"/>
        </w:rPr>
        <w:t>XXX</w:t>
      </w:r>
      <w:r>
        <w:rPr>
          <w:rFonts w:ascii="仿宋_GB2312" w:eastAsia="仿宋_GB2312" w:hAnsi="宋体" w:hint="eastAsia"/>
          <w:sz w:val="30"/>
          <w:szCs w:val="30"/>
        </w:rPr>
        <w:t>数据安全事件应急响应实施指南》、《</w:t>
      </w:r>
      <w:r>
        <w:rPr>
          <w:rFonts w:ascii="仿宋_GB2312" w:eastAsia="仿宋_GB2312" w:hAnsi="宋体" w:hint="eastAsia"/>
          <w:sz w:val="30"/>
          <w:szCs w:val="30"/>
        </w:rPr>
        <w:t>XXX</w:t>
      </w:r>
      <w:r>
        <w:rPr>
          <w:rFonts w:ascii="仿宋_GB2312" w:eastAsia="仿宋_GB2312" w:hAnsi="宋体" w:hint="eastAsia"/>
          <w:sz w:val="30"/>
          <w:szCs w:val="30"/>
        </w:rPr>
        <w:t>网络安全突发事件应急预案》、《</w:t>
      </w:r>
      <w:r>
        <w:rPr>
          <w:rFonts w:ascii="仿宋_GB2312" w:eastAsia="仿宋_GB2312" w:hAnsi="宋体" w:hint="eastAsia"/>
          <w:sz w:val="30"/>
          <w:szCs w:val="30"/>
        </w:rPr>
        <w:t>XXX</w:t>
      </w:r>
      <w:r>
        <w:rPr>
          <w:rFonts w:ascii="仿宋_GB2312" w:eastAsia="仿宋_GB2312" w:hAnsi="宋体" w:hint="eastAsia"/>
          <w:sz w:val="30"/>
          <w:szCs w:val="30"/>
        </w:rPr>
        <w:t>大数据安全管理要求》及《</w:t>
      </w:r>
      <w:r>
        <w:rPr>
          <w:rFonts w:ascii="仿宋_GB2312" w:eastAsia="仿宋_GB2312" w:hAnsi="宋体" w:hint="eastAsia"/>
          <w:sz w:val="30"/>
          <w:szCs w:val="30"/>
        </w:rPr>
        <w:t>XXX</w:t>
      </w:r>
      <w:r>
        <w:rPr>
          <w:rFonts w:ascii="仿宋_GB2312" w:eastAsia="仿宋_GB2312" w:hAnsi="宋体" w:hint="eastAsia"/>
          <w:sz w:val="30"/>
          <w:szCs w:val="30"/>
        </w:rPr>
        <w:t>大数据安全运营要求》中的应急响应相</w:t>
      </w:r>
      <w:r>
        <w:rPr>
          <w:rFonts w:ascii="仿宋_GB2312" w:eastAsia="仿宋_GB2312" w:hAnsi="宋体" w:hint="eastAsia"/>
          <w:sz w:val="30"/>
          <w:szCs w:val="30"/>
        </w:rPr>
        <w:t>关要求，提出相应的实施方法规范。预案内容主要包括应急响应的组织架构、数据安全事件的分级、应急预案的制订与演练、应急响应实施、事件处置及应急事例以及应急保障等。本预案主要为</w:t>
      </w:r>
      <w:r>
        <w:rPr>
          <w:rFonts w:ascii="仿宋_GB2312" w:eastAsia="仿宋_GB2312" w:hAnsi="宋体" w:hint="eastAsia"/>
          <w:sz w:val="30"/>
          <w:szCs w:val="30"/>
        </w:rPr>
        <w:t>XXXXXX</w:t>
      </w:r>
      <w:r>
        <w:rPr>
          <w:rFonts w:ascii="仿宋_GB2312" w:eastAsia="仿宋_GB2312" w:hAnsi="宋体" w:hint="eastAsia"/>
          <w:sz w:val="30"/>
          <w:szCs w:val="30"/>
        </w:rPr>
        <w:t>数据安全事件的安全防范、应急处置、应急报告等工作提供依据。</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本应急预案的解释权和修改权归</w:t>
      </w:r>
      <w:r>
        <w:rPr>
          <w:rFonts w:ascii="仿宋_GB2312" w:eastAsia="仿宋_GB2312" w:hAnsi="宋体" w:hint="eastAsia"/>
          <w:sz w:val="30"/>
          <w:szCs w:val="30"/>
        </w:rPr>
        <w:t>XXX</w:t>
      </w:r>
      <w:r>
        <w:rPr>
          <w:rFonts w:ascii="仿宋_GB2312" w:eastAsia="仿宋_GB2312" w:hAnsi="宋体" w:hint="eastAsia"/>
          <w:sz w:val="30"/>
          <w:szCs w:val="30"/>
        </w:rPr>
        <w:t>集团</w:t>
      </w:r>
      <w:r>
        <w:rPr>
          <w:rFonts w:ascii="仿宋_GB2312" w:eastAsia="仿宋_GB2312" w:hAnsi="宋体" w:hint="eastAsia"/>
          <w:sz w:val="30"/>
          <w:szCs w:val="30"/>
        </w:rPr>
        <w:t>XXX</w:t>
      </w:r>
      <w:r>
        <w:rPr>
          <w:rFonts w:ascii="仿宋_GB2312" w:eastAsia="仿宋_GB2312" w:hAnsi="宋体" w:hint="eastAsia"/>
          <w:sz w:val="30"/>
          <w:szCs w:val="30"/>
        </w:rPr>
        <w:t>有限公司信息安全管理部。</w:t>
      </w:r>
    </w:p>
    <w:p w:rsidR="00014D42">
      <w:pPr>
        <w:pStyle w:val="Heading1"/>
        <w:numPr>
          <w:ilvl w:val="0"/>
          <w:numId w:val="0"/>
        </w:numPr>
        <w:spacing w:line="560" w:lineRule="exact"/>
        <w:rPr>
          <w:rFonts w:ascii="黑体" w:hAnsi="黑体"/>
          <w:b w:val="0"/>
          <w:bCs w:val="0"/>
          <w:lang w:eastAsia="zh-CN"/>
        </w:rPr>
      </w:pPr>
      <w:bookmarkStart w:id="4" w:name="_Toc18941435"/>
      <w:r>
        <w:rPr>
          <w:rFonts w:ascii="黑体" w:hAnsi="黑体"/>
          <w:b w:val="0"/>
          <w:bCs w:val="0"/>
          <w:lang w:eastAsia="zh-CN"/>
        </w:rPr>
        <w:t>2.</w:t>
      </w:r>
      <w:r>
        <w:rPr>
          <w:rFonts w:ascii="黑体" w:hAnsi="黑体" w:hint="eastAsia"/>
          <w:b w:val="0"/>
          <w:bCs w:val="0"/>
          <w:lang w:eastAsia="zh-CN"/>
        </w:rPr>
        <w:t>总则</w:t>
      </w:r>
      <w:bookmarkEnd w:id="4"/>
    </w:p>
    <w:p w:rsidR="00014D42">
      <w:pPr>
        <w:pStyle w:val="Heading2"/>
        <w:numPr>
          <w:ilvl w:val="0"/>
          <w:numId w:val="0"/>
        </w:numPr>
        <w:spacing w:before="0" w:after="0" w:line="560" w:lineRule="exact"/>
        <w:rPr>
          <w:rFonts w:ascii="楷体_GB2312" w:eastAsia="楷体_GB2312"/>
          <w:b w:val="0"/>
          <w:bCs w:val="0"/>
        </w:rPr>
      </w:pPr>
      <w:bookmarkStart w:id="5" w:name="_Toc18941436"/>
      <w:bookmarkStart w:id="6" w:name="_Toc301704557"/>
      <w:bookmarkStart w:id="7" w:name="_Toc440546099"/>
      <w:bookmarkStart w:id="8" w:name="_Toc323219871"/>
      <w:bookmarkStart w:id="9" w:name="_Toc386120416"/>
      <w:bookmarkStart w:id="10" w:name="_Toc323219870"/>
      <w:bookmarkStart w:id="11" w:name="_Toc386120415"/>
      <w:bookmarkStart w:id="12" w:name="_Toc440546098"/>
      <w:r>
        <w:rPr>
          <w:rFonts w:ascii="楷体_GB2312" w:eastAsia="楷体_GB2312" w:hint="eastAsia"/>
          <w:b w:val="0"/>
          <w:bCs w:val="0"/>
        </w:rPr>
        <w:t>2.1</w:t>
      </w:r>
      <w:r>
        <w:rPr>
          <w:rFonts w:ascii="楷体_GB2312" w:eastAsia="楷体_GB2312" w:hint="eastAsia"/>
          <w:b w:val="0"/>
          <w:bCs w:val="0"/>
        </w:rPr>
        <w:t>编写依据</w:t>
      </w:r>
      <w:bookmarkEnd w:id="5"/>
      <w:bookmarkEnd w:id="6"/>
      <w:bookmarkEnd w:id="7"/>
      <w:bookmarkEnd w:id="8"/>
      <w:bookmarkEnd w:id="9"/>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本预案主要参照了以下国际规范制度及指南：</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《信息技术系统应急规划指南》，</w:t>
      </w:r>
      <w:r>
        <w:rPr>
          <w:rFonts w:ascii="仿宋_GB2312" w:eastAsia="仿宋_GB2312" w:hAnsi="宋体" w:hint="eastAsia"/>
          <w:sz w:val="30"/>
          <w:szCs w:val="30"/>
        </w:rPr>
        <w:t>NISTSP800-34</w:t>
      </w:r>
      <w:r>
        <w:rPr>
          <w:rFonts w:ascii="仿宋_GB2312" w:eastAsia="仿宋_GB2312" w:hAnsi="宋体" w:hint="eastAsia"/>
          <w:sz w:val="30"/>
          <w:szCs w:val="30"/>
        </w:rPr>
        <w:t>；</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《计算机安全事件处理指南》，</w:t>
      </w:r>
      <w:r>
        <w:rPr>
          <w:rFonts w:ascii="仿宋_GB2312" w:eastAsia="仿宋_GB2312" w:hAnsi="宋体" w:hint="eastAsia"/>
          <w:sz w:val="30"/>
          <w:szCs w:val="30"/>
        </w:rPr>
        <w:t>NISTSP800-61</w:t>
      </w:r>
      <w:r>
        <w:rPr>
          <w:rFonts w:ascii="仿宋_GB2312" w:eastAsia="仿宋_GB2312" w:hAnsi="宋体" w:hint="eastAsia"/>
          <w:sz w:val="30"/>
          <w:szCs w:val="30"/>
        </w:rPr>
        <w:t>；</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《网络安全事件恢复</w:t>
      </w:r>
      <w:r>
        <w:rPr>
          <w:rFonts w:ascii="仿宋_GB2312" w:eastAsia="仿宋_GB2312" w:hAnsi="宋体" w:hint="eastAsia"/>
          <w:sz w:val="30"/>
          <w:szCs w:val="30"/>
        </w:rPr>
        <w:t>指南》，</w:t>
      </w:r>
      <w:r>
        <w:rPr>
          <w:rFonts w:ascii="仿宋_GB2312" w:eastAsia="仿宋_GB2312" w:hAnsi="宋体" w:hint="eastAsia"/>
          <w:sz w:val="30"/>
          <w:szCs w:val="30"/>
        </w:rPr>
        <w:t>NISTSP800-184</w:t>
      </w:r>
      <w:r>
        <w:rPr>
          <w:rFonts w:ascii="仿宋_GB2312" w:eastAsia="仿宋_GB2312" w:hAnsi="宋体" w:hint="eastAsia"/>
          <w:sz w:val="30"/>
          <w:szCs w:val="30"/>
        </w:rPr>
        <w:t>。</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0"/>
          <w:type w:val="nextPage"/>
          <w:pgSz w:w="11906" w:h="16838"/>
          <w:pgMar w:top="1440" w:right="1558" w:bottom="1440" w:left="1800" w:header="851" w:footer="992" w:gutter="0"/>
          <w:pgNumType w:start="5"/>
          <w:cols w:space="425"/>
          <w:titlePg w:val="0"/>
          <w:docGrid w:type="lines" w:linePitch="312"/>
        </w:sectPr>
      </w:pPr>
      <w:r>
        <w:rPr>
          <w:rFonts w:ascii="仿宋_GB2312" w:eastAsia="仿宋_GB2312" w:hAnsi="宋体" w:hint="eastAsia"/>
          <w:sz w:val="30"/>
          <w:szCs w:val="30"/>
        </w:rPr>
        <w:t>本预案主要参照了以下国家规范制度及指南：</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《中华人民共和国网络安全法》，</w:t>
      </w:r>
      <w:r>
        <w:rPr>
          <w:rFonts w:ascii="仿宋_GB2312" w:eastAsia="仿宋_GB2312" w:hAnsi="宋体" w:hint="eastAsia"/>
          <w:sz w:val="30"/>
          <w:szCs w:val="30"/>
        </w:rPr>
        <w:t>2017</w:t>
      </w:r>
      <w:r>
        <w:rPr>
          <w:rFonts w:ascii="仿宋_GB2312" w:eastAsia="仿宋_GB2312" w:hAnsi="宋体" w:hint="eastAsia"/>
          <w:sz w:val="30"/>
          <w:szCs w:val="30"/>
        </w:rPr>
        <w:t>年</w:t>
      </w:r>
      <w:r>
        <w:rPr>
          <w:rFonts w:ascii="仿宋_GB2312" w:eastAsia="仿宋_GB2312" w:hAnsi="宋体" w:hint="eastAsia"/>
          <w:sz w:val="30"/>
          <w:szCs w:val="30"/>
        </w:rPr>
        <w:t>6</w:t>
      </w:r>
      <w:r>
        <w:rPr>
          <w:rFonts w:ascii="仿宋_GB2312" w:eastAsia="仿宋_GB2312" w:hAnsi="宋体" w:hint="eastAsia"/>
          <w:sz w:val="30"/>
          <w:szCs w:val="30"/>
        </w:rPr>
        <w:t>月</w:t>
      </w:r>
      <w:r>
        <w:rPr>
          <w:rFonts w:ascii="仿宋_GB2312" w:eastAsia="仿宋_GB2312" w:hAnsi="宋体" w:hint="eastAsia"/>
          <w:sz w:val="30"/>
          <w:szCs w:val="30"/>
        </w:rPr>
        <w:t>1</w:t>
      </w:r>
      <w:r>
        <w:rPr>
          <w:rFonts w:ascii="仿宋_GB2312" w:eastAsia="仿宋_GB2312" w:hAnsi="宋体" w:hint="eastAsia"/>
          <w:sz w:val="30"/>
          <w:szCs w:val="30"/>
        </w:rPr>
        <w:t>日起施行；</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《国家网络安全事件应急预案》，</w:t>
      </w:r>
      <w:r>
        <w:rPr>
          <w:rFonts w:ascii="仿宋_GB2312" w:eastAsia="仿宋_GB2312" w:hAnsi="宋体" w:hint="eastAsia"/>
          <w:sz w:val="30"/>
          <w:szCs w:val="30"/>
        </w:rPr>
        <w:t>2017</w:t>
      </w:r>
      <w:r>
        <w:rPr>
          <w:rFonts w:ascii="仿宋_GB2312" w:eastAsia="仿宋_GB2312" w:hAnsi="宋体" w:hint="eastAsia"/>
          <w:sz w:val="30"/>
          <w:szCs w:val="30"/>
        </w:rPr>
        <w:t>年</w:t>
      </w:r>
      <w:r>
        <w:rPr>
          <w:rFonts w:ascii="仿宋_GB2312" w:eastAsia="仿宋_GB2312" w:hAnsi="宋体" w:hint="eastAsia"/>
          <w:sz w:val="30"/>
          <w:szCs w:val="30"/>
        </w:rPr>
        <w:t>1</w:t>
      </w:r>
      <w:r>
        <w:rPr>
          <w:rFonts w:ascii="仿宋_GB2312" w:eastAsia="仿宋_GB2312" w:hAnsi="宋体" w:hint="eastAsia"/>
          <w:sz w:val="30"/>
          <w:szCs w:val="30"/>
        </w:rPr>
        <w:t>月</w:t>
      </w:r>
      <w:r>
        <w:rPr>
          <w:rFonts w:ascii="仿宋_GB2312" w:eastAsia="仿宋_GB2312" w:hAnsi="宋体" w:hint="eastAsia"/>
          <w:sz w:val="30"/>
          <w:szCs w:val="30"/>
        </w:rPr>
        <w:t>10</w:t>
      </w:r>
      <w:r>
        <w:rPr>
          <w:rFonts w:ascii="仿宋_GB2312" w:eastAsia="仿宋_GB2312" w:hAnsi="宋体" w:hint="eastAsia"/>
          <w:sz w:val="30"/>
          <w:szCs w:val="30"/>
        </w:rPr>
        <w:t>日起施行；</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《公共互联网网络安全突发事件应急预案》，</w:t>
      </w:r>
      <w:r>
        <w:rPr>
          <w:rFonts w:ascii="仿宋_GB2312" w:eastAsia="仿宋_GB2312" w:hAnsi="宋体" w:hint="eastAsia"/>
          <w:sz w:val="30"/>
          <w:szCs w:val="30"/>
        </w:rPr>
        <w:t>2017</w:t>
      </w:r>
      <w:r>
        <w:rPr>
          <w:rFonts w:ascii="仿宋_GB2312" w:eastAsia="仿宋_GB2312" w:hAnsi="宋体" w:hint="eastAsia"/>
          <w:sz w:val="30"/>
          <w:szCs w:val="30"/>
        </w:rPr>
        <w:t>年</w:t>
      </w:r>
      <w:r>
        <w:rPr>
          <w:rFonts w:ascii="仿宋_GB2312" w:eastAsia="仿宋_GB2312" w:hAnsi="宋体" w:hint="eastAsia"/>
          <w:sz w:val="30"/>
          <w:szCs w:val="30"/>
        </w:rPr>
        <w:t>11</w:t>
      </w:r>
      <w:r>
        <w:rPr>
          <w:rFonts w:ascii="仿宋_GB2312" w:eastAsia="仿宋_GB2312" w:hAnsi="宋体" w:hint="eastAsia"/>
          <w:sz w:val="30"/>
          <w:szCs w:val="30"/>
        </w:rPr>
        <w:t>月</w:t>
      </w:r>
      <w:r>
        <w:rPr>
          <w:rFonts w:ascii="仿宋_GB2312" w:eastAsia="仿宋_GB2312" w:hAnsi="宋体" w:hint="eastAsia"/>
          <w:sz w:val="30"/>
          <w:szCs w:val="30"/>
        </w:rPr>
        <w:t>14</w:t>
      </w:r>
      <w:r>
        <w:rPr>
          <w:rFonts w:ascii="仿宋_GB2312" w:eastAsia="仿宋_GB2312" w:hAnsi="宋体" w:hint="eastAsia"/>
          <w:sz w:val="30"/>
          <w:szCs w:val="30"/>
        </w:rPr>
        <w:t>日起施行；</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《国家突发公共事件总体应急预案》，</w:t>
      </w:r>
      <w:r>
        <w:rPr>
          <w:rFonts w:ascii="仿宋_GB2312" w:eastAsia="仿宋_GB2312" w:hAnsi="宋体" w:hint="eastAsia"/>
          <w:sz w:val="30"/>
          <w:szCs w:val="30"/>
        </w:rPr>
        <w:t>2006</w:t>
      </w:r>
      <w:r>
        <w:rPr>
          <w:rFonts w:ascii="仿宋_GB2312" w:eastAsia="仿宋_GB2312" w:hAnsi="宋体" w:hint="eastAsia"/>
          <w:sz w:val="30"/>
          <w:szCs w:val="30"/>
        </w:rPr>
        <w:t>年</w:t>
      </w:r>
      <w:r>
        <w:rPr>
          <w:rFonts w:ascii="仿宋_GB2312" w:eastAsia="仿宋_GB2312" w:hAnsi="宋体" w:hint="eastAsia"/>
          <w:sz w:val="30"/>
          <w:szCs w:val="30"/>
        </w:rPr>
        <w:t>1</w:t>
      </w:r>
      <w:r>
        <w:rPr>
          <w:rFonts w:ascii="仿宋_GB2312" w:eastAsia="仿宋_GB2312" w:hAnsi="宋体" w:hint="eastAsia"/>
          <w:sz w:val="30"/>
          <w:szCs w:val="30"/>
        </w:rPr>
        <w:t>月</w:t>
      </w:r>
      <w:r>
        <w:rPr>
          <w:rFonts w:ascii="仿宋_GB2312" w:eastAsia="仿宋_GB2312" w:hAnsi="宋体" w:hint="eastAsia"/>
          <w:sz w:val="30"/>
          <w:szCs w:val="30"/>
        </w:rPr>
        <w:t>8</w:t>
      </w:r>
      <w:r>
        <w:rPr>
          <w:rFonts w:ascii="仿宋_GB2312" w:eastAsia="仿宋_GB2312" w:hAnsi="宋体" w:hint="eastAsia"/>
          <w:sz w:val="30"/>
          <w:szCs w:val="30"/>
        </w:rPr>
        <w:t>日起实施；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《突发事件应急预案管理办法》，</w:t>
      </w:r>
      <w:r>
        <w:rPr>
          <w:rFonts w:ascii="仿宋_GB2312" w:eastAsia="仿宋_GB2312" w:hAnsi="宋体" w:hint="eastAsia"/>
          <w:sz w:val="30"/>
          <w:szCs w:val="30"/>
        </w:rPr>
        <w:t>2013</w:t>
      </w:r>
      <w:r>
        <w:rPr>
          <w:rFonts w:ascii="仿宋_GB2312" w:eastAsia="仿宋_GB2312" w:hAnsi="宋体" w:hint="eastAsia"/>
          <w:sz w:val="30"/>
          <w:szCs w:val="30"/>
        </w:rPr>
        <w:t>年</w:t>
      </w:r>
      <w:r>
        <w:rPr>
          <w:rFonts w:ascii="仿宋_GB2312" w:eastAsia="仿宋_GB2312" w:hAnsi="宋体" w:hint="eastAsia"/>
          <w:sz w:val="30"/>
          <w:szCs w:val="30"/>
        </w:rPr>
        <w:t>10</w:t>
      </w:r>
      <w:r>
        <w:rPr>
          <w:rFonts w:ascii="仿宋_GB2312" w:eastAsia="仿宋_GB2312" w:hAnsi="宋体" w:hint="eastAsia"/>
          <w:sz w:val="30"/>
          <w:szCs w:val="30"/>
        </w:rPr>
        <w:t>月</w:t>
      </w:r>
      <w:r>
        <w:rPr>
          <w:rFonts w:ascii="仿宋_GB2312" w:eastAsia="仿宋_GB2312" w:hAnsi="宋体" w:hint="eastAsia"/>
          <w:sz w:val="30"/>
          <w:szCs w:val="30"/>
        </w:rPr>
        <w:t>25</w:t>
      </w:r>
      <w:r>
        <w:rPr>
          <w:rFonts w:ascii="仿宋_GB2312" w:eastAsia="仿宋_GB2312" w:hAnsi="宋体" w:hint="eastAsia"/>
          <w:sz w:val="30"/>
          <w:szCs w:val="30"/>
        </w:rPr>
        <w:t>日起施行；</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《公共互联网网络安全威胁监测与处置办法》，</w:t>
      </w:r>
      <w:r>
        <w:rPr>
          <w:rFonts w:ascii="仿宋_GB2312" w:eastAsia="仿宋_GB2312" w:hAnsi="宋体" w:hint="eastAsia"/>
          <w:sz w:val="30"/>
          <w:szCs w:val="30"/>
        </w:rPr>
        <w:t>2018</w:t>
      </w:r>
      <w:r>
        <w:rPr>
          <w:rFonts w:ascii="仿宋_GB2312" w:eastAsia="仿宋_GB2312" w:hAnsi="宋体" w:hint="eastAsia"/>
          <w:sz w:val="30"/>
          <w:szCs w:val="30"/>
        </w:rPr>
        <w:t>年</w:t>
      </w:r>
      <w:r>
        <w:rPr>
          <w:rFonts w:ascii="仿宋_GB2312" w:eastAsia="仿宋_GB2312" w:hAnsi="宋体" w:hint="eastAsia"/>
          <w:sz w:val="30"/>
          <w:szCs w:val="30"/>
        </w:rPr>
        <w:t>1</w:t>
      </w:r>
      <w:r>
        <w:rPr>
          <w:rFonts w:ascii="仿宋_GB2312" w:eastAsia="仿宋_GB2312" w:hAnsi="宋体" w:hint="eastAsia"/>
          <w:sz w:val="30"/>
          <w:szCs w:val="30"/>
        </w:rPr>
        <w:t>月</w:t>
      </w:r>
      <w:r>
        <w:rPr>
          <w:rFonts w:ascii="仿宋_GB2312" w:eastAsia="仿宋_GB2312" w:hAnsi="宋体" w:hint="eastAsia"/>
          <w:sz w:val="30"/>
          <w:szCs w:val="30"/>
        </w:rPr>
        <w:t>1</w:t>
      </w:r>
      <w:r>
        <w:rPr>
          <w:rFonts w:ascii="仿宋_GB2312" w:eastAsia="仿宋_GB2312" w:hAnsi="宋体" w:hint="eastAsia"/>
          <w:sz w:val="30"/>
          <w:szCs w:val="30"/>
        </w:rPr>
        <w:t>日起施行；</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《国家通信保障应急预案》，</w:t>
      </w:r>
      <w:r>
        <w:rPr>
          <w:rFonts w:ascii="仿宋_GB2312" w:eastAsia="仿宋_GB2312" w:hAnsi="宋体" w:hint="eastAsia"/>
          <w:sz w:val="30"/>
          <w:szCs w:val="30"/>
        </w:rPr>
        <w:t>2011</w:t>
      </w:r>
      <w:r>
        <w:rPr>
          <w:rFonts w:ascii="仿宋_GB2312" w:eastAsia="仿宋_GB2312" w:hAnsi="宋体" w:hint="eastAsia"/>
          <w:sz w:val="30"/>
          <w:szCs w:val="30"/>
        </w:rPr>
        <w:t>年</w:t>
      </w:r>
      <w:r>
        <w:rPr>
          <w:rFonts w:ascii="仿宋_GB2312" w:eastAsia="仿宋_GB2312" w:hAnsi="宋体" w:hint="eastAsia"/>
          <w:sz w:val="30"/>
          <w:szCs w:val="30"/>
        </w:rPr>
        <w:t>12</w:t>
      </w:r>
      <w:r>
        <w:rPr>
          <w:rFonts w:ascii="仿宋_GB2312" w:eastAsia="仿宋_GB2312" w:hAnsi="宋体" w:hint="eastAsia"/>
          <w:sz w:val="30"/>
          <w:szCs w:val="30"/>
        </w:rPr>
        <w:t>月</w:t>
      </w:r>
      <w:r>
        <w:rPr>
          <w:rFonts w:ascii="仿宋_GB2312" w:eastAsia="仿宋_GB2312" w:hAnsi="宋体" w:hint="eastAsia"/>
          <w:sz w:val="30"/>
          <w:szCs w:val="30"/>
        </w:rPr>
        <w:t>10</w:t>
      </w:r>
      <w:r>
        <w:rPr>
          <w:rFonts w:ascii="仿宋_GB2312" w:eastAsia="仿宋_GB2312" w:hAnsi="宋体" w:hint="eastAsia"/>
          <w:sz w:val="30"/>
          <w:szCs w:val="30"/>
        </w:rPr>
        <w:t>日修订；</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《信息安全技术信息安全事件分类分级指南》，</w:t>
      </w:r>
      <w:r>
        <w:rPr>
          <w:rFonts w:ascii="仿宋_GB2312" w:eastAsia="仿宋_GB2312" w:hAnsi="宋体" w:hint="eastAsia"/>
          <w:sz w:val="30"/>
          <w:szCs w:val="30"/>
        </w:rPr>
        <w:t>GB/Z20986-2007</w:t>
      </w:r>
      <w:r>
        <w:rPr>
          <w:rFonts w:ascii="仿宋_GB2312" w:eastAsia="仿宋_GB2312" w:hAnsi="宋体" w:hint="eastAsia"/>
          <w:sz w:val="30"/>
          <w:szCs w:val="30"/>
        </w:rPr>
        <w:t>；</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《信息安全技术信息安全风险评估规范》，</w:t>
      </w:r>
      <w:r>
        <w:rPr>
          <w:rFonts w:ascii="仿宋_GB2312" w:eastAsia="仿宋_GB2312" w:hAnsi="宋体" w:hint="eastAsia"/>
          <w:sz w:val="30"/>
          <w:szCs w:val="30"/>
        </w:rPr>
        <w:t>GB/T20984-2007</w:t>
      </w:r>
      <w:r>
        <w:rPr>
          <w:rFonts w:ascii="仿宋_GB2312" w:eastAsia="仿宋_GB2312" w:hAnsi="宋体" w:hint="eastAsia"/>
          <w:sz w:val="30"/>
          <w:szCs w:val="30"/>
        </w:rPr>
        <w:t>；</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《信息技术安全技术信息安全事件管理指南》，</w:t>
      </w:r>
      <w:r>
        <w:rPr>
          <w:rFonts w:ascii="仿宋_GB2312" w:eastAsia="仿宋_GB2312" w:hAnsi="宋体" w:hint="eastAsia"/>
          <w:sz w:val="30"/>
          <w:szCs w:val="30"/>
        </w:rPr>
        <w:t>GB/Z20985-2007</w:t>
      </w:r>
      <w:r>
        <w:rPr>
          <w:rFonts w:ascii="仿宋_GB2312" w:eastAsia="仿宋_GB2312" w:hAnsi="宋体" w:hint="eastAsia"/>
          <w:sz w:val="30"/>
          <w:szCs w:val="30"/>
        </w:rPr>
        <w:t>；</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《信息安全技术信息系统灾难恢复规范》，</w:t>
      </w:r>
      <w:r>
        <w:rPr>
          <w:rFonts w:ascii="仿宋_GB2312" w:eastAsia="仿宋_GB2312" w:hAnsi="宋体" w:hint="eastAsia"/>
          <w:sz w:val="30"/>
          <w:szCs w:val="30"/>
        </w:rPr>
        <w:t>GB/T20988-2007</w:t>
      </w:r>
      <w:r>
        <w:rPr>
          <w:rFonts w:ascii="仿宋_GB2312" w:eastAsia="仿宋_GB2312" w:hAnsi="宋体" w:hint="eastAsia"/>
          <w:sz w:val="30"/>
          <w:szCs w:val="30"/>
        </w:rPr>
        <w:t>；</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《信息安全技术信息安全应急响应计划规范》，</w:t>
      </w:r>
      <w:r>
        <w:rPr>
          <w:rFonts w:ascii="仿宋_GB2312" w:eastAsia="仿宋_GB2312" w:hAnsi="宋体" w:hint="eastAsia"/>
          <w:sz w:val="30"/>
          <w:szCs w:val="30"/>
        </w:rPr>
        <w:t>GB/T24363-2009</w:t>
      </w:r>
      <w:r>
        <w:rPr>
          <w:rFonts w:ascii="仿宋_GB2312" w:eastAsia="仿宋_GB2312" w:hAnsi="宋体" w:hint="eastAsia"/>
          <w:sz w:val="30"/>
          <w:szCs w:val="30"/>
        </w:rPr>
        <w:t>。</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同时，参照了以下公司内部规范制度及指南：</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XXX</w:t>
      </w:r>
      <w:r>
        <w:rPr>
          <w:rFonts w:ascii="仿宋_GB2312" w:eastAsia="仿宋_GB2312" w:hAnsi="宋体" w:hint="eastAsia"/>
          <w:sz w:val="30"/>
          <w:szCs w:val="30"/>
        </w:rPr>
        <w:t>数据安全事件应急响应实施指南》，</w:t>
      </w:r>
      <w:r>
        <w:rPr>
          <w:rFonts w:ascii="仿宋_GB2312" w:eastAsia="仿宋_GB2312" w:hAnsi="宋体" w:hint="eastAsia"/>
          <w:sz w:val="30"/>
          <w:szCs w:val="30"/>
        </w:rPr>
        <w:t>2019</w:t>
      </w:r>
      <w:r>
        <w:rPr>
          <w:rFonts w:ascii="仿宋_GB2312" w:eastAsia="仿宋_GB2312" w:hAnsi="宋体" w:hint="eastAsia"/>
          <w:sz w:val="30"/>
          <w:szCs w:val="30"/>
        </w:rPr>
        <w:t>年实</w:t>
      </w:r>
      <w:r>
        <w:rPr>
          <w:rFonts w:ascii="仿宋_GB2312" w:eastAsia="仿宋_GB2312" w:hAnsi="宋体" w:hint="eastAsia"/>
          <w:sz w:val="30"/>
          <w:szCs w:val="30"/>
        </w:rPr>
        <w:t>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XXX</w:t>
      </w:r>
      <w:r>
        <w:rPr>
          <w:rFonts w:ascii="仿宋_GB2312" w:eastAsia="仿宋_GB2312" w:hAnsi="宋体" w:hint="eastAsia"/>
          <w:sz w:val="30"/>
          <w:szCs w:val="30"/>
        </w:rPr>
        <w:t>网络安全突发事件应急预案》，</w:t>
      </w:r>
      <w:r>
        <w:rPr>
          <w:rFonts w:ascii="仿宋_GB2312" w:eastAsia="仿宋_GB2312" w:hAnsi="宋体" w:hint="eastAsia"/>
          <w:sz w:val="30"/>
          <w:szCs w:val="30"/>
        </w:rPr>
        <w:t>2019</w:t>
      </w:r>
      <w:r>
        <w:rPr>
          <w:rFonts w:ascii="仿宋_GB2312" w:eastAsia="仿宋_GB2312" w:hAnsi="宋体" w:hint="eastAsia"/>
          <w:sz w:val="30"/>
          <w:szCs w:val="30"/>
        </w:rPr>
        <w:t>年实施；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XXX</w:t>
      </w:r>
      <w:r>
        <w:rPr>
          <w:rFonts w:ascii="仿宋_GB2312" w:eastAsia="仿宋_GB2312" w:hAnsi="宋体" w:hint="eastAsia"/>
          <w:sz w:val="30"/>
          <w:szCs w:val="30"/>
        </w:rPr>
        <w:t>业务支撑网安全事件管理办法》，</w:t>
      </w:r>
      <w:r>
        <w:rPr>
          <w:rFonts w:ascii="仿宋_GB2312" w:eastAsia="仿宋_GB2312" w:hAnsi="宋体" w:hint="eastAsia"/>
          <w:sz w:val="30"/>
          <w:szCs w:val="30"/>
        </w:rPr>
        <w:t>2009</w:t>
      </w:r>
      <w:r>
        <w:rPr>
          <w:rFonts w:ascii="仿宋_GB2312" w:eastAsia="仿宋_GB2312" w:hAnsi="宋体" w:hint="eastAsia"/>
          <w:sz w:val="30"/>
          <w:szCs w:val="30"/>
        </w:rPr>
        <w:t>年实施；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XXX</w:t>
      </w:r>
      <w:r>
        <w:rPr>
          <w:rFonts w:ascii="仿宋_GB2312" w:eastAsia="仿宋_GB2312" w:hAnsi="宋体" w:hint="eastAsia"/>
          <w:sz w:val="30"/>
          <w:szCs w:val="30"/>
        </w:rPr>
        <w:t>网络与信息安全事件应急处置流程》，</w:t>
      </w:r>
      <w:r>
        <w:rPr>
          <w:rFonts w:ascii="仿宋_GB2312" w:eastAsia="仿宋_GB2312" w:hAnsi="宋体" w:hint="eastAsia"/>
          <w:sz w:val="30"/>
          <w:szCs w:val="30"/>
        </w:rPr>
        <w:t>2012</w:t>
      </w:r>
      <w:r>
        <w:rPr>
          <w:rFonts w:ascii="仿宋_GB2312" w:eastAsia="仿宋_GB2312" w:hAnsi="宋体" w:hint="eastAsia"/>
          <w:sz w:val="30"/>
          <w:szCs w:val="30"/>
        </w:rPr>
        <w:t>年实施；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XXX</w:t>
      </w:r>
      <w:r>
        <w:rPr>
          <w:rFonts w:ascii="仿宋_GB2312" w:eastAsia="仿宋_GB2312" w:hAnsi="宋体" w:hint="eastAsia"/>
          <w:sz w:val="30"/>
          <w:szCs w:val="30"/>
        </w:rPr>
        <w:t>互联网网络安全应急处理预案》，</w:t>
      </w:r>
      <w:r>
        <w:rPr>
          <w:rFonts w:ascii="仿宋_GB2312" w:eastAsia="仿宋_GB2312" w:hAnsi="宋体" w:hint="eastAsia"/>
          <w:sz w:val="30"/>
          <w:szCs w:val="30"/>
        </w:rPr>
        <w:t>2008</w:t>
      </w:r>
      <w:r>
        <w:rPr>
          <w:rFonts w:ascii="仿宋_GB2312" w:eastAsia="仿宋_GB2312" w:hAnsi="宋体" w:hint="eastAsia"/>
          <w:sz w:val="30"/>
          <w:szCs w:val="30"/>
        </w:rPr>
        <w:t>年实施；</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1"/>
          <w:type w:val="nextPage"/>
          <w:pgSz w:w="11906" w:h="16838"/>
          <w:pgMar w:top="1440" w:right="1558" w:bottom="1440" w:left="1800" w:header="851" w:footer="992" w:gutter="0"/>
          <w:pgNumType w:start="6"/>
          <w:cols w:space="425"/>
          <w:titlePg w:val="0"/>
          <w:docGrid w:type="lines" w:linePitch="312"/>
        </w:sectPr>
      </w:pPr>
      <w:r>
        <w:rPr>
          <w:rFonts w:ascii="仿宋_GB2312" w:eastAsia="仿宋_GB2312" w:hAnsi="宋体" w:hint="eastAsia"/>
          <w:sz w:val="30"/>
          <w:szCs w:val="30"/>
        </w:rPr>
        <w:t>《</w:t>
      </w:r>
      <w:r>
        <w:rPr>
          <w:rFonts w:ascii="仿宋_GB2312" w:eastAsia="仿宋_GB2312" w:hAnsi="宋体" w:hint="eastAsia"/>
          <w:sz w:val="30"/>
          <w:szCs w:val="30"/>
        </w:rPr>
        <w:t>XXX</w:t>
      </w:r>
      <w:r>
        <w:rPr>
          <w:rFonts w:ascii="仿宋_GB2312" w:eastAsia="仿宋_GB2312" w:hAnsi="宋体" w:hint="eastAsia"/>
          <w:sz w:val="30"/>
          <w:szCs w:val="30"/>
        </w:rPr>
        <w:t>重特大事件期间的信息安全保障应急预案》，</w:t>
      </w:r>
      <w:r>
        <w:rPr>
          <w:rFonts w:ascii="仿宋_GB2312" w:eastAsia="仿宋_GB2312" w:hAnsi="宋体" w:hint="eastAsia"/>
          <w:sz w:val="30"/>
          <w:szCs w:val="30"/>
        </w:rPr>
        <w:t>2012</w:t>
      </w:r>
      <w:r>
        <w:rPr>
          <w:rFonts w:ascii="仿宋_GB2312" w:eastAsia="仿宋_GB2312" w:hAnsi="宋体" w:hint="eastAsia"/>
          <w:sz w:val="30"/>
          <w:szCs w:val="30"/>
        </w:rPr>
        <w:t>年实</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XXX</w:t>
      </w:r>
      <w:r>
        <w:rPr>
          <w:rFonts w:ascii="仿宋_GB2312" w:eastAsia="仿宋_GB2312" w:hAnsi="宋体" w:hint="eastAsia"/>
          <w:sz w:val="30"/>
          <w:szCs w:val="30"/>
        </w:rPr>
        <w:t>安全事件管理办法》，</w:t>
      </w:r>
      <w:r>
        <w:rPr>
          <w:rFonts w:ascii="仿宋_GB2312" w:eastAsia="仿宋_GB2312" w:hAnsi="宋体" w:hint="eastAsia"/>
          <w:sz w:val="30"/>
          <w:szCs w:val="30"/>
        </w:rPr>
        <w:t>2008</w:t>
      </w:r>
      <w:r>
        <w:rPr>
          <w:rFonts w:ascii="仿宋_GB2312" w:eastAsia="仿宋_GB2312" w:hAnsi="宋体" w:hint="eastAsia"/>
          <w:sz w:val="30"/>
          <w:szCs w:val="30"/>
        </w:rPr>
        <w:t>年实施；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XXXXXX</w:t>
      </w:r>
      <w:r>
        <w:rPr>
          <w:rFonts w:ascii="仿宋_GB2312" w:eastAsia="仿宋_GB2312" w:hAnsi="宋体" w:hint="eastAsia"/>
          <w:sz w:val="30"/>
          <w:szCs w:val="30"/>
        </w:rPr>
        <w:t>公司业务支撑网重要信息系统数据泄露事件专项应急预案》，</w:t>
      </w:r>
      <w:r>
        <w:rPr>
          <w:rFonts w:ascii="仿宋_GB2312" w:eastAsia="仿宋_GB2312" w:hAnsi="宋体" w:hint="eastAsia"/>
          <w:sz w:val="30"/>
          <w:szCs w:val="30"/>
        </w:rPr>
        <w:t>2017</w:t>
      </w:r>
      <w:r>
        <w:rPr>
          <w:rFonts w:ascii="仿宋_GB2312" w:eastAsia="仿宋_GB2312" w:hAnsi="宋体" w:hint="eastAsia"/>
          <w:sz w:val="30"/>
          <w:szCs w:val="30"/>
        </w:rPr>
        <w:t>年实施；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XXXXXX</w:t>
      </w:r>
      <w:r>
        <w:rPr>
          <w:rFonts w:ascii="仿宋_GB2312" w:eastAsia="仿宋_GB2312" w:hAnsi="宋体" w:hint="eastAsia"/>
          <w:sz w:val="30"/>
          <w:szCs w:val="30"/>
        </w:rPr>
        <w:t>公司业务支撑网安全事件应急预案》，</w:t>
      </w:r>
      <w:r>
        <w:rPr>
          <w:rFonts w:ascii="仿宋_GB2312" w:eastAsia="仿宋_GB2312" w:hAnsi="宋体" w:hint="eastAsia"/>
          <w:sz w:val="30"/>
          <w:szCs w:val="30"/>
        </w:rPr>
        <w:t>2017</w:t>
      </w:r>
      <w:r>
        <w:rPr>
          <w:rFonts w:ascii="仿宋_GB2312" w:eastAsia="仿宋_GB2312" w:hAnsi="宋体" w:hint="eastAsia"/>
          <w:sz w:val="30"/>
          <w:szCs w:val="30"/>
        </w:rPr>
        <w:t>年实施。</w:t>
      </w:r>
    </w:p>
    <w:p w:rsidR="00014D42">
      <w:pPr>
        <w:pStyle w:val="Heading2"/>
        <w:numPr>
          <w:ilvl w:val="0"/>
          <w:numId w:val="0"/>
        </w:numPr>
        <w:spacing w:before="0" w:after="0" w:line="560" w:lineRule="exact"/>
        <w:rPr>
          <w:rFonts w:ascii="楷体_GB2312" w:eastAsia="楷体_GB2312"/>
          <w:b w:val="0"/>
          <w:bCs w:val="0"/>
        </w:rPr>
      </w:pPr>
      <w:bookmarkStart w:id="13" w:name="_Toc18941437"/>
      <w:r>
        <w:rPr>
          <w:rFonts w:ascii="楷体_GB2312" w:eastAsia="楷体_GB2312" w:hint="eastAsia"/>
          <w:b w:val="0"/>
          <w:bCs w:val="0"/>
        </w:rPr>
        <w:t>2.2</w:t>
      </w:r>
      <w:r>
        <w:rPr>
          <w:rFonts w:ascii="楷体_GB2312" w:eastAsia="楷体_GB2312" w:hint="eastAsia"/>
          <w:b w:val="0"/>
          <w:bCs w:val="0"/>
        </w:rPr>
        <w:t>适用范围</w:t>
      </w:r>
      <w:bookmarkEnd w:id="10"/>
      <w:bookmarkEnd w:id="11"/>
      <w:bookmarkEnd w:id="12"/>
      <w:bookmarkEnd w:id="13"/>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本应急预案适用于</w:t>
      </w:r>
      <w:r>
        <w:rPr>
          <w:rFonts w:ascii="仿宋_GB2312" w:eastAsia="仿宋_GB2312" w:hAnsi="宋体"/>
          <w:sz w:val="30"/>
          <w:szCs w:val="30"/>
        </w:rPr>
        <w:t>XXX</w:t>
      </w:r>
      <w:r>
        <w:rPr>
          <w:rFonts w:ascii="仿宋_GB2312" w:eastAsia="仿宋_GB2312" w:hAnsi="宋体" w:hint="eastAsia"/>
          <w:sz w:val="30"/>
          <w:szCs w:val="30"/>
        </w:rPr>
        <w:t>XXX</w:t>
      </w:r>
      <w:r>
        <w:rPr>
          <w:rFonts w:ascii="仿宋_GB2312" w:eastAsia="仿宋_GB2312" w:hAnsi="宋体" w:hint="eastAsia"/>
          <w:sz w:val="30"/>
          <w:szCs w:val="30"/>
        </w:rPr>
        <w:t>省公司各部门、各地市分公司（以下简称各单位），为各单位开展数据安全事件应急处置，提供必要的指导性说明。</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本应急预案所称数据安全事件，是指针对用户个人信息、集团客户信息、业务平台数据、网络运行数据等公司数据资产的可用性被破坏、数据被泄露、数据被违规使用，数据被滥用，数据被篡改，数据被损毁等。造成或可能影响国家安全、社会稳定、公司利益受损、客户合法权益受侵害等危害，需要采取应急处置措施予以应对的突发事件。</w:t>
      </w:r>
    </w:p>
    <w:p w:rsidR="00014D42">
      <w:pPr>
        <w:pStyle w:val="Heading2"/>
        <w:numPr>
          <w:ilvl w:val="0"/>
          <w:numId w:val="0"/>
        </w:numPr>
        <w:spacing w:before="0" w:after="0" w:line="560" w:lineRule="exact"/>
        <w:rPr>
          <w:rFonts w:ascii="楷体_GB2312" w:eastAsia="楷体_GB2312"/>
          <w:b w:val="0"/>
          <w:bCs w:val="0"/>
        </w:rPr>
      </w:pPr>
      <w:bookmarkStart w:id="14" w:name="_Toc440546100"/>
      <w:bookmarkStart w:id="15" w:name="_Toc323219872"/>
      <w:bookmarkStart w:id="16" w:name="_Toc18941438"/>
      <w:bookmarkStart w:id="17" w:name="_Toc301704558"/>
      <w:bookmarkStart w:id="18" w:name="_Toc386120417"/>
      <w:r>
        <w:rPr>
          <w:rFonts w:ascii="楷体_GB2312" w:eastAsia="楷体_GB2312" w:hint="eastAsia"/>
          <w:b w:val="0"/>
          <w:bCs w:val="0"/>
        </w:rPr>
        <w:t>2.3</w:t>
      </w:r>
      <w:r>
        <w:rPr>
          <w:rFonts w:ascii="楷体_GB2312" w:eastAsia="楷体_GB2312" w:hint="eastAsia"/>
          <w:b w:val="0"/>
          <w:bCs w:val="0"/>
        </w:rPr>
        <w:t>基本原则</w:t>
      </w:r>
      <w:bookmarkEnd w:id="14"/>
      <w:bookmarkEnd w:id="15"/>
      <w:bookmarkEnd w:id="16"/>
      <w:bookmarkEnd w:id="17"/>
      <w:bookmarkEnd w:id="18"/>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坚持统一领导、分级负责；坚持统一指挥、密切协同、快速反应、科学</w:t>
      </w:r>
      <w:r>
        <w:rPr>
          <w:rFonts w:ascii="仿宋_GB2312" w:eastAsia="仿宋_GB2312" w:hAnsi="宋体" w:hint="eastAsia"/>
          <w:sz w:val="30"/>
          <w:szCs w:val="30"/>
        </w:rPr>
        <w:t>处置；坚持预防为主，预防与应急相结合；坚持谁主管谁负责、</w:t>
      </w:r>
      <w:r>
        <w:rPr>
          <w:rFonts w:ascii="仿宋_GB2312" w:eastAsia="仿宋_GB2312" w:hAnsi="宋体" w:hint="eastAsia"/>
          <w:sz w:val="30"/>
          <w:szCs w:val="30"/>
        </w:rPr>
        <w:t>谁运行谁</w:t>
      </w:r>
      <w:r>
        <w:rPr>
          <w:rFonts w:ascii="仿宋_GB2312" w:eastAsia="仿宋_GB2312" w:hAnsi="宋体" w:hint="eastAsia"/>
          <w:sz w:val="30"/>
          <w:szCs w:val="30"/>
        </w:rPr>
        <w:t>负责，分工协作，内外联动，充分发挥各方面力量共同做好</w:t>
      </w:r>
      <w:r>
        <w:rPr>
          <w:rFonts w:ascii="仿宋_GB2312" w:eastAsia="仿宋_GB2312" w:hAnsi="宋体" w:hint="eastAsia"/>
          <w:sz w:val="30"/>
          <w:szCs w:val="30"/>
        </w:rPr>
        <w:t>XXXXXX</w:t>
      </w:r>
      <w:r>
        <w:rPr>
          <w:rFonts w:ascii="仿宋_GB2312" w:eastAsia="仿宋_GB2312" w:hAnsi="宋体" w:hint="eastAsia"/>
          <w:sz w:val="30"/>
          <w:szCs w:val="30"/>
        </w:rPr>
        <w:t>公司数据安全事件的预防和处置工作。</w:t>
      </w:r>
    </w:p>
    <w:p w:rsidR="00014D42">
      <w:pPr>
        <w:pStyle w:val="Heading2"/>
        <w:numPr>
          <w:ilvl w:val="0"/>
          <w:numId w:val="0"/>
        </w:numPr>
        <w:spacing w:before="0" w:after="0" w:line="560" w:lineRule="exact"/>
        <w:rPr>
          <w:rFonts w:ascii="楷体_GB2312" w:eastAsia="楷体_GB2312"/>
          <w:b w:val="0"/>
          <w:bCs w:val="0"/>
        </w:rPr>
      </w:pPr>
      <w:bookmarkStart w:id="19" w:name="_Toc18941439"/>
      <w:r>
        <w:rPr>
          <w:rFonts w:ascii="楷体_GB2312" w:eastAsia="楷体_GB2312" w:hint="eastAsia"/>
          <w:b w:val="0"/>
          <w:bCs w:val="0"/>
        </w:rPr>
        <w:t>2.4</w:t>
      </w:r>
      <w:bookmarkStart w:id="20" w:name="_Toc15915508"/>
      <w:bookmarkStart w:id="21" w:name="_Toc15915501"/>
      <w:bookmarkStart w:id="22" w:name="_Toc15915506"/>
      <w:bookmarkStart w:id="23" w:name="_Toc15915507"/>
      <w:bookmarkStart w:id="24" w:name="_Toc15915509"/>
      <w:bookmarkStart w:id="25" w:name="_Toc15915510"/>
      <w:bookmarkStart w:id="26" w:name="_Toc15915502"/>
      <w:bookmarkStart w:id="27" w:name="_Toc15915511"/>
      <w:bookmarkStart w:id="28" w:name="_Toc15915504"/>
      <w:bookmarkStart w:id="29" w:name="_Toc15915503"/>
      <w:bookmarkStart w:id="30" w:name="_Toc15915505"/>
      <w:bookmarkEnd w:id="20"/>
      <w:bookmarkEnd w:id="21"/>
      <w:bookmarkEnd w:id="22"/>
      <w:bookmarkEnd w:id="23"/>
      <w:bookmarkEnd w:id="24"/>
      <w:bookmarkEnd w:id="25"/>
      <w:bookmarkEnd w:id="26"/>
      <w:bookmarkEnd w:id="27"/>
      <w:bookmarkEnd w:id="28"/>
      <w:bookmarkEnd w:id="29"/>
      <w:bookmarkEnd w:id="30"/>
      <w:r>
        <w:rPr>
          <w:rFonts w:ascii="楷体_GB2312" w:eastAsia="楷体_GB2312" w:hint="eastAsia"/>
          <w:b w:val="0"/>
          <w:bCs w:val="0"/>
        </w:rPr>
        <w:t>发布与生效</w:t>
      </w:r>
      <w:bookmarkEnd w:id="19"/>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本预案从发布之日起生效。</w:t>
      </w:r>
    </w:p>
    <w:p w:rsidR="00014D42">
      <w:pPr>
        <w:pStyle w:val="Heading1"/>
        <w:numPr>
          <w:ilvl w:val="0"/>
          <w:numId w:val="0"/>
        </w:numPr>
        <w:spacing w:line="560" w:lineRule="exact"/>
        <w:rPr>
          <w:rFonts w:ascii="黑体" w:hAnsi="黑体"/>
          <w:b w:val="0"/>
          <w:bCs w:val="0"/>
          <w:lang w:eastAsia="zh-CN"/>
        </w:rPr>
      </w:pPr>
      <w:bookmarkStart w:id="31" w:name="_Toc440546101"/>
      <w:bookmarkStart w:id="32" w:name="_Toc18941440"/>
      <w:r>
        <w:rPr>
          <w:rFonts w:ascii="黑体" w:hAnsi="黑体"/>
          <w:b w:val="0"/>
          <w:bCs w:val="0"/>
          <w:lang w:eastAsia="zh-CN"/>
        </w:rPr>
        <w:t>3.</w:t>
      </w:r>
      <w:r>
        <w:rPr>
          <w:rFonts w:ascii="黑体" w:hAnsi="黑体" w:hint="eastAsia"/>
          <w:b w:val="0"/>
          <w:bCs w:val="0"/>
          <w:lang w:eastAsia="zh-CN"/>
        </w:rPr>
        <w:t>组织与职责</w:t>
      </w:r>
      <w:bookmarkEnd w:id="31"/>
      <w:bookmarkEnd w:id="32"/>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2"/>
          <w:type w:val="nextPage"/>
          <w:pgSz w:w="11906" w:h="16838"/>
          <w:pgMar w:top="1440" w:right="1558" w:bottom="1440" w:left="1800" w:header="851" w:footer="992" w:gutter="0"/>
          <w:pgNumType w:start="7"/>
          <w:cols w:space="425"/>
          <w:titlePg w:val="0"/>
          <w:docGrid w:type="lines" w:linePitch="312"/>
        </w:sectPr>
      </w:pPr>
      <w:bookmarkStart w:id="33" w:name="_Toc408930911"/>
      <w:r>
        <w:rPr>
          <w:rFonts w:ascii="仿宋_GB2312" w:eastAsia="仿宋_GB2312" w:hAnsi="宋体" w:hint="eastAsia"/>
          <w:sz w:val="30"/>
          <w:szCs w:val="30"/>
        </w:rPr>
        <w:t>参考</w:t>
      </w:r>
      <w:r>
        <w:rPr>
          <w:rFonts w:ascii="仿宋_GB2312" w:eastAsia="仿宋_GB2312" w:hAnsi="宋体" w:hint="eastAsia"/>
          <w:sz w:val="30"/>
          <w:szCs w:val="30"/>
        </w:rPr>
        <w:t>GB/T24363-2009</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（《信息安全技术信息安全应急响应计划</w:t>
      </w:r>
      <w:r>
        <w:rPr>
          <w:rFonts w:ascii="仿宋_GB2312" w:eastAsia="仿宋_GB2312" w:hAnsi="宋体" w:hint="eastAsia"/>
          <w:sz w:val="30"/>
          <w:szCs w:val="30"/>
        </w:rPr>
        <w:t>规范》），基于公司整体突发事件应急管理机制，结合现有职责部门，</w:t>
      </w:r>
      <w:r>
        <w:rPr>
          <w:rFonts w:ascii="仿宋_GB2312" w:eastAsia="仿宋_GB2312" w:hAnsi="宋体" w:hint="eastAsia"/>
          <w:sz w:val="30"/>
          <w:szCs w:val="30"/>
        </w:rPr>
        <w:t>XXXXXX</w:t>
      </w:r>
      <w:r>
        <w:rPr>
          <w:rFonts w:ascii="仿宋_GB2312" w:eastAsia="仿宋_GB2312" w:hAnsi="宋体" w:hint="eastAsia"/>
          <w:sz w:val="30"/>
          <w:szCs w:val="30"/>
        </w:rPr>
        <w:t>建立了应急响应的组织架构，确保及时有效地实施专项应急处置工作。</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组织架构中包含如下小组或部门：应急保障领导小组、应急保障领导办公室、应急响应技术保障部门、应急响应实施小组。应急响应过程需要公司多部门协同工作，共同应对已发生的数据安全事件。各小组或部门间的相互关系如下图所示。</w:t>
      </w:r>
    </w:p>
    <w:p w:rsidR="00014D42">
      <w:pPr>
        <w:adjustRightInd w:val="0"/>
        <w:snapToGrid w:val="0"/>
        <w:spacing w:line="480" w:lineRule="auto"/>
        <w:jc w:val="center"/>
        <w:rPr>
          <w:rFonts w:ascii="仿宋_GB2312" w:eastAsia="仿宋_GB2312" w:hAnsi="宋体"/>
          <w:sz w:val="30"/>
          <w:szCs w:val="30"/>
        </w:rPr>
      </w:pPr>
      <w:r>
        <w:rPr>
          <w:rFonts w:ascii="仿宋_GB2312" w:eastAsia="仿宋_GB2312" w:hAnsi="宋体"/>
          <w:noProof/>
          <w:sz w:val="30"/>
          <w:szCs w:val="30"/>
        </w:rPr>
        <w:drawing>
          <wp:inline distT="0" distB="0" distL="0" distR="0">
            <wp:extent cx="3532505" cy="2399665"/>
            <wp:effectExtent l="0" t="0" r="0"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478"/>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553748" cy="2413732"/>
                    </a:xfrm>
                    <a:prstGeom prst="rect">
                      <a:avLst/>
                    </a:prstGeom>
                    <a:noFill/>
                  </pic:spPr>
                </pic:pic>
              </a:graphicData>
            </a:graphic>
          </wp:inline>
        </w:drawing>
      </w:r>
    </w:p>
    <w:p w:rsidR="00014D42">
      <w:pPr>
        <w:spacing w:line="360" w:lineRule="auto"/>
        <w:ind w:firstLine="480" w:firstLineChars="200"/>
        <w:jc w:val="center"/>
        <w:rPr>
          <w:rFonts w:ascii="仿宋_GB2312" w:eastAsia="仿宋_GB2312" w:hAnsi="Arial"/>
          <w:sz w:val="24"/>
        </w:rPr>
      </w:pPr>
      <w:r>
        <w:rPr>
          <w:rFonts w:ascii="仿宋_GB2312" w:eastAsia="仿宋_GB2312" w:hAnsi="Arial" w:hint="eastAsia"/>
          <w:sz w:val="24"/>
        </w:rPr>
        <w:t>图</w:t>
      </w:r>
      <w:r>
        <w:rPr>
          <w:rFonts w:ascii="仿宋_GB2312" w:eastAsia="仿宋_GB2312" w:hAnsi="Arial" w:hint="eastAsia"/>
          <w:sz w:val="24"/>
        </w:rPr>
        <w:t>3-1</w:t>
      </w:r>
      <w:r>
        <w:rPr>
          <w:rFonts w:ascii="仿宋_GB2312" w:eastAsia="仿宋_GB2312" w:hAnsi="Arial" w:hint="eastAsia"/>
          <w:sz w:val="24"/>
        </w:rPr>
        <w:t>应急响应组织机构间的关系</w:t>
      </w:r>
    </w:p>
    <w:p w:rsidR="00014D42">
      <w:pPr>
        <w:rPr>
          <w:rFonts w:ascii="仿宋_GB2312" w:eastAsia="仿宋_GB2312"/>
        </w:rPr>
      </w:pPr>
    </w:p>
    <w:p w:rsidR="00014D42">
      <w:pPr>
        <w:pStyle w:val="Heading2"/>
        <w:numPr>
          <w:ilvl w:val="0"/>
          <w:numId w:val="0"/>
        </w:numPr>
        <w:spacing w:before="0" w:after="0" w:line="560" w:lineRule="exact"/>
        <w:rPr>
          <w:rFonts w:ascii="楷体_GB2312" w:eastAsia="楷体_GB2312"/>
          <w:b w:val="0"/>
          <w:bCs w:val="0"/>
        </w:rPr>
      </w:pPr>
      <w:bookmarkStart w:id="34" w:name="_Toc18941441"/>
      <w:r>
        <w:rPr>
          <w:rFonts w:ascii="楷体_GB2312" w:eastAsia="楷体_GB2312" w:hint="eastAsia"/>
          <w:b w:val="0"/>
          <w:bCs w:val="0"/>
        </w:rPr>
        <w:t>3.1</w:t>
      </w:r>
      <w:r>
        <w:rPr>
          <w:rFonts w:ascii="楷体_GB2312" w:eastAsia="楷体_GB2312" w:hint="eastAsia"/>
          <w:b w:val="0"/>
          <w:bCs w:val="0"/>
        </w:rPr>
        <w:t>应急保障领导小组</w:t>
      </w:r>
      <w:bookmarkEnd w:id="33"/>
      <w:bookmarkEnd w:id="34"/>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XXXXXX</w:t>
      </w:r>
      <w:r>
        <w:rPr>
          <w:rFonts w:ascii="仿宋_GB2312" w:eastAsia="仿宋_GB2312" w:hAnsi="宋体" w:hint="eastAsia"/>
          <w:sz w:val="30"/>
          <w:szCs w:val="30"/>
        </w:rPr>
        <w:t>中心安全领导小组承担省公司级数据安全事件应急保障领导小组职责，指导开展全省的数据安全事件应急响应制度建设、安全策略制定、重大事件决策等。</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主要职责：</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）应急响应工作的启动和终止；对应急响应工作的支持，提供必要资源（人、财、物）等；</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4"/>
          <w:type w:val="nextPage"/>
          <w:pgSz w:w="11906" w:h="16838"/>
          <w:pgMar w:top="1440" w:right="1558" w:bottom="1440" w:left="1800" w:header="851" w:footer="992" w:gutter="0"/>
          <w:pgNumType w:start="8"/>
          <w:cols w:space="425"/>
          <w:titlePg w:val="0"/>
          <w:docGrid w:type="lines" w:linePitch="312"/>
        </w:sect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）审核并批准应急响应策略、应急预案；批准和监督应急预案的执行；</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）应急预案定期评审和修订的启动；</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4</w:t>
      </w:r>
      <w:r>
        <w:rPr>
          <w:rFonts w:ascii="仿宋_GB2312" w:eastAsia="仿宋_GB2312" w:hAnsi="宋体" w:hint="eastAsia"/>
          <w:sz w:val="30"/>
          <w:szCs w:val="30"/>
        </w:rPr>
        <w:t>）负责组织内部和外部的协调工作；</w:t>
      </w:r>
    </w:p>
    <w:p w:rsidR="00014D42">
      <w:pPr>
        <w:pStyle w:val="Heading2"/>
        <w:numPr>
          <w:ilvl w:val="0"/>
          <w:numId w:val="0"/>
        </w:numPr>
        <w:spacing w:before="0" w:after="0" w:line="560" w:lineRule="exact"/>
        <w:rPr>
          <w:rFonts w:ascii="楷体_GB2312" w:eastAsia="楷体_GB2312"/>
          <w:b w:val="0"/>
          <w:bCs w:val="0"/>
        </w:rPr>
      </w:pPr>
      <w:bookmarkStart w:id="35" w:name="_Toc408930914"/>
      <w:bookmarkStart w:id="36" w:name="_Toc18941442"/>
      <w:r>
        <w:rPr>
          <w:rFonts w:ascii="楷体_GB2312" w:eastAsia="楷体_GB2312" w:hint="eastAsia"/>
          <w:b w:val="0"/>
          <w:bCs w:val="0"/>
        </w:rPr>
        <w:t>3.2</w:t>
      </w:r>
      <w:bookmarkEnd w:id="35"/>
      <w:r>
        <w:rPr>
          <w:rFonts w:ascii="楷体_GB2312" w:eastAsia="楷体_GB2312" w:hint="eastAsia"/>
          <w:b w:val="0"/>
          <w:bCs w:val="0"/>
        </w:rPr>
        <w:t>应急保障领导办公室</w:t>
      </w:r>
      <w:bookmarkEnd w:id="36"/>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XXXXXX</w:t>
      </w:r>
      <w:r>
        <w:rPr>
          <w:rFonts w:ascii="仿宋_GB2312" w:eastAsia="仿宋_GB2312" w:hAnsi="宋体" w:hint="eastAsia"/>
          <w:sz w:val="30"/>
          <w:szCs w:val="30"/>
        </w:rPr>
        <w:t>中心</w:t>
      </w:r>
      <w:r>
        <w:rPr>
          <w:rFonts w:ascii="仿宋_GB2312" w:eastAsia="仿宋_GB2312" w:hint="eastAsia"/>
          <w:spacing w:val="10"/>
          <w:sz w:val="32"/>
          <w:szCs w:val="32"/>
        </w:rPr>
        <w:t>安全领导小组办公室</w:t>
      </w:r>
      <w:r>
        <w:rPr>
          <w:rFonts w:ascii="仿宋_GB2312" w:eastAsia="仿宋_GB2312" w:hAnsi="宋体" w:hint="eastAsia"/>
          <w:sz w:val="30"/>
          <w:szCs w:val="30"/>
        </w:rPr>
        <w:t>承担数据安全事件应急保障领导办公室工作职责。开展全省的数据安全事件应急响应制度建设、安全策略制定等，组织应急预案的测试、培训和演练，统一对上级有关单位或部门报告数据安全突发事件情况。</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人员组成</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组长：信息安全管理部总经</w:t>
      </w:r>
      <w:r>
        <w:rPr>
          <w:rFonts w:ascii="仿宋_GB2312" w:eastAsia="仿宋_GB2312" w:hAnsi="宋体" w:hint="eastAsia"/>
          <w:sz w:val="30"/>
          <w:szCs w:val="30"/>
        </w:rPr>
        <w:t>理</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副组长：综合办公室、市场经营部、政企客户部、品质管理部、网络部、信息技术部分管副总经理。</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组员：综合办公室、市场经营部、政企客户部、品质管理部、网络部、信息技术部相关工作责任人。</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主要职责：</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）负责与</w:t>
      </w:r>
      <w:r>
        <w:rPr>
          <w:rFonts w:ascii="仿宋_GB2312" w:eastAsia="仿宋_GB2312" w:hAnsi="宋体" w:hint="eastAsia"/>
          <w:sz w:val="30"/>
          <w:szCs w:val="30"/>
        </w:rPr>
        <w:t>XXX</w:t>
      </w:r>
      <w:r>
        <w:rPr>
          <w:rFonts w:ascii="仿宋_GB2312" w:eastAsia="仿宋_GB2312" w:hAnsi="宋体" w:hint="eastAsia"/>
          <w:sz w:val="30"/>
          <w:szCs w:val="30"/>
        </w:rPr>
        <w:t>公司应急保障领导小组的沟通协调，并向本省应急保障领导小组提出相关工作建议；</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）组织起草、修改</w:t>
      </w:r>
      <w:r>
        <w:rPr>
          <w:rFonts w:ascii="仿宋_GB2312" w:eastAsia="仿宋_GB2312" w:hAnsi="宋体" w:hint="eastAsia"/>
          <w:sz w:val="30"/>
          <w:szCs w:val="30"/>
        </w:rPr>
        <w:t>XXXXXX</w:t>
      </w:r>
      <w:r>
        <w:rPr>
          <w:rFonts w:ascii="仿宋_GB2312" w:eastAsia="仿宋_GB2312" w:hAnsi="宋体" w:hint="eastAsia"/>
          <w:sz w:val="30"/>
          <w:szCs w:val="30"/>
        </w:rPr>
        <w:t>数据安全应急处理预案及相关规定；组织应急预案的测试、培训和演练；执行应急预案的评审、修订任务；</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）按照</w:t>
      </w:r>
      <w:r>
        <w:rPr>
          <w:rFonts w:ascii="仿宋_GB2312" w:eastAsia="仿宋_GB2312" w:hAnsi="宋体" w:hint="eastAsia"/>
          <w:sz w:val="30"/>
          <w:szCs w:val="30"/>
        </w:rPr>
        <w:t>XXXXXX</w:t>
      </w:r>
      <w:r>
        <w:rPr>
          <w:rFonts w:ascii="仿宋_GB2312" w:eastAsia="仿宋_GB2312" w:hAnsi="宋体" w:hint="eastAsia"/>
          <w:sz w:val="30"/>
          <w:szCs w:val="30"/>
        </w:rPr>
        <w:t>应急保障领导小组下达的命令和指示，具体协调处理数据安全应急工作；</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5"/>
          <w:type w:val="nextPage"/>
          <w:pgSz w:w="11906" w:h="16838"/>
          <w:pgMar w:top="1440" w:right="1558" w:bottom="1440" w:left="1800" w:header="851" w:footer="992" w:gutter="0"/>
          <w:pgNumType w:start="9"/>
          <w:cols w:space="425"/>
          <w:titlePg w:val="0"/>
          <w:docGrid w:type="lines" w:linePitch="312"/>
        </w:sectPr>
      </w:pPr>
      <w:r>
        <w:rPr>
          <w:rFonts w:ascii="仿宋_GB2312" w:eastAsia="仿宋_GB2312" w:hAnsi="宋体" w:hint="eastAsia"/>
          <w:sz w:val="30"/>
          <w:szCs w:val="30"/>
        </w:rPr>
        <w:t>（</w:t>
      </w:r>
      <w:r>
        <w:rPr>
          <w:rFonts w:ascii="仿宋_GB2312" w:eastAsia="仿宋_GB2312" w:hAnsi="宋体" w:hint="eastAsia"/>
          <w:sz w:val="30"/>
          <w:szCs w:val="30"/>
        </w:rPr>
        <w:t>4</w:t>
      </w:r>
      <w:r>
        <w:rPr>
          <w:rFonts w:ascii="仿宋_GB2312" w:eastAsia="仿宋_GB2312" w:hAnsi="宋体" w:hint="eastAsia"/>
          <w:sz w:val="30"/>
          <w:szCs w:val="30"/>
        </w:rPr>
        <w:t>）负责省公司各相关部门和各市分公司之间的现场指挥协调，接受</w:t>
      </w:r>
      <w:r>
        <w:rPr>
          <w:rFonts w:ascii="仿宋_GB2312" w:eastAsia="仿宋_GB2312" w:hAnsi="宋体" w:hint="eastAsia"/>
          <w:sz w:val="30"/>
          <w:szCs w:val="30"/>
        </w:rPr>
        <w:t>XXX</w:t>
      </w:r>
      <w:r>
        <w:rPr>
          <w:rFonts w:ascii="仿宋_GB2312" w:eastAsia="仿宋_GB2312" w:hAnsi="宋体" w:hint="eastAsia"/>
          <w:sz w:val="30"/>
          <w:szCs w:val="30"/>
        </w:rPr>
        <w:t>公司应急保障领导小组的指示，组织省公司各相关部门和各市分公司落实数据安全应急处理技术措施；</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5</w:t>
      </w:r>
      <w:r>
        <w:rPr>
          <w:rFonts w:ascii="仿宋_GB2312" w:eastAsia="仿宋_GB2312" w:hAnsi="宋体" w:hint="eastAsia"/>
          <w:sz w:val="30"/>
          <w:szCs w:val="30"/>
        </w:rPr>
        <w:t>）及时收集</w:t>
      </w:r>
      <w:r>
        <w:rPr>
          <w:rFonts w:ascii="仿宋_GB2312" w:eastAsia="仿宋_GB2312" w:hAnsi="宋体" w:hint="eastAsia"/>
          <w:sz w:val="30"/>
          <w:szCs w:val="30"/>
        </w:rPr>
        <w:t>汇总省</w:t>
      </w:r>
      <w:r>
        <w:rPr>
          <w:rFonts w:ascii="仿宋_GB2312" w:eastAsia="仿宋_GB2312" w:hAnsi="宋体" w:hint="eastAsia"/>
          <w:sz w:val="30"/>
          <w:szCs w:val="30"/>
        </w:rPr>
        <w:t>公司各相关部门和各市分公司上报</w:t>
      </w:r>
      <w:r>
        <w:rPr>
          <w:rFonts w:ascii="仿宋_GB2312" w:eastAsia="仿宋_GB2312" w:hAnsi="宋体" w:hint="eastAsia"/>
          <w:sz w:val="30"/>
          <w:szCs w:val="30"/>
        </w:rPr>
        <w:t>/</w:t>
      </w:r>
      <w:r>
        <w:rPr>
          <w:rFonts w:ascii="仿宋_GB2312" w:eastAsia="仿宋_GB2312" w:hAnsi="宋体" w:hint="eastAsia"/>
          <w:sz w:val="30"/>
          <w:szCs w:val="30"/>
        </w:rPr>
        <w:t>反馈的事件进展情况，向省应急保障领导小组报告并提出建议，并根据相关要求，向</w:t>
      </w:r>
      <w:r>
        <w:rPr>
          <w:rFonts w:ascii="仿宋_GB2312" w:eastAsia="仿宋_GB2312" w:hAnsi="宋体" w:hint="eastAsia"/>
          <w:sz w:val="30"/>
          <w:szCs w:val="30"/>
        </w:rPr>
        <w:t>XXX</w:t>
      </w:r>
      <w:r>
        <w:rPr>
          <w:rFonts w:ascii="仿宋_GB2312" w:eastAsia="仿宋_GB2312" w:hAnsi="宋体" w:hint="eastAsia"/>
          <w:sz w:val="30"/>
          <w:szCs w:val="30"/>
        </w:rPr>
        <w:t>公司应急保障领导小组上报相关安全事件处理信息；</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6</w:t>
      </w:r>
      <w:r>
        <w:rPr>
          <w:rFonts w:ascii="仿宋_GB2312" w:eastAsia="仿宋_GB2312" w:hAnsi="宋体" w:hint="eastAsia"/>
          <w:sz w:val="30"/>
          <w:szCs w:val="30"/>
        </w:rPr>
        <w:t>）承担与集团、省数据安全应急响应技术保障部门、省内其他互联网单位以及其他相关应急响应组织的联络，积极参与数据安全事件应急处理合作。</w:t>
      </w:r>
    </w:p>
    <w:p w:rsidR="00014D42">
      <w:pPr>
        <w:pStyle w:val="Heading2"/>
        <w:numPr>
          <w:ilvl w:val="0"/>
          <w:numId w:val="0"/>
        </w:numPr>
        <w:spacing w:before="0" w:after="0" w:line="560" w:lineRule="exact"/>
        <w:rPr>
          <w:rFonts w:ascii="楷体_GB2312" w:eastAsia="楷体_GB2312"/>
          <w:b w:val="0"/>
          <w:bCs w:val="0"/>
        </w:rPr>
      </w:pPr>
      <w:bookmarkStart w:id="37" w:name="_Toc15915515"/>
      <w:bookmarkStart w:id="38" w:name="_Toc18941443"/>
      <w:bookmarkStart w:id="39" w:name="_Toc408930912"/>
      <w:bookmarkEnd w:id="37"/>
      <w:r>
        <w:rPr>
          <w:rFonts w:ascii="楷体_GB2312" w:eastAsia="楷体_GB2312" w:hint="eastAsia"/>
          <w:b w:val="0"/>
          <w:bCs w:val="0"/>
        </w:rPr>
        <w:t>3.3</w:t>
      </w:r>
      <w:r>
        <w:rPr>
          <w:rFonts w:ascii="楷体_GB2312" w:eastAsia="楷体_GB2312" w:hint="eastAsia"/>
          <w:b w:val="0"/>
          <w:bCs w:val="0"/>
        </w:rPr>
        <w:t>应急响应技术保障部门</w:t>
      </w:r>
      <w:bookmarkEnd w:id="38"/>
      <w:bookmarkEnd w:id="39"/>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XXXXXX</w:t>
      </w:r>
      <w:r>
        <w:rPr>
          <w:rFonts w:ascii="仿宋_GB2312" w:eastAsia="仿宋_GB2312" w:hAnsi="宋体" w:hint="eastAsia"/>
          <w:sz w:val="30"/>
          <w:szCs w:val="30"/>
        </w:rPr>
        <w:t>数据安全事件应急响应技术保障部门由网络部、信息技术部、市场部等相关技术部门组成。主要职责包括：</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）制定数据安全事件技术应对表、具体角色和职责分工细则、应急响应协同调度方案；调研和管理相关技术基础；</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）对重大数据安全事件进行评估，提出启动应急响应的建议；研究分析数据安全事件的相关情况及发展趋势，为应急响应提供咨询或提出建议；</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）分析数据安全事件原因及造成的危害，为应急响应实施提供建议支持，协调和配合各部门和各市分公司的应急技术处理及演练。</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4</w:t>
      </w:r>
      <w:r>
        <w:rPr>
          <w:rFonts w:ascii="仿宋_GB2312" w:eastAsia="仿宋_GB2312" w:hAnsi="宋体" w:hint="eastAsia"/>
          <w:sz w:val="30"/>
          <w:szCs w:val="30"/>
        </w:rPr>
        <w:t>）负责为数据安全应急处理工作提供技术支撑；</w:t>
      </w:r>
      <w:r>
        <w:rPr>
          <w:rFonts w:ascii="仿宋_GB2312" w:eastAsia="仿宋_GB2312" w:hAnsi="宋体" w:hint="eastAsia"/>
          <w:sz w:val="30"/>
          <w:szCs w:val="30"/>
        </w:rPr>
        <w:t>利用技术手段，对数据安全事件进行监测，及时收集、核实、汇总、分析、上报有关数据安全信息；保持与</w:t>
      </w:r>
      <w:r>
        <w:rPr>
          <w:rFonts w:ascii="仿宋_GB2312" w:eastAsia="仿宋_GB2312" w:hAnsi="宋体" w:hint="eastAsia"/>
          <w:sz w:val="30"/>
          <w:szCs w:val="30"/>
        </w:rPr>
        <w:t>CMCERT/CC</w:t>
      </w:r>
      <w:r>
        <w:rPr>
          <w:rFonts w:ascii="仿宋_GB2312" w:eastAsia="仿宋_GB2312" w:hAnsi="宋体" w:hint="eastAsia"/>
          <w:sz w:val="30"/>
          <w:szCs w:val="30"/>
        </w:rPr>
        <w:t>、省内其他互联网单位以及其他相关应急响应组织的安全事件应急处理合作。</w:t>
      </w:r>
    </w:p>
    <w:p w:rsidR="00014D42">
      <w:pPr>
        <w:pStyle w:val="Heading2"/>
        <w:numPr>
          <w:ilvl w:val="0"/>
          <w:numId w:val="0"/>
        </w:numPr>
        <w:spacing w:before="0" w:after="0" w:line="560" w:lineRule="exact"/>
        <w:rPr>
          <w:rFonts w:ascii="楷体_GB2312" w:eastAsia="楷体_GB2312"/>
          <w:b w:val="0"/>
          <w:bCs w:val="0"/>
        </w:rPr>
      </w:pPr>
      <w:bookmarkStart w:id="40" w:name="_Toc18941444"/>
      <w:r>
        <w:rPr>
          <w:rFonts w:ascii="楷体_GB2312" w:eastAsia="楷体_GB2312" w:hint="eastAsia"/>
          <w:b w:val="0"/>
          <w:bCs w:val="0"/>
        </w:rPr>
        <w:t>3.4</w:t>
      </w:r>
      <w:r>
        <w:rPr>
          <w:rFonts w:ascii="楷体_GB2312" w:eastAsia="楷体_GB2312" w:hint="eastAsia"/>
          <w:b w:val="0"/>
          <w:bCs w:val="0"/>
        </w:rPr>
        <w:t>应急响应实施小组</w:t>
      </w:r>
      <w:bookmarkEnd w:id="40"/>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6"/>
          <w:type w:val="nextPage"/>
          <w:pgSz w:w="11906" w:h="16838"/>
          <w:pgMar w:top="1440" w:right="1558" w:bottom="1440" w:left="1800" w:header="851" w:footer="992" w:gutter="0"/>
          <w:pgNumType w:start="10"/>
          <w:cols w:space="425"/>
          <w:titlePg w:val="0"/>
          <w:docGrid w:type="lines" w:linePitch="312"/>
        </w:sectPr>
      </w:pPr>
      <w:r>
        <w:rPr>
          <w:rFonts w:ascii="仿宋_GB2312" w:eastAsia="仿宋_GB2312" w:hAnsi="宋体" w:hint="eastAsia"/>
          <w:sz w:val="30"/>
          <w:szCs w:val="30"/>
        </w:rPr>
        <w:t>应急实施小组由综合办公室、市场经营部、政企客户部、品</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质管理部、网络部、信息技术部及各市分公司组成，主要职责包括：</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（一）综合办公室：</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与相关政府管理部门、新闻媒体保持联络和协作，提供法律事务支持。</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（二）市场经营部：</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、实体营业厅、渠道管理；网厅、掌厅、便利店、八</w:t>
      </w:r>
      <w:r>
        <w:rPr>
          <w:rFonts w:ascii="仿宋_GB2312" w:eastAsia="仿宋_GB2312" w:hAnsi="宋体" w:hint="eastAsia"/>
          <w:sz w:val="30"/>
          <w:szCs w:val="30"/>
        </w:rPr>
        <w:t>闽生活</w:t>
      </w:r>
      <w:r>
        <w:rPr>
          <w:rFonts w:ascii="仿宋_GB2312" w:eastAsia="仿宋_GB2312" w:hAnsi="宋体" w:hint="eastAsia"/>
          <w:sz w:val="30"/>
          <w:szCs w:val="30"/>
        </w:rPr>
        <w:t>2</w:t>
      </w:r>
      <w:r>
        <w:rPr>
          <w:rFonts w:ascii="仿宋_GB2312" w:eastAsia="仿宋_GB2312" w:hAnsi="宋体"/>
          <w:sz w:val="30"/>
          <w:szCs w:val="30"/>
        </w:rPr>
        <w:t>4</w:t>
      </w:r>
      <w:r>
        <w:rPr>
          <w:rFonts w:ascii="仿宋_GB2312" w:eastAsia="仿宋_GB2312" w:hAnsi="宋体"/>
          <w:sz w:val="30"/>
          <w:szCs w:val="30"/>
        </w:rPr>
        <w:t>小时营业厅</w:t>
      </w:r>
      <w:r>
        <w:rPr>
          <w:rFonts w:ascii="仿宋_GB2312" w:eastAsia="仿宋_GB2312" w:hAnsi="宋体" w:hint="eastAsia"/>
          <w:sz w:val="30"/>
          <w:szCs w:val="30"/>
        </w:rPr>
        <w:t>等自建系统或应用，以</w:t>
      </w:r>
      <w:r>
        <w:rPr>
          <w:rFonts w:ascii="仿宋_GB2312" w:eastAsia="仿宋_GB2312" w:hAnsi="宋体" w:hint="eastAsia"/>
          <w:sz w:val="30"/>
          <w:szCs w:val="30"/>
        </w:rPr>
        <w:t>及相关</w:t>
      </w:r>
      <w:r>
        <w:rPr>
          <w:rFonts w:ascii="仿宋_GB2312" w:eastAsia="仿宋_GB2312" w:hAnsi="宋体" w:hint="eastAsia"/>
          <w:sz w:val="30"/>
          <w:szCs w:val="30"/>
        </w:rPr>
        <w:t>微信公众号</w:t>
      </w:r>
      <w:r>
        <w:rPr>
          <w:rFonts w:ascii="仿宋_GB2312" w:eastAsia="仿宋_GB2312" w:hAnsi="宋体" w:hint="eastAsia"/>
          <w:sz w:val="30"/>
          <w:szCs w:val="30"/>
        </w:rPr>
        <w:t>等的应急处理；</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sz w:val="30"/>
          <w:szCs w:val="30"/>
        </w:rPr>
        <w:t>2</w:t>
      </w:r>
      <w:r>
        <w:rPr>
          <w:rFonts w:ascii="仿宋_GB2312" w:eastAsia="仿宋_GB2312" w:hAnsi="宋体" w:hint="eastAsia"/>
          <w:sz w:val="30"/>
          <w:szCs w:val="30"/>
        </w:rPr>
        <w:t>、各类营销活动的数据安全管控，特别是</w:t>
      </w:r>
      <w:r>
        <w:rPr>
          <w:rFonts w:ascii="仿宋_GB2312" w:eastAsia="仿宋_GB2312" w:hAnsi="宋体" w:hint="eastAsia"/>
          <w:sz w:val="30"/>
          <w:szCs w:val="30"/>
        </w:rPr>
        <w:t>涉敏数据流转管</w:t>
      </w:r>
      <w:r>
        <w:rPr>
          <w:rFonts w:ascii="仿宋_GB2312" w:eastAsia="仿宋_GB2312" w:hAnsi="宋体" w:hint="eastAsia"/>
          <w:sz w:val="30"/>
          <w:szCs w:val="30"/>
        </w:rPr>
        <w:t>控；</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w:t>
      </w:r>
      <w:r>
        <w:rPr>
          <w:rFonts w:ascii="仿宋_GB2312" w:eastAsia="仿宋_GB2312" w:hAnsi="宋体" w:hint="eastAsia"/>
          <w:sz w:val="30"/>
          <w:szCs w:val="30"/>
        </w:rPr>
        <w:t>BOP</w:t>
      </w:r>
      <w:r>
        <w:rPr>
          <w:rFonts w:ascii="仿宋_GB2312" w:eastAsia="仿宋_GB2312" w:hAnsi="宋体" w:hint="eastAsia"/>
          <w:sz w:val="30"/>
          <w:szCs w:val="30"/>
        </w:rPr>
        <w:t>、</w:t>
      </w:r>
      <w:r>
        <w:rPr>
          <w:rFonts w:ascii="仿宋_GB2312" w:eastAsia="仿宋_GB2312" w:hAnsi="宋体" w:hint="eastAsia"/>
          <w:sz w:val="30"/>
          <w:szCs w:val="30"/>
        </w:rPr>
        <w:t>IBOP</w:t>
      </w:r>
      <w:r>
        <w:rPr>
          <w:rFonts w:ascii="仿宋_GB2312" w:eastAsia="仿宋_GB2312" w:hAnsi="宋体" w:hint="eastAsia"/>
          <w:sz w:val="30"/>
          <w:szCs w:val="30"/>
        </w:rPr>
        <w:t>等账号封堵，及真实使用者溯源。</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（三）政企客户部</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、集团产品、行业端口、</w:t>
      </w:r>
      <w:r>
        <w:rPr>
          <w:rFonts w:ascii="仿宋_GB2312" w:eastAsia="仿宋_GB2312" w:hAnsi="宋体" w:hint="eastAsia"/>
          <w:sz w:val="30"/>
          <w:szCs w:val="30"/>
        </w:rPr>
        <w:t>MAS</w:t>
      </w:r>
      <w:r>
        <w:rPr>
          <w:rFonts w:ascii="仿宋_GB2312" w:eastAsia="仿宋_GB2312" w:hAnsi="宋体" w:hint="eastAsia"/>
          <w:sz w:val="30"/>
          <w:szCs w:val="30"/>
        </w:rPr>
        <w:t>信息机等政企业务，</w:t>
      </w:r>
      <w:r>
        <w:rPr>
          <w:rFonts w:ascii="仿宋_GB2312" w:eastAsia="仿宋_GB2312" w:hAnsi="宋体" w:hint="eastAsia"/>
          <w:sz w:val="30"/>
          <w:szCs w:val="30"/>
        </w:rPr>
        <w:t>M</w:t>
      </w:r>
      <w:r>
        <w:rPr>
          <w:rFonts w:ascii="仿宋_GB2312" w:eastAsia="仿宋_GB2312" w:hAnsi="宋体"/>
          <w:sz w:val="30"/>
          <w:szCs w:val="30"/>
        </w:rPr>
        <w:t>OP</w:t>
      </w:r>
      <w:r>
        <w:rPr>
          <w:rFonts w:ascii="仿宋_GB2312" w:eastAsia="仿宋_GB2312" w:hAnsi="宋体" w:hint="eastAsia"/>
          <w:sz w:val="30"/>
          <w:szCs w:val="30"/>
        </w:rPr>
        <w:t>、</w:t>
      </w:r>
      <w:r>
        <w:rPr>
          <w:rFonts w:ascii="仿宋_GB2312" w:eastAsia="仿宋_GB2312" w:hAnsi="宋体" w:hint="eastAsia"/>
          <w:sz w:val="30"/>
          <w:szCs w:val="30"/>
        </w:rPr>
        <w:t>ESOP</w:t>
      </w:r>
      <w:r>
        <w:rPr>
          <w:rFonts w:ascii="仿宋_GB2312" w:eastAsia="仿宋_GB2312" w:hAnsi="宋体" w:hint="eastAsia"/>
          <w:sz w:val="30"/>
          <w:szCs w:val="30"/>
        </w:rPr>
        <w:t>等自建系统或应用，及相关</w:t>
      </w:r>
      <w:r>
        <w:rPr>
          <w:rFonts w:ascii="仿宋_GB2312" w:eastAsia="仿宋_GB2312" w:hAnsi="宋体" w:hint="eastAsia"/>
          <w:sz w:val="30"/>
          <w:szCs w:val="30"/>
        </w:rPr>
        <w:t>微信公众号</w:t>
      </w:r>
      <w:r>
        <w:rPr>
          <w:rFonts w:ascii="仿宋_GB2312" w:eastAsia="仿宋_GB2312" w:hAnsi="宋体" w:hint="eastAsia"/>
          <w:sz w:val="30"/>
          <w:szCs w:val="30"/>
        </w:rPr>
        <w:t>等的应急处理；拟定涉及集团客户感知的统一口径信息，做好签约集团客户的解释、疏导工作。</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sz w:val="30"/>
          <w:szCs w:val="30"/>
        </w:rPr>
        <w:t>2</w:t>
      </w:r>
      <w:r>
        <w:rPr>
          <w:rFonts w:ascii="仿宋_GB2312" w:eastAsia="仿宋_GB2312" w:hAnsi="宋体" w:hint="eastAsia"/>
          <w:sz w:val="30"/>
          <w:szCs w:val="30"/>
        </w:rPr>
        <w:t>、各类营销活动的数据安全管控，特别是</w:t>
      </w:r>
      <w:r>
        <w:rPr>
          <w:rFonts w:ascii="仿宋_GB2312" w:eastAsia="仿宋_GB2312" w:hAnsi="宋体" w:hint="eastAsia"/>
          <w:sz w:val="30"/>
          <w:szCs w:val="30"/>
        </w:rPr>
        <w:t>涉敏数据流转管</w:t>
      </w:r>
      <w:r>
        <w:rPr>
          <w:rFonts w:ascii="仿宋_GB2312" w:eastAsia="仿宋_GB2312" w:hAnsi="宋体" w:hint="eastAsia"/>
          <w:sz w:val="30"/>
          <w:szCs w:val="30"/>
        </w:rPr>
        <w:t>控。</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（四）品质管理部：</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统一协调客户服务管理工作；牵头组织涉及客户感知的统一口径信息；梳理内部通道，接受与客户信息等数据安全有关的投诉；组织协调对客户的解释、疏导工作，维护企业良好形象。</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（五）网络部</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7"/>
          <w:type w:val="nextPage"/>
          <w:pgSz w:w="11906" w:h="16838"/>
          <w:pgMar w:top="1440" w:right="1558" w:bottom="1440" w:left="1800" w:header="851" w:footer="992" w:gutter="0"/>
          <w:pgNumType w:start="11"/>
          <w:cols w:space="425"/>
          <w:titlePg w:val="0"/>
          <w:docGrid w:type="lines" w:linePitch="312"/>
        </w:sectPr>
      </w:pPr>
      <w:r>
        <w:rPr>
          <w:rFonts w:ascii="仿宋_GB2312" w:eastAsia="仿宋_GB2312" w:hAnsi="宋体" w:hint="eastAsia"/>
          <w:sz w:val="30"/>
          <w:szCs w:val="30"/>
        </w:rPr>
        <w:t>1</w:t>
      </w:r>
      <w:r>
        <w:rPr>
          <w:rFonts w:ascii="仿宋_GB2312" w:eastAsia="仿宋_GB2312" w:hAnsi="宋体" w:hint="eastAsia"/>
          <w:sz w:val="30"/>
          <w:szCs w:val="30"/>
        </w:rPr>
        <w:t>、施工调度系统等自建系统或应用，以及相关</w:t>
      </w:r>
      <w:r>
        <w:rPr>
          <w:rFonts w:ascii="仿宋_GB2312" w:eastAsia="仿宋_GB2312" w:hAnsi="宋体" w:hint="eastAsia"/>
          <w:sz w:val="30"/>
          <w:szCs w:val="30"/>
        </w:rPr>
        <w:t>微信公众号</w:t>
      </w:r>
      <w:r>
        <w:rPr>
          <w:rFonts w:ascii="仿宋_GB2312" w:eastAsia="仿宋_GB2312" w:hAnsi="宋体" w:hint="eastAsia"/>
          <w:sz w:val="30"/>
          <w:szCs w:val="30"/>
        </w:rPr>
        <w:t>等的应急处理；</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sz w:val="30"/>
          <w:szCs w:val="30"/>
        </w:rPr>
        <w:t>2</w:t>
      </w:r>
      <w:r>
        <w:rPr>
          <w:rFonts w:ascii="仿宋_GB2312" w:eastAsia="仿宋_GB2312" w:hAnsi="宋体" w:hint="eastAsia"/>
          <w:sz w:val="30"/>
          <w:szCs w:val="30"/>
        </w:rPr>
        <w:t>、数据流量，</w:t>
      </w:r>
      <w:r>
        <w:rPr>
          <w:rFonts w:ascii="仿宋_GB2312" w:eastAsia="仿宋_GB2312" w:hAnsi="宋体" w:hint="eastAsia"/>
          <w:sz w:val="30"/>
          <w:szCs w:val="30"/>
        </w:rPr>
        <w:t>家宽等</w:t>
      </w:r>
      <w:r>
        <w:rPr>
          <w:rFonts w:ascii="仿宋_GB2312" w:eastAsia="仿宋_GB2312" w:hAnsi="宋体" w:hint="eastAsia"/>
          <w:sz w:val="30"/>
          <w:szCs w:val="30"/>
        </w:rPr>
        <w:t>IP</w:t>
      </w:r>
      <w:r>
        <w:rPr>
          <w:rFonts w:ascii="仿宋_GB2312" w:eastAsia="仿宋_GB2312" w:hAnsi="宋体" w:hint="eastAsia"/>
          <w:sz w:val="30"/>
          <w:szCs w:val="30"/>
        </w:rPr>
        <w:t>真实地址溯源及封堵。</w:t>
      </w:r>
    </w:p>
    <w:p w:rsidR="00014D42">
      <w:pPr>
        <w:pStyle w:val="Heading1"/>
        <w:numPr>
          <w:ilvl w:val="0"/>
          <w:numId w:val="0"/>
        </w:numPr>
        <w:spacing w:line="560" w:lineRule="exact"/>
        <w:rPr>
          <w:rFonts w:ascii="黑体" w:hAnsi="黑体"/>
          <w:b w:val="0"/>
          <w:bCs w:val="0"/>
          <w:lang w:eastAsia="zh-CN"/>
        </w:rPr>
      </w:pPr>
      <w:bookmarkStart w:id="41" w:name="_Toc18941445"/>
      <w:r>
        <w:rPr>
          <w:rFonts w:ascii="黑体" w:hAnsi="黑体"/>
          <w:b w:val="0"/>
          <w:bCs w:val="0"/>
          <w:lang w:eastAsia="zh-CN"/>
        </w:rPr>
        <w:t>4.</w:t>
      </w:r>
      <w:r>
        <w:rPr>
          <w:rFonts w:ascii="黑体" w:hAnsi="黑体" w:hint="eastAsia"/>
          <w:b w:val="0"/>
          <w:bCs w:val="0"/>
          <w:lang w:eastAsia="zh-CN"/>
        </w:rPr>
        <w:t>数据安全事件分级</w:t>
      </w:r>
      <w:bookmarkEnd w:id="41"/>
    </w:p>
    <w:p w:rsidR="00014D42">
      <w:pPr>
        <w:adjustRightInd w:val="0"/>
        <w:snapToGrid w:val="0"/>
        <w:spacing w:line="560" w:lineRule="exact"/>
        <w:ind w:firstLine="600" w:firstLineChars="200"/>
        <w:rPr>
          <w:rFonts w:ascii="仿宋_GB2312" w:eastAsia="仿宋_GB2312" w:hAnsi="宋体"/>
          <w:sz w:val="30"/>
          <w:szCs w:val="30"/>
        </w:rPr>
      </w:pPr>
      <w:bookmarkStart w:id="42" w:name="_Toc15915532"/>
      <w:bookmarkStart w:id="43" w:name="_Toc15915533"/>
      <w:bookmarkStart w:id="44" w:name="_Toc15915534"/>
      <w:bookmarkEnd w:id="42"/>
      <w:bookmarkEnd w:id="43"/>
      <w:bookmarkEnd w:id="44"/>
      <w:r>
        <w:rPr>
          <w:rFonts w:ascii="仿宋_GB2312" w:eastAsia="仿宋_GB2312" w:hAnsi="宋体" w:hint="eastAsia"/>
          <w:sz w:val="30"/>
          <w:szCs w:val="30"/>
        </w:rPr>
        <w:t>根据</w:t>
      </w:r>
      <w:r>
        <w:rPr>
          <w:rFonts w:ascii="仿宋_GB2312" w:eastAsia="仿宋_GB2312" w:hAnsi="宋体" w:hint="eastAsia"/>
          <w:sz w:val="30"/>
          <w:szCs w:val="30"/>
        </w:rPr>
        <w:t>GB/T20986-2007</w:t>
      </w:r>
      <w:r>
        <w:rPr>
          <w:rFonts w:ascii="仿宋_GB2312" w:eastAsia="仿宋_GB2312" w:hAnsi="宋体" w:hint="eastAsia"/>
          <w:sz w:val="30"/>
          <w:szCs w:val="30"/>
        </w:rPr>
        <w:t>（《信息安全技术信息安全事件分类分级指南》）和数据安全事件对国家安全、社会稳定、公众权益、公司利益和声誉的影响程度，并按照数据安全事件的影响范围及持续时间等因素，结合公司实际，将数据安全事件分为四级：特别重大数据安全事件（一级）、重大数据安全事件（二级）、较大数据安全事件（三级）和一般数据安全事件（四级）。当数据安全事件同时满足多个级别的定级条件时，按最高级别确定数据安全事件等级。</w:t>
      </w:r>
    </w:p>
    <w:p w:rsidR="00014D42">
      <w:pPr>
        <w:pStyle w:val="Heading2"/>
        <w:numPr>
          <w:ilvl w:val="0"/>
          <w:numId w:val="0"/>
        </w:numPr>
        <w:spacing w:before="0" w:after="0" w:line="560" w:lineRule="exact"/>
        <w:rPr>
          <w:rFonts w:ascii="楷体_GB2312" w:eastAsia="楷体_GB2312"/>
          <w:b w:val="0"/>
          <w:bCs w:val="0"/>
        </w:rPr>
      </w:pPr>
      <w:bookmarkStart w:id="45" w:name="_Toc18941446"/>
      <w:bookmarkEnd w:id="1"/>
      <w:bookmarkEnd w:id="2"/>
      <w:r>
        <w:rPr>
          <w:rFonts w:ascii="楷体_GB2312" w:eastAsia="楷体_GB2312" w:hint="eastAsia"/>
          <w:b w:val="0"/>
          <w:bCs w:val="0"/>
        </w:rPr>
        <w:t>4.1</w:t>
      </w:r>
      <w:r>
        <w:rPr>
          <w:rFonts w:ascii="楷体_GB2312" w:eastAsia="楷体_GB2312" w:hint="eastAsia"/>
          <w:b w:val="0"/>
          <w:bCs w:val="0"/>
        </w:rPr>
        <w:t>特别重大数据安全事件（一级）</w:t>
      </w:r>
      <w:bookmarkEnd w:id="45"/>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特别重大数据安全事件是指其发生能够导致特别严重的影响或破坏</w:t>
      </w:r>
      <w:r>
        <w:rPr>
          <w:rFonts w:ascii="仿宋_GB2312" w:eastAsia="仿宋_GB2312" w:hAnsi="宋体" w:hint="eastAsia"/>
          <w:sz w:val="30"/>
          <w:szCs w:val="30"/>
        </w:rPr>
        <w:t>的数据安全事件。符合下列情形之一的，为特别重大数据安全事件（一级）：</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数据被损坏、丢失且无法恢复，或数据泄露、非法使用，造成经营秩序混乱或重大经济损失、极大影响公司业务稳定，或对全国用户产生负面影响的；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国家秘密信息、重要敏感信息和关键数据丢失或被窃取、篡改、假冒，对国家安全和社会稳定构成特别严重威胁；</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发生特别严重用户信息泄露事件，造成</w:t>
      </w:r>
      <w:r>
        <w:rPr>
          <w:rFonts w:ascii="仿宋_GB2312" w:eastAsia="仿宋_GB2312" w:hAnsi="宋体" w:hint="eastAsia"/>
          <w:sz w:val="30"/>
          <w:szCs w:val="30"/>
        </w:rPr>
        <w:t>1</w:t>
      </w:r>
      <w:r>
        <w:rPr>
          <w:rFonts w:ascii="仿宋_GB2312" w:eastAsia="仿宋_GB2312" w:hAnsi="宋体" w:hint="eastAsia"/>
          <w:sz w:val="30"/>
          <w:szCs w:val="30"/>
        </w:rPr>
        <w:t>亿条以上用户信息泄露的；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4.</w:t>
      </w:r>
      <w:r>
        <w:rPr>
          <w:rFonts w:ascii="仿宋_GB2312" w:eastAsia="仿宋_GB2312" w:hAnsi="宋体" w:hint="eastAsia"/>
          <w:sz w:val="30"/>
          <w:szCs w:val="30"/>
        </w:rPr>
        <w:t>重要数据业务相关平台系统遭到攻击，服务中断</w:t>
      </w:r>
      <w:r>
        <w:rPr>
          <w:rFonts w:ascii="仿宋_GB2312" w:eastAsia="仿宋_GB2312" w:hAnsi="宋体" w:hint="eastAsia"/>
          <w:sz w:val="30"/>
          <w:szCs w:val="30"/>
        </w:rPr>
        <w:t>12</w:t>
      </w:r>
      <w:r>
        <w:rPr>
          <w:rFonts w:ascii="仿宋_GB2312" w:eastAsia="仿宋_GB2312" w:hAnsi="宋体" w:hint="eastAsia"/>
          <w:sz w:val="30"/>
          <w:szCs w:val="30"/>
        </w:rPr>
        <w:t>小时以上的；</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8"/>
          <w:type w:val="nextPage"/>
          <w:pgSz w:w="11906" w:h="16838"/>
          <w:pgMar w:top="1440" w:right="1558" w:bottom="1440" w:left="1800" w:header="851" w:footer="992" w:gutter="0"/>
          <w:pgNumType w:start="12"/>
          <w:cols w:space="425"/>
          <w:titlePg w:val="0"/>
          <w:docGrid w:type="lines" w:linePitch="312"/>
        </w:sectPr>
      </w:pPr>
      <w:r>
        <w:rPr>
          <w:rFonts w:ascii="仿宋_GB2312" w:eastAsia="仿宋_GB2312" w:hAnsi="宋体" w:hint="eastAsia"/>
          <w:sz w:val="30"/>
          <w:szCs w:val="30"/>
        </w:rPr>
        <w:t>5.</w:t>
      </w:r>
      <w:r>
        <w:rPr>
          <w:rFonts w:ascii="仿宋_GB2312" w:eastAsia="仿宋_GB2312" w:hAnsi="宋体" w:hint="eastAsia"/>
          <w:sz w:val="30"/>
          <w:szCs w:val="30"/>
        </w:rPr>
        <w:t>通过中央媒体曝光的</w:t>
      </w:r>
      <w:r>
        <w:rPr>
          <w:rFonts w:ascii="仿宋_GB2312" w:eastAsia="仿宋_GB2312" w:hAnsi="宋体" w:hint="eastAsia"/>
          <w:sz w:val="30"/>
          <w:szCs w:val="30"/>
        </w:rPr>
        <w:t>XXX</w:t>
      </w:r>
      <w:r>
        <w:rPr>
          <w:rFonts w:ascii="仿宋_GB2312" w:eastAsia="仿宋_GB2312" w:hAnsi="宋体" w:hint="eastAsia"/>
          <w:sz w:val="30"/>
          <w:szCs w:val="30"/>
        </w:rPr>
        <w:t>业务相关的数据安全事件；</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6.</w:t>
      </w:r>
      <w:r>
        <w:rPr>
          <w:rFonts w:ascii="仿宋_GB2312" w:eastAsia="仿宋_GB2312" w:hAnsi="宋体" w:hint="eastAsia"/>
          <w:sz w:val="30"/>
          <w:szCs w:val="30"/>
        </w:rPr>
        <w:t>发生的数据</w:t>
      </w:r>
      <w:r>
        <w:rPr>
          <w:rFonts w:ascii="仿宋_GB2312" w:eastAsia="仿宋_GB2312" w:hAnsi="宋体" w:hint="eastAsia"/>
          <w:sz w:val="30"/>
          <w:szCs w:val="30"/>
        </w:rPr>
        <w:t>安全事件超出省级单位自身的协调处理能力，需要集团提供数据安全保障统一协调处理的；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7.</w:t>
      </w:r>
      <w:r>
        <w:rPr>
          <w:rFonts w:ascii="仿宋_GB2312" w:eastAsia="仿宋_GB2312" w:hAnsi="宋体" w:hint="eastAsia"/>
          <w:sz w:val="30"/>
          <w:szCs w:val="30"/>
        </w:rPr>
        <w:t>其他对国家安全、社会秩序、公众利益、公司利益和声誉构成特别严重威胁、造成特别严重影响的</w:t>
      </w:r>
      <w:r>
        <w:rPr>
          <w:rFonts w:ascii="仿宋_GB2312" w:eastAsia="仿宋_GB2312" w:hAnsi="宋体" w:hint="eastAsia"/>
          <w:sz w:val="30"/>
          <w:szCs w:val="30"/>
        </w:rPr>
        <w:t>XXX</w:t>
      </w:r>
      <w:r>
        <w:rPr>
          <w:rFonts w:ascii="仿宋_GB2312" w:eastAsia="仿宋_GB2312" w:hAnsi="宋体" w:hint="eastAsia"/>
          <w:sz w:val="30"/>
          <w:szCs w:val="30"/>
        </w:rPr>
        <w:t>业务相关的数据安全事件。</w:t>
      </w:r>
    </w:p>
    <w:p w:rsidR="00014D42">
      <w:pPr>
        <w:pStyle w:val="Heading2"/>
        <w:numPr>
          <w:ilvl w:val="0"/>
          <w:numId w:val="0"/>
        </w:numPr>
        <w:spacing w:before="0" w:after="0" w:line="560" w:lineRule="exact"/>
        <w:rPr>
          <w:rFonts w:ascii="楷体_GB2312" w:eastAsia="楷体_GB2312"/>
          <w:b w:val="0"/>
          <w:bCs w:val="0"/>
        </w:rPr>
      </w:pPr>
      <w:bookmarkStart w:id="46" w:name="_Toc18941447"/>
      <w:r>
        <w:rPr>
          <w:rFonts w:ascii="楷体_GB2312" w:eastAsia="楷体_GB2312" w:hint="eastAsia"/>
          <w:b w:val="0"/>
          <w:bCs w:val="0"/>
        </w:rPr>
        <w:t>4.2</w:t>
      </w:r>
      <w:r>
        <w:rPr>
          <w:rFonts w:ascii="楷体_GB2312" w:eastAsia="楷体_GB2312" w:hint="eastAsia"/>
          <w:b w:val="0"/>
          <w:bCs w:val="0"/>
        </w:rPr>
        <w:t>重大数据安全事件（二级）</w:t>
      </w:r>
      <w:bookmarkEnd w:id="46"/>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重大数据安全事件是指其发生能够导致严重的影响或破坏的数据安全事件。符合下列情形之一且未达到特别重大数据安全事件（一级）的，为重大数据安全事件（二级）：</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数据被损坏、丢失，但可通过备份进行恢复，或数据泄露、非法使用，扰乱经营秩序或造成经济损失、影响公司业务稳定，或对多省市用</w:t>
      </w:r>
      <w:r>
        <w:rPr>
          <w:rFonts w:ascii="仿宋_GB2312" w:eastAsia="仿宋_GB2312" w:hAnsi="宋体" w:hint="eastAsia"/>
          <w:sz w:val="30"/>
          <w:szCs w:val="30"/>
        </w:rPr>
        <w:t>户产生负面影响的；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国家秘密信息、重要敏感信息和关键数据丢失或被窃取、篡改、假冒，对国家安全和社会稳定构成严重威胁；</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发生严重用户信息泄露事件，造成</w:t>
      </w:r>
      <w:r>
        <w:rPr>
          <w:rFonts w:ascii="仿宋_GB2312" w:eastAsia="仿宋_GB2312" w:hAnsi="宋体" w:hint="eastAsia"/>
          <w:sz w:val="30"/>
          <w:szCs w:val="30"/>
        </w:rPr>
        <w:t>1</w:t>
      </w:r>
      <w:r>
        <w:rPr>
          <w:rFonts w:ascii="仿宋_GB2312" w:eastAsia="仿宋_GB2312" w:hAnsi="宋体" w:hint="eastAsia"/>
          <w:sz w:val="30"/>
          <w:szCs w:val="30"/>
        </w:rPr>
        <w:t>千万条以上</w:t>
      </w:r>
      <w:r>
        <w:rPr>
          <w:rFonts w:ascii="仿宋_GB2312" w:eastAsia="仿宋_GB2312" w:hAnsi="宋体" w:hint="eastAsia"/>
          <w:sz w:val="30"/>
          <w:szCs w:val="30"/>
        </w:rPr>
        <w:t>用户信息泄露的；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4.</w:t>
      </w:r>
      <w:r>
        <w:rPr>
          <w:rFonts w:ascii="仿宋_GB2312" w:eastAsia="仿宋_GB2312" w:hAnsi="宋体" w:hint="eastAsia"/>
          <w:sz w:val="30"/>
          <w:szCs w:val="30"/>
        </w:rPr>
        <w:t>重要数据业务相关平台系统遭到攻击，服务中断</w:t>
      </w:r>
      <w:r>
        <w:rPr>
          <w:rFonts w:ascii="仿宋_GB2312" w:eastAsia="仿宋_GB2312" w:hAnsi="宋体" w:hint="eastAsia"/>
          <w:sz w:val="30"/>
          <w:szCs w:val="30"/>
        </w:rPr>
        <w:t>8</w:t>
      </w:r>
      <w:r>
        <w:rPr>
          <w:rFonts w:ascii="仿宋_GB2312" w:eastAsia="仿宋_GB2312" w:hAnsi="宋体" w:hint="eastAsia"/>
          <w:sz w:val="30"/>
          <w:szCs w:val="30"/>
        </w:rPr>
        <w:t>小时以上的；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5.</w:t>
      </w:r>
      <w:r>
        <w:rPr>
          <w:rFonts w:ascii="仿宋_GB2312" w:eastAsia="仿宋_GB2312" w:hAnsi="宋体" w:hint="eastAsia"/>
          <w:sz w:val="30"/>
          <w:szCs w:val="30"/>
        </w:rPr>
        <w:t>通过省级媒体曝光或上级主管部门通报的</w:t>
      </w:r>
      <w:r>
        <w:rPr>
          <w:rFonts w:ascii="仿宋_GB2312" w:eastAsia="仿宋_GB2312" w:hAnsi="宋体" w:hint="eastAsia"/>
          <w:sz w:val="30"/>
          <w:szCs w:val="30"/>
        </w:rPr>
        <w:t>XXX</w:t>
      </w:r>
      <w:r>
        <w:rPr>
          <w:rFonts w:ascii="仿宋_GB2312" w:eastAsia="仿宋_GB2312" w:hAnsi="宋体" w:hint="eastAsia"/>
          <w:sz w:val="30"/>
          <w:szCs w:val="30"/>
        </w:rPr>
        <w:t>业务相关的数据安全事件；</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6.</w:t>
      </w:r>
      <w:r>
        <w:rPr>
          <w:rFonts w:ascii="仿宋_GB2312" w:eastAsia="仿宋_GB2312" w:hAnsi="宋体" w:hint="eastAsia"/>
          <w:sz w:val="30"/>
          <w:szCs w:val="30"/>
        </w:rPr>
        <w:t>发生的数据安全事件超出地市级单位处置能力，需要省级单位提供数据安全保障的；</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19"/>
          <w:type w:val="nextPage"/>
          <w:pgSz w:w="11906" w:h="16838"/>
          <w:pgMar w:top="1440" w:right="1558" w:bottom="1440" w:left="1800" w:header="851" w:footer="992" w:gutter="0"/>
          <w:pgNumType w:start="13"/>
          <w:cols w:space="425"/>
          <w:titlePg w:val="0"/>
          <w:docGrid w:type="lines" w:linePitch="312"/>
        </w:sectPr>
      </w:pPr>
      <w:r>
        <w:rPr>
          <w:rFonts w:ascii="仿宋_GB2312" w:eastAsia="仿宋_GB2312" w:hAnsi="宋体" w:hint="eastAsia"/>
          <w:sz w:val="30"/>
          <w:szCs w:val="30"/>
        </w:rPr>
        <w:t>7.</w:t>
      </w:r>
      <w:r>
        <w:rPr>
          <w:rFonts w:ascii="仿宋_GB2312" w:eastAsia="仿宋_GB2312" w:hAnsi="宋体" w:hint="eastAsia"/>
          <w:sz w:val="30"/>
          <w:szCs w:val="30"/>
        </w:rPr>
        <w:t>其他对社会秩序、公众利益、公司利益和声誉构成严重威胁、造成严重影响的</w:t>
      </w:r>
      <w:r>
        <w:rPr>
          <w:rFonts w:ascii="仿宋_GB2312" w:eastAsia="仿宋_GB2312" w:hAnsi="宋体" w:hint="eastAsia"/>
          <w:sz w:val="30"/>
          <w:szCs w:val="30"/>
        </w:rPr>
        <w:t>XXX</w:t>
      </w:r>
      <w:r>
        <w:rPr>
          <w:rFonts w:ascii="仿宋_GB2312" w:eastAsia="仿宋_GB2312" w:hAnsi="宋体" w:hint="eastAsia"/>
          <w:sz w:val="30"/>
          <w:szCs w:val="30"/>
        </w:rPr>
        <w:t>业务相关的数据安全事件。</w:t>
      </w:r>
    </w:p>
    <w:p w:rsidR="00014D42">
      <w:pPr>
        <w:pStyle w:val="Heading2"/>
        <w:numPr>
          <w:ilvl w:val="0"/>
          <w:numId w:val="0"/>
        </w:numPr>
        <w:spacing w:before="0" w:after="0" w:line="560" w:lineRule="exact"/>
        <w:rPr>
          <w:rFonts w:ascii="楷体_GB2312" w:eastAsia="楷体_GB2312"/>
          <w:b w:val="0"/>
          <w:bCs w:val="0"/>
        </w:rPr>
      </w:pPr>
      <w:bookmarkStart w:id="47" w:name="_Toc18941448"/>
      <w:r>
        <w:rPr>
          <w:rFonts w:ascii="楷体_GB2312" w:eastAsia="楷体_GB2312" w:hint="eastAsia"/>
          <w:b w:val="0"/>
          <w:bCs w:val="0"/>
        </w:rPr>
        <w:t>4.3</w:t>
      </w:r>
      <w:r>
        <w:rPr>
          <w:rFonts w:ascii="楷体_GB2312" w:eastAsia="楷体_GB2312" w:hint="eastAsia"/>
          <w:b w:val="0"/>
          <w:bCs w:val="0"/>
        </w:rPr>
        <w:t>较大数据安全事件（三级）</w:t>
      </w:r>
      <w:bookmarkEnd w:id="47"/>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较大数据安全事件是指其发生能够导致较严重的影响或破坏的数据安全事件。符合下列情形之一且未达到重大数据安全事件（二级）的，为较大数据安全事件（三级）：</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数据部分被损坏、丢失，但可通过备份进行恢复，或数据泄露、非法使用，影响省市公司业务稳定，或对某省市用户产生负面影响的；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重要数据业务相关平台系统遭到攻击，服务中断</w:t>
      </w:r>
      <w:r>
        <w:rPr>
          <w:rFonts w:ascii="仿宋_GB2312" w:eastAsia="仿宋_GB2312" w:hAnsi="宋体" w:hint="eastAsia"/>
          <w:sz w:val="30"/>
          <w:szCs w:val="30"/>
        </w:rPr>
        <w:t>4</w:t>
      </w:r>
      <w:r>
        <w:rPr>
          <w:rFonts w:ascii="仿宋_GB2312" w:eastAsia="仿宋_GB2312" w:hAnsi="宋体" w:hint="eastAsia"/>
          <w:sz w:val="30"/>
          <w:szCs w:val="30"/>
        </w:rPr>
        <w:t>小时以上的；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国家秘密信息、重要敏感信息和关键数据丢失或被窃取、篡改、假冒，对国家安全和社会稳定构成较严重威胁；</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4.</w:t>
      </w:r>
      <w:r>
        <w:rPr>
          <w:rFonts w:ascii="仿宋_GB2312" w:eastAsia="仿宋_GB2312" w:hAnsi="宋体" w:hint="eastAsia"/>
          <w:sz w:val="30"/>
          <w:szCs w:val="30"/>
        </w:rPr>
        <w:t>发生较严重用户信息泄露事件，造成</w:t>
      </w:r>
      <w:r>
        <w:rPr>
          <w:rFonts w:ascii="仿宋_GB2312" w:eastAsia="仿宋_GB2312" w:hAnsi="宋体" w:hint="eastAsia"/>
          <w:sz w:val="30"/>
          <w:szCs w:val="30"/>
        </w:rPr>
        <w:t>1</w:t>
      </w:r>
      <w:r>
        <w:rPr>
          <w:rFonts w:ascii="仿宋_GB2312" w:eastAsia="仿宋_GB2312" w:hAnsi="宋体" w:hint="eastAsia"/>
          <w:sz w:val="30"/>
          <w:szCs w:val="30"/>
        </w:rPr>
        <w:t>百</w:t>
      </w:r>
      <w:r>
        <w:rPr>
          <w:rFonts w:ascii="仿宋_GB2312" w:eastAsia="仿宋_GB2312" w:hAnsi="宋体" w:hint="eastAsia"/>
          <w:sz w:val="30"/>
          <w:szCs w:val="30"/>
        </w:rPr>
        <w:t>万条以上</w:t>
      </w:r>
      <w:r>
        <w:rPr>
          <w:rFonts w:ascii="仿宋_GB2312" w:eastAsia="仿宋_GB2312" w:hAnsi="宋体" w:hint="eastAsia"/>
          <w:sz w:val="30"/>
          <w:szCs w:val="30"/>
        </w:rPr>
        <w:t>用户信息泄露的；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5.</w:t>
      </w:r>
      <w:r>
        <w:rPr>
          <w:rFonts w:ascii="仿宋_GB2312" w:eastAsia="仿宋_GB2312" w:hAnsi="宋体" w:hint="eastAsia"/>
          <w:sz w:val="30"/>
          <w:szCs w:val="30"/>
        </w:rPr>
        <w:t>发生的数据安全事件超出县级单位处置能力，需要地市级单位提供数据安全保障的；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6.</w:t>
      </w:r>
      <w:r>
        <w:rPr>
          <w:rFonts w:ascii="仿宋_GB2312" w:eastAsia="仿宋_GB2312" w:hAnsi="宋体" w:hint="eastAsia"/>
          <w:sz w:val="30"/>
          <w:szCs w:val="30"/>
        </w:rPr>
        <w:t>其他对社会秩序、公众利益、公司利益和声誉构成较严重威胁、造成较严重影响的</w:t>
      </w:r>
      <w:r>
        <w:rPr>
          <w:rFonts w:ascii="仿宋_GB2312" w:eastAsia="仿宋_GB2312" w:hAnsi="宋体" w:hint="eastAsia"/>
          <w:sz w:val="30"/>
          <w:szCs w:val="30"/>
        </w:rPr>
        <w:t>XXX</w:t>
      </w:r>
      <w:r>
        <w:rPr>
          <w:rFonts w:ascii="仿宋_GB2312" w:eastAsia="仿宋_GB2312" w:hAnsi="宋体" w:hint="eastAsia"/>
          <w:sz w:val="30"/>
          <w:szCs w:val="30"/>
        </w:rPr>
        <w:t>业务相关的数据安全事件。</w:t>
      </w:r>
    </w:p>
    <w:p w:rsidR="00014D42">
      <w:pPr>
        <w:pStyle w:val="Heading2"/>
        <w:numPr>
          <w:ilvl w:val="0"/>
          <w:numId w:val="0"/>
        </w:numPr>
        <w:spacing w:before="0" w:after="0" w:line="560" w:lineRule="exact"/>
        <w:rPr>
          <w:rFonts w:ascii="楷体_GB2312" w:eastAsia="楷体_GB2312"/>
          <w:b w:val="0"/>
          <w:bCs w:val="0"/>
        </w:rPr>
      </w:pPr>
      <w:bookmarkStart w:id="48" w:name="_Hlk497505894"/>
      <w:bookmarkStart w:id="49" w:name="_Toc18941449"/>
      <w:r>
        <w:rPr>
          <w:rFonts w:ascii="楷体_GB2312" w:eastAsia="楷体_GB2312" w:hint="eastAsia"/>
          <w:b w:val="0"/>
          <w:bCs w:val="0"/>
        </w:rPr>
        <w:t>4.4</w:t>
      </w:r>
      <w:r>
        <w:rPr>
          <w:rFonts w:ascii="楷体_GB2312" w:eastAsia="楷体_GB2312" w:hint="eastAsia"/>
          <w:b w:val="0"/>
          <w:bCs w:val="0"/>
        </w:rPr>
        <w:t>一般数据安全事件</w:t>
      </w:r>
      <w:bookmarkEnd w:id="48"/>
      <w:r>
        <w:rPr>
          <w:rFonts w:ascii="楷体_GB2312" w:eastAsia="楷体_GB2312" w:hint="eastAsia"/>
          <w:b w:val="0"/>
          <w:bCs w:val="0"/>
        </w:rPr>
        <w:t>（四级）</w:t>
      </w:r>
      <w:bookmarkEnd w:id="49"/>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一般数据安全事件是指其发生所产生的社会影响不大，信息系统遭受的影响较小，且不满足以上条件的数据安全事件。除上述情形外，对公众权益、公司利益和声誉构成一定威胁和影响的数据安全事件，为一般数据安全事件（四级）：</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20"/>
          <w:type w:val="nextPage"/>
          <w:pgSz w:w="11906" w:h="16838"/>
          <w:pgMar w:top="1440" w:right="1558" w:bottom="1440" w:left="1800" w:header="851" w:footer="992" w:gutter="0"/>
          <w:pgNumType w:start="14"/>
          <w:cols w:space="425"/>
          <w:titlePg w:val="0"/>
          <w:docGrid w:type="lines" w:linePitch="312"/>
        </w:sectPr>
      </w:pPr>
      <w:r>
        <w:rPr>
          <w:rFonts w:ascii="仿宋_GB2312" w:eastAsia="仿宋_GB2312" w:hAnsi="宋体" w:hint="eastAsia"/>
          <w:sz w:val="30"/>
          <w:szCs w:val="30"/>
        </w:rPr>
        <w:t>1.</w:t>
      </w:r>
      <w:r>
        <w:rPr>
          <w:rFonts w:ascii="仿宋_GB2312" w:eastAsia="仿宋_GB2312" w:hAnsi="宋体" w:hint="eastAsia"/>
          <w:sz w:val="30"/>
          <w:szCs w:val="30"/>
        </w:rPr>
        <w:t>数据部分被损坏、丢失，但可通过备份进行恢复，或数据部分泄露、非法使用，但不影响公司业务稳定的；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国家秘密信息、重要敏感信息和关键数据丢失或被窃取、篡改、假冒，</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对国家安全和社会稳定构成一定威胁；</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发生一般用户信息泄露事件，造成用户信息泄露的；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4.</w:t>
      </w:r>
      <w:r>
        <w:rPr>
          <w:rFonts w:ascii="仿宋_GB2312" w:eastAsia="仿宋_GB2312" w:hAnsi="宋体" w:hint="eastAsia"/>
          <w:sz w:val="30"/>
          <w:szCs w:val="30"/>
        </w:rPr>
        <w:t>业务服务时段以外出现的数据业务相关平台系统故障或事件救治未果，可能产生上述情形的数据安全事件；</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5.</w:t>
      </w:r>
      <w:r>
        <w:rPr>
          <w:rFonts w:ascii="仿宋_GB2312" w:eastAsia="仿宋_GB2312" w:hAnsi="宋体" w:hint="eastAsia"/>
          <w:sz w:val="30"/>
          <w:szCs w:val="30"/>
        </w:rPr>
        <w:t>其他数据安全事件，需要提供数据安全保障的。</w:t>
      </w:r>
    </w:p>
    <w:p w:rsidR="00014D42">
      <w:pPr>
        <w:pStyle w:val="Heading1"/>
        <w:numPr>
          <w:ilvl w:val="0"/>
          <w:numId w:val="0"/>
        </w:numPr>
        <w:rPr>
          <w:rFonts w:eastAsia="仿宋_GB2312"/>
          <w:lang w:eastAsia="zh-CN"/>
        </w:rPr>
      </w:pPr>
    </w:p>
    <w:p w:rsidR="00014D42">
      <w:pPr>
        <w:pStyle w:val="Heading1"/>
        <w:numPr>
          <w:ilvl w:val="0"/>
          <w:numId w:val="0"/>
        </w:numPr>
        <w:spacing w:line="560" w:lineRule="exact"/>
        <w:rPr>
          <w:rFonts w:ascii="黑体" w:hAnsi="黑体"/>
          <w:b w:val="0"/>
          <w:bCs w:val="0"/>
          <w:lang w:eastAsia="zh-CN"/>
        </w:rPr>
      </w:pPr>
      <w:bookmarkStart w:id="50" w:name="_Toc18941450"/>
      <w:r>
        <w:rPr>
          <w:rFonts w:ascii="黑体" w:hAnsi="黑体" w:hint="eastAsia"/>
          <w:b w:val="0"/>
          <w:bCs w:val="0"/>
          <w:lang w:eastAsia="zh-CN"/>
        </w:rPr>
        <w:t>5</w:t>
      </w:r>
      <w:r>
        <w:rPr>
          <w:rFonts w:ascii="黑体" w:hAnsi="黑体"/>
          <w:b w:val="0"/>
          <w:bCs w:val="0"/>
          <w:lang w:eastAsia="zh-CN"/>
        </w:rPr>
        <w:t>.</w:t>
      </w:r>
      <w:r>
        <w:rPr>
          <w:rFonts w:ascii="黑体" w:hAnsi="黑体" w:hint="eastAsia"/>
          <w:b w:val="0"/>
          <w:bCs w:val="0"/>
          <w:lang w:eastAsia="zh-CN"/>
        </w:rPr>
        <w:t>应急预案的制订与演练</w:t>
      </w:r>
      <w:bookmarkEnd w:id="50"/>
    </w:p>
    <w:p w:rsidR="00014D42">
      <w:pPr>
        <w:adjustRightInd w:val="0"/>
        <w:snapToGrid w:val="0"/>
        <w:spacing w:line="560" w:lineRule="exact"/>
        <w:ind w:firstLine="600" w:firstLineChars="200"/>
        <w:rPr>
          <w:rFonts w:ascii="仿宋_GB2312" w:eastAsia="仿宋_GB2312" w:hAnsi="宋体"/>
          <w:sz w:val="30"/>
          <w:szCs w:val="30"/>
        </w:rPr>
      </w:pPr>
      <w:bookmarkStart w:id="51" w:name="_Toc15915541"/>
      <w:bookmarkStart w:id="52" w:name="_Toc15915542"/>
      <w:bookmarkStart w:id="53" w:name="_Toc15915543"/>
      <w:bookmarkEnd w:id="51"/>
      <w:bookmarkEnd w:id="52"/>
      <w:bookmarkEnd w:id="53"/>
      <w:r>
        <w:rPr>
          <w:rFonts w:ascii="仿宋_GB2312" w:eastAsia="仿宋_GB2312" w:hAnsi="宋体" w:hint="eastAsia"/>
          <w:sz w:val="30"/>
          <w:szCs w:val="30"/>
        </w:rPr>
        <w:t>数据安全应急响应预案的制订是一个周而复始、持续改进的过程，包括如下几个阶段：</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）应急响应预案的编制准备工作；</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）应急响应预案文档编制，包括确定应急响应策略和编制应急预案；</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）应急响应预案的维护、测试、演练和培训。</w:t>
      </w:r>
    </w:p>
    <w:p w:rsidR="00014D42">
      <w:pPr>
        <w:pStyle w:val="Heading2"/>
        <w:numPr>
          <w:ilvl w:val="0"/>
          <w:numId w:val="0"/>
        </w:numPr>
        <w:spacing w:before="0" w:after="0" w:line="560" w:lineRule="exact"/>
        <w:rPr>
          <w:rFonts w:ascii="楷体_GB2312" w:eastAsia="楷体_GB2312"/>
          <w:b w:val="0"/>
          <w:bCs w:val="0"/>
        </w:rPr>
      </w:pPr>
      <w:bookmarkStart w:id="54" w:name="_Toc18941451"/>
      <w:r>
        <w:rPr>
          <w:rFonts w:ascii="楷体_GB2312" w:eastAsia="楷体_GB2312"/>
          <w:b w:val="0"/>
          <w:bCs w:val="0"/>
        </w:rPr>
        <w:t>5.1</w:t>
      </w:r>
      <w:r>
        <w:rPr>
          <w:rFonts w:ascii="楷体_GB2312" w:eastAsia="楷体_GB2312" w:hint="eastAsia"/>
          <w:b w:val="0"/>
          <w:bCs w:val="0"/>
        </w:rPr>
        <w:t>准备工作</w:t>
      </w:r>
      <w:bookmarkEnd w:id="54"/>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准备工作主要指数据安全事件应急响应策略的制定。</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应急响应策略的制定过程是一个循序渐进、不断完善的过程，因为不可能制定一个策略就能够完全符合、适应数据业务相关平台系统的环境和需求，只能不断地接近目标。</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21"/>
          <w:type w:val="nextPage"/>
          <w:pgSz w:w="11906" w:h="16838"/>
          <w:pgMar w:top="1440" w:right="1558" w:bottom="1440" w:left="1800" w:header="851" w:footer="992" w:gutter="0"/>
          <w:pgNumType w:start="15"/>
          <w:cols w:space="425"/>
          <w:titlePg w:val="0"/>
          <w:docGrid w:type="lines" w:linePitch="312"/>
        </w:sectPr>
      </w:pPr>
      <w:r>
        <w:rPr>
          <w:rFonts w:ascii="仿宋_GB2312" w:eastAsia="仿宋_GB2312" w:hAnsi="宋体" w:hint="eastAsia"/>
          <w:sz w:val="30"/>
          <w:szCs w:val="30"/>
        </w:rPr>
        <w:t>在应急响应策略的制定方面，通过对数据安全事件的应急处理过程进行研究和梳理，建立一套比较完备的、行之有效的数据安全事件应急响应策略体系，为系统、有序地应对数据安全事件，</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建立健全数据安全应急响应组织，有效预防、及时控制和最大程度地消除各类数据安全突发事件的危害和影响，提供一定程度上的策略指导。</w:t>
      </w:r>
    </w:p>
    <w:p w:rsidR="00014D42">
      <w:pPr>
        <w:pStyle w:val="Heading3"/>
        <w:numPr>
          <w:ilvl w:val="0"/>
          <w:numId w:val="0"/>
        </w:numPr>
        <w:spacing w:before="0" w:after="0" w:line="560" w:lineRule="exact"/>
        <w:rPr>
          <w:rFonts w:ascii="仿宋_GB2312" w:eastAsia="仿宋_GB2312"/>
        </w:rPr>
      </w:pPr>
      <w:bookmarkStart w:id="55" w:name="_Toc18941452"/>
      <w:r>
        <w:rPr>
          <w:rFonts w:ascii="仿宋_GB2312" w:eastAsia="仿宋_GB2312" w:hint="eastAsia"/>
        </w:rPr>
        <w:t>5.1.1</w:t>
      </w:r>
      <w:r>
        <w:rPr>
          <w:rFonts w:ascii="仿宋_GB2312" w:eastAsia="仿宋_GB2312" w:hint="eastAsia"/>
        </w:rPr>
        <w:t>设计原则</w:t>
      </w:r>
      <w:bookmarkEnd w:id="55"/>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）指导性原则。应急响应策略体系中的策略是描述处理数据安全事件方法的指导性文件，可以全局性指导公司的应急响应工作。</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）规范化原则。应急响应策略应该有清晰和完全的文档描述，并保证既定的应急响应策略能够</w:t>
      </w:r>
      <w:r>
        <w:rPr>
          <w:rFonts w:ascii="仿宋_GB2312" w:eastAsia="仿宋_GB2312" w:hAnsi="宋体" w:hint="eastAsia"/>
          <w:sz w:val="30"/>
          <w:szCs w:val="30"/>
        </w:rPr>
        <w:t>被不打折扣地执行。</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）现实可行性原则。应急响应策略应具备现实可行性，既要符合现实业务状态，又要能包含未来一段时间内的业务发展要求。</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4</w:t>
      </w:r>
      <w:r>
        <w:rPr>
          <w:rFonts w:ascii="仿宋_GB2312" w:eastAsia="仿宋_GB2312" w:hAnsi="宋体" w:hint="eastAsia"/>
          <w:sz w:val="30"/>
          <w:szCs w:val="30"/>
        </w:rPr>
        <w:t>）整体性原则。应急响应策略体系的设计必须兼顾管理与技术两个方面，是对数据安全事件的综合防范。同时，制定管理策略时必须兼顾技术所能达到的响应能力，在管理上投入足够的精力。</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5</w:t>
      </w:r>
      <w:r>
        <w:rPr>
          <w:rFonts w:ascii="仿宋_GB2312" w:eastAsia="仿宋_GB2312" w:hAnsi="宋体" w:hint="eastAsia"/>
          <w:sz w:val="30"/>
          <w:szCs w:val="30"/>
        </w:rPr>
        <w:t>）动态性原则。数据安全是动态变化，应急响应策略需要不断发展完善，根据实际情况进行调整，尽可能达到尽善尽美。</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6</w:t>
      </w:r>
      <w:r>
        <w:rPr>
          <w:rFonts w:ascii="仿宋_GB2312" w:eastAsia="仿宋_GB2312" w:hAnsi="宋体" w:hint="eastAsia"/>
          <w:sz w:val="30"/>
          <w:szCs w:val="30"/>
        </w:rPr>
        <w:t>）可审核性原则。应急响应策略应该是可以被审核的，即能够对公司各部门对应急响应策略遵守的情况进行审核和评价。</w:t>
      </w:r>
    </w:p>
    <w:p w:rsidR="00014D42">
      <w:pPr>
        <w:pStyle w:val="Heading3"/>
        <w:numPr>
          <w:ilvl w:val="0"/>
          <w:numId w:val="0"/>
        </w:numPr>
        <w:spacing w:before="0" w:after="0" w:line="560" w:lineRule="exact"/>
        <w:rPr>
          <w:rFonts w:ascii="仿宋_GB2312" w:eastAsia="仿宋_GB2312"/>
        </w:rPr>
      </w:pPr>
      <w:bookmarkStart w:id="56" w:name="_Toc18941453"/>
      <w:r>
        <w:rPr>
          <w:rFonts w:ascii="仿宋_GB2312" w:eastAsia="仿宋_GB2312" w:hint="eastAsia"/>
        </w:rPr>
        <w:t>5.1.2</w:t>
      </w:r>
      <w:r>
        <w:rPr>
          <w:rFonts w:ascii="仿宋_GB2312" w:eastAsia="仿宋_GB2312" w:hint="eastAsia"/>
        </w:rPr>
        <w:t>策略内容建议</w:t>
      </w:r>
      <w:bookmarkEnd w:id="56"/>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22"/>
          <w:type w:val="nextPage"/>
          <w:pgSz w:w="11906" w:h="16838"/>
          <w:pgMar w:top="1440" w:right="1558" w:bottom="1440" w:left="1800" w:header="851" w:footer="992" w:gutter="0"/>
          <w:pgNumType w:start="16"/>
          <w:cols w:space="425"/>
          <w:titlePg w:val="0"/>
          <w:docGrid w:type="lines" w:linePitch="312"/>
        </w:sectPr>
      </w:pPr>
      <w:r>
        <w:rPr>
          <w:rFonts w:ascii="仿宋_GB2312" w:eastAsia="仿宋_GB2312" w:hAnsi="宋体" w:hint="eastAsia"/>
          <w:sz w:val="30"/>
          <w:szCs w:val="30"/>
        </w:rPr>
        <w:t>1</w:t>
      </w:r>
      <w:r>
        <w:rPr>
          <w:rFonts w:ascii="仿宋_GB2312" w:eastAsia="仿宋_GB2312" w:hAnsi="宋体" w:hint="eastAsia"/>
          <w:sz w:val="30"/>
          <w:szCs w:val="30"/>
        </w:rPr>
        <w:t>）事前准备策略。该策略用于指导应急响应工作人员为应对将来可能发生的各类数据安全事件进行必要的准备工作，主要包括：对公司的数据业务相关平台系统和数据进行正确的风险评估、确定网络中重要的数据资源、配置适当的安全策略、制定明确的</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应急响应预案、准备好在处理数据安全事件时可能用到的各种资源，以及定期组织相关人员进行应急响应的模拟演练。</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）事中响应策略。该策略是应急响应的关键，主要用</w:t>
      </w:r>
      <w:r>
        <w:rPr>
          <w:rFonts w:ascii="仿宋_GB2312" w:eastAsia="仿宋_GB2312" w:hAnsi="宋体" w:hint="eastAsia"/>
          <w:sz w:val="30"/>
          <w:szCs w:val="30"/>
        </w:rPr>
        <w:t>于对如何解决数据安全事件响应过程中的问题提供指导：即如何检测是否出现了数据安全事件，问题在哪里，影响范围有多大；如何限制攻击的范围，限制潜在的损失和破坏；如何找出事件根源并彻底根除，防止今后发生同样的数据安全事件；如何把所有被攻破的数据业务相关平台系统设备尽可能还原到正常的任务状态。</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事后总结策略。该策略主要用于对数据安全事件处理后的工作进行指导，包括回顾并整理本次发生的数据安全事件的各种相关信息并进行总结报告的方法和步骤，以及事件文档与证据的管理方案。事后总结过程中记录的内容，不仅对有关部门的其他处理</w:t>
      </w:r>
      <w:r>
        <w:rPr>
          <w:rFonts w:ascii="仿宋_GB2312" w:eastAsia="仿宋_GB2312" w:hAnsi="宋体" w:hint="eastAsia"/>
          <w:sz w:val="30"/>
          <w:szCs w:val="30"/>
        </w:rPr>
        <w:t>工作具有重要意义，而且对将来应急工作的开展也是非常重要的积累。</w:t>
      </w:r>
    </w:p>
    <w:p w:rsidR="00014D42">
      <w:pPr>
        <w:pStyle w:val="Heading2"/>
        <w:numPr>
          <w:ilvl w:val="0"/>
          <w:numId w:val="0"/>
        </w:numPr>
        <w:spacing w:before="0" w:after="0" w:line="560" w:lineRule="exact"/>
        <w:rPr>
          <w:rFonts w:ascii="楷体_GB2312" w:eastAsia="楷体_GB2312"/>
          <w:b w:val="0"/>
          <w:bCs w:val="0"/>
        </w:rPr>
      </w:pPr>
      <w:bookmarkStart w:id="57" w:name="_Toc18941454"/>
      <w:r>
        <w:rPr>
          <w:rFonts w:ascii="楷体_GB2312" w:eastAsia="楷体_GB2312" w:hint="eastAsia"/>
          <w:b w:val="0"/>
          <w:bCs w:val="0"/>
        </w:rPr>
        <w:t>5.2</w:t>
      </w:r>
      <w:r>
        <w:rPr>
          <w:rFonts w:ascii="楷体_GB2312" w:eastAsia="楷体_GB2312" w:hint="eastAsia"/>
          <w:b w:val="0"/>
          <w:bCs w:val="0"/>
        </w:rPr>
        <w:t>制定应急预案</w:t>
      </w:r>
      <w:bookmarkEnd w:id="57"/>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各单位应参照应急处置及</w:t>
      </w:r>
      <w:r>
        <w:rPr>
          <w:rFonts w:ascii="仿宋_GB2312" w:eastAsia="仿宋_GB2312" w:hAnsi="宋体" w:hint="eastAsia"/>
          <w:sz w:val="30"/>
          <w:szCs w:val="30"/>
        </w:rPr>
        <w:t>源相关</w:t>
      </w:r>
      <w:r>
        <w:rPr>
          <w:rFonts w:ascii="仿宋_GB2312" w:eastAsia="仿宋_GB2312" w:hAnsi="宋体" w:hint="eastAsia"/>
          <w:sz w:val="30"/>
          <w:szCs w:val="30"/>
        </w:rPr>
        <w:t>法律法规和标准，结合集团《</w:t>
      </w:r>
      <w:r>
        <w:rPr>
          <w:rFonts w:ascii="仿宋_GB2312" w:eastAsia="仿宋_GB2312" w:hAnsi="宋体" w:hint="eastAsia"/>
          <w:sz w:val="30"/>
          <w:szCs w:val="30"/>
        </w:rPr>
        <w:t>XXX</w:t>
      </w:r>
      <w:r>
        <w:rPr>
          <w:rFonts w:ascii="仿宋_GB2312" w:eastAsia="仿宋_GB2312" w:hAnsi="宋体" w:hint="eastAsia"/>
          <w:sz w:val="30"/>
          <w:szCs w:val="30"/>
        </w:rPr>
        <w:t>网络安全突发事件应急预案》、《</w:t>
      </w:r>
      <w:r>
        <w:rPr>
          <w:rFonts w:ascii="仿宋_GB2312" w:eastAsia="仿宋_GB2312" w:hAnsi="宋体" w:hint="eastAsia"/>
          <w:sz w:val="30"/>
          <w:szCs w:val="30"/>
        </w:rPr>
        <w:t>XXX</w:t>
      </w:r>
      <w:r>
        <w:rPr>
          <w:rFonts w:ascii="仿宋_GB2312" w:eastAsia="仿宋_GB2312" w:hAnsi="宋体" w:hint="eastAsia"/>
          <w:sz w:val="30"/>
          <w:szCs w:val="30"/>
        </w:rPr>
        <w:t>数据安全事件应急响应实施指南》及本预案整体要求，开展各部门数据安全事件应急响应预案的制定。应急预案是应急响应工作中的关键一步，对应急响应预案的要求包括：描述支持应急操作的技术能力；在预案的详细程度和灵活性之间取得平衡，兼顾弹性和通用性；根据实际情况对预案内容进行适当地调整、充实和本地化，以更好地满足公司的特定需求。</w:t>
      </w:r>
    </w:p>
    <w:p w:rsidR="00014D42">
      <w:pPr>
        <w:adjustRightInd w:val="0"/>
        <w:snapToGrid w:val="0"/>
        <w:spacing w:line="560" w:lineRule="exact"/>
        <w:ind w:firstLine="600" w:firstLineChars="200"/>
        <w:rPr>
          <w:rFonts w:ascii="仿宋_GB2312" w:eastAsia="仿宋_GB2312" w:hAnsi="宋体"/>
          <w:sz w:val="30"/>
          <w:szCs w:val="30"/>
        </w:rPr>
        <w:sectPr>
          <w:headerReference w:type="default" r:id="rId23"/>
          <w:type w:val="nextPage"/>
          <w:pgSz w:w="11906" w:h="16838"/>
          <w:pgMar w:top="1440" w:right="1558" w:bottom="1440" w:left="1800" w:header="851" w:footer="992" w:gutter="0"/>
          <w:pgNumType w:start="17"/>
          <w:cols w:space="425"/>
          <w:titlePg w:val="0"/>
          <w:docGrid w:type="lines" w:linePitch="312"/>
        </w:sectPr>
      </w:pPr>
      <w:r>
        <w:rPr>
          <w:rFonts w:ascii="仿宋_GB2312" w:eastAsia="仿宋_GB2312" w:hAnsi="宋体" w:hint="eastAsia"/>
          <w:sz w:val="30"/>
          <w:szCs w:val="30"/>
        </w:rPr>
        <w:t>建议根据恢复时</w:t>
      </w:r>
      <w:r>
        <w:rPr>
          <w:rFonts w:ascii="仿宋_GB2312" w:eastAsia="仿宋_GB2312" w:hAnsi="宋体" w:hint="eastAsia"/>
          <w:sz w:val="30"/>
          <w:szCs w:val="30"/>
        </w:rPr>
        <w:t>间目标（</w:t>
      </w:r>
      <w:r>
        <w:rPr>
          <w:rFonts w:ascii="仿宋_GB2312" w:eastAsia="仿宋_GB2312" w:hAnsi="宋体" w:hint="eastAsia"/>
          <w:sz w:val="30"/>
          <w:szCs w:val="30"/>
        </w:rPr>
        <w:t>RecoveryTimeObjective</w:t>
      </w:r>
      <w:r>
        <w:rPr>
          <w:rFonts w:ascii="仿宋_GB2312" w:eastAsia="仿宋_GB2312" w:hAnsi="宋体" w:hint="eastAsia"/>
          <w:sz w:val="30"/>
          <w:szCs w:val="30"/>
        </w:rPr>
        <w:t>，</w:t>
      </w:r>
      <w:r>
        <w:rPr>
          <w:rFonts w:ascii="仿宋_GB2312" w:eastAsia="仿宋_GB2312" w:hAnsi="宋体" w:hint="eastAsia"/>
          <w:sz w:val="30"/>
          <w:szCs w:val="30"/>
        </w:rPr>
        <w:t>RTO</w:t>
      </w:r>
      <w:r>
        <w:rPr>
          <w:rFonts w:ascii="仿宋_GB2312" w:eastAsia="仿宋_GB2312" w:hAnsi="宋体" w:hint="eastAsia"/>
          <w:sz w:val="30"/>
          <w:szCs w:val="30"/>
        </w:rPr>
        <w:t>）和</w:t>
      </w:r>
    </w:p>
    <w:p w:rsidR="00014D42">
      <w:pPr>
        <w:adjustRightInd w:val="0"/>
        <w:snapToGrid w:val="0"/>
        <w:spacing w:line="560" w:lineRule="exact"/>
        <w:ind w:firstLine="600" w:firstLineChars="200"/>
        <w:rPr>
          <w:rFonts w:ascii="仿宋_GB2312" w:eastAsia="仿宋_GB2312" w:hAnsi="宋体"/>
          <w:sz w:val="30"/>
          <w:szCs w:val="30"/>
        </w:rPr>
      </w:pPr>
      <w:r>
        <w:rPr>
          <w:rFonts w:ascii="仿宋_GB2312" w:eastAsia="仿宋_GB2312" w:hAnsi="宋体" w:hint="eastAsia"/>
          <w:sz w:val="30"/>
          <w:szCs w:val="30"/>
        </w:rPr>
        <w:t>恢复点目标（</w:t>
      </w:r>
      <w:r>
        <w:rPr>
          <w:rFonts w:ascii="仿宋_GB2312" w:eastAsia="仿宋_GB2312" w:hAnsi="宋体" w:hint="eastAsia"/>
          <w:sz w:val="30"/>
          <w:szCs w:val="30"/>
        </w:rPr>
        <w:t>RecoveryPointObjective</w:t>
      </w:r>
      <w:r>
        <w:rPr>
          <w:rFonts w:ascii="仿宋_GB2312" w:eastAsia="仿宋_GB2312" w:hAnsi="宋体" w:hint="eastAsia"/>
          <w:sz w:val="30"/>
          <w:szCs w:val="30"/>
        </w:rPr>
        <w:t>，</w:t>
      </w:r>
      <w:r>
        <w:rPr>
          <w:rFonts w:ascii="仿宋_GB2312" w:eastAsia="仿宋_GB2312" w:hAnsi="宋体" w:hint="eastAsia"/>
          <w:sz w:val="30"/>
          <w:szCs w:val="30"/>
        </w:rPr>
        <w:t>RPO</w:t>
      </w:r>
      <w:r>
        <w:rPr>
          <w:rFonts w:ascii="仿宋_GB2312" w:eastAsia="仿宋_GB2312" w:hAnsi="宋体" w:hint="eastAsia"/>
          <w:sz w:val="30"/>
          <w:szCs w:val="30"/>
        </w:rPr>
        <w:t>），结合上述风险控制策略，从数据业务相关平台系统基础设施、网络、系统、数据业务自身等不同层面，制定数据安全事件应急预案。并定期对数据安全事件应急预案进行测试和演练，确保其有效性。</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数据安全应急预案可包括以下内容：</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1.</w:t>
      </w:r>
      <w:r>
        <w:rPr>
          <w:rFonts w:ascii="仿宋_GB2312" w:eastAsia="仿宋_GB2312" w:hAnsi="Arial" w:hint="eastAsia"/>
          <w:sz w:val="30"/>
          <w:szCs w:val="30"/>
        </w:rPr>
        <w:t>明确有关各方的分工和责任；</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2.</w:t>
      </w:r>
      <w:r>
        <w:rPr>
          <w:rFonts w:ascii="仿宋_GB2312" w:eastAsia="仿宋_GB2312" w:hAnsi="Arial" w:hint="eastAsia"/>
          <w:sz w:val="30"/>
          <w:szCs w:val="30"/>
        </w:rPr>
        <w:t>说明重要资源的业务影响范围、恢复时间目标、恢复点目标，明确资源的物理位置、设备型号、软件资源、网络配置等关键信息；</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3.</w:t>
      </w:r>
      <w:r>
        <w:rPr>
          <w:rFonts w:ascii="仿宋_GB2312" w:eastAsia="仿宋_GB2312" w:hAnsi="Arial" w:hint="eastAsia"/>
          <w:sz w:val="30"/>
          <w:szCs w:val="30"/>
        </w:rPr>
        <w:t>明确各类数据风险</w:t>
      </w:r>
      <w:r>
        <w:rPr>
          <w:rFonts w:ascii="仿宋_GB2312" w:eastAsia="仿宋_GB2312" w:hAnsi="Arial" w:hint="eastAsia"/>
          <w:sz w:val="30"/>
          <w:szCs w:val="30"/>
        </w:rPr>
        <w:t>的诊断方法和流程；</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4.</w:t>
      </w:r>
      <w:r>
        <w:rPr>
          <w:rFonts w:ascii="仿宋_GB2312" w:eastAsia="仿宋_GB2312" w:hAnsi="Arial" w:hint="eastAsia"/>
          <w:sz w:val="30"/>
          <w:szCs w:val="30"/>
        </w:rPr>
        <w:t>制定数据恢复流程和应急处置操作手册；</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5.</w:t>
      </w:r>
      <w:r>
        <w:rPr>
          <w:rFonts w:ascii="仿宋_GB2312" w:eastAsia="仿宋_GB2312" w:hAnsi="Arial" w:hint="eastAsia"/>
          <w:sz w:val="30"/>
          <w:szCs w:val="30"/>
        </w:rPr>
        <w:t>明确应急恢复过程中的关键状态，并明确不同状态的沟通；</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6.</w:t>
      </w:r>
      <w:r>
        <w:rPr>
          <w:rFonts w:ascii="仿宋_GB2312" w:eastAsia="仿宋_GB2312" w:hAnsi="Arial" w:hint="eastAsia"/>
          <w:sz w:val="30"/>
          <w:szCs w:val="30"/>
        </w:rPr>
        <w:t>明确应急相关人员的协调内容和沟通方式。</w:t>
      </w:r>
    </w:p>
    <w:p w:rsidR="00014D42">
      <w:pPr>
        <w:pStyle w:val="Heading2"/>
        <w:numPr>
          <w:ilvl w:val="0"/>
          <w:numId w:val="0"/>
        </w:numPr>
        <w:spacing w:before="0" w:after="0" w:line="560" w:lineRule="exact"/>
        <w:rPr>
          <w:rFonts w:ascii="楷体_GB2312" w:eastAsia="楷体_GB2312"/>
          <w:b w:val="0"/>
          <w:bCs w:val="0"/>
        </w:rPr>
      </w:pPr>
      <w:bookmarkStart w:id="58" w:name="_Toc18941455"/>
      <w:r>
        <w:rPr>
          <w:rFonts w:ascii="楷体_GB2312" w:eastAsia="楷体_GB2312" w:hint="eastAsia"/>
          <w:b w:val="0"/>
          <w:bCs w:val="0"/>
        </w:rPr>
        <w:t>5.3</w:t>
      </w:r>
      <w:r>
        <w:rPr>
          <w:rFonts w:ascii="楷体_GB2312" w:eastAsia="楷体_GB2312" w:hint="eastAsia"/>
          <w:b w:val="0"/>
          <w:bCs w:val="0"/>
        </w:rPr>
        <w:t>应急预案的管理与维护</w:t>
      </w:r>
      <w:bookmarkEnd w:id="58"/>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经过审核和批准的应急预案文档，应：</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1.</w:t>
      </w:r>
      <w:r>
        <w:rPr>
          <w:rFonts w:ascii="仿宋_GB2312" w:eastAsia="仿宋_GB2312" w:hAnsi="Arial" w:hint="eastAsia"/>
          <w:sz w:val="30"/>
          <w:szCs w:val="30"/>
        </w:rPr>
        <w:t>由专人负责保存与分发；</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2.</w:t>
      </w:r>
      <w:r>
        <w:rPr>
          <w:rFonts w:ascii="仿宋_GB2312" w:eastAsia="仿宋_GB2312" w:hAnsi="Arial" w:hint="eastAsia"/>
          <w:sz w:val="30"/>
          <w:szCs w:val="30"/>
        </w:rPr>
        <w:t>具有多份拷贝，并在不同的地点保存；</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3.</w:t>
      </w:r>
      <w:r>
        <w:rPr>
          <w:rFonts w:ascii="仿宋_GB2312" w:eastAsia="仿宋_GB2312" w:hAnsi="Arial" w:hint="eastAsia"/>
          <w:sz w:val="30"/>
          <w:szCs w:val="30"/>
        </w:rPr>
        <w:t>分发给参与应急响应工作的所有人员；</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4.</w:t>
      </w:r>
      <w:r>
        <w:rPr>
          <w:rFonts w:ascii="仿宋_GB2312" w:eastAsia="仿宋_GB2312" w:hAnsi="Arial" w:hint="eastAsia"/>
          <w:sz w:val="30"/>
          <w:szCs w:val="30"/>
        </w:rPr>
        <w:t>在每次修订后所有拷贝统一更新，并保留一套，以备查阅；</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5.</w:t>
      </w:r>
      <w:r>
        <w:rPr>
          <w:rFonts w:ascii="仿宋_GB2312" w:eastAsia="仿宋_GB2312" w:hAnsi="Arial" w:hint="eastAsia"/>
          <w:sz w:val="30"/>
          <w:szCs w:val="30"/>
        </w:rPr>
        <w:t>旧版本应按有关规定销毁。</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为了保证应急预案的有效性，应从以下方面对应急预案文档进行严格的维护：</w:t>
      </w:r>
    </w:p>
    <w:p w:rsidR="00014D42">
      <w:pPr>
        <w:spacing w:line="560" w:lineRule="exact"/>
        <w:ind w:firstLine="600" w:firstLineChars="200"/>
        <w:rPr>
          <w:rFonts w:ascii="仿宋_GB2312" w:eastAsia="仿宋_GB2312" w:hAnsi="Arial"/>
          <w:sz w:val="30"/>
          <w:szCs w:val="30"/>
        </w:rPr>
        <w:sectPr>
          <w:headerReference w:type="default" r:id="rId24"/>
          <w:type w:val="nextPage"/>
          <w:pgSz w:w="11906" w:h="16838"/>
          <w:pgMar w:top="1440" w:right="1558" w:bottom="1440" w:left="1800" w:header="851" w:footer="992" w:gutter="0"/>
          <w:pgNumType w:start="18"/>
          <w:cols w:space="425"/>
          <w:titlePg w:val="0"/>
          <w:docGrid w:type="lines" w:linePitch="312"/>
        </w:sectPr>
      </w:pPr>
      <w:r>
        <w:rPr>
          <w:rFonts w:ascii="仿宋_GB2312" w:eastAsia="仿宋_GB2312" w:hAnsi="Arial" w:hint="eastAsia"/>
          <w:sz w:val="30"/>
          <w:szCs w:val="30"/>
        </w:rPr>
        <w:t>1.</w:t>
      </w:r>
      <w:r>
        <w:rPr>
          <w:rFonts w:ascii="仿宋_GB2312" w:eastAsia="仿宋_GB2312" w:hAnsi="Arial" w:hint="eastAsia"/>
          <w:sz w:val="30"/>
          <w:szCs w:val="30"/>
        </w:rPr>
        <w:t>业务流程的变化、平台的变更、人员的变更、数据的变更都应在应急预案文档中及时反映；</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2.</w:t>
      </w:r>
      <w:r>
        <w:rPr>
          <w:rFonts w:ascii="仿宋_GB2312" w:eastAsia="仿宋_GB2312" w:hAnsi="Arial" w:hint="eastAsia"/>
          <w:sz w:val="30"/>
          <w:szCs w:val="30"/>
        </w:rPr>
        <w:t>应急预案在测试、演练和数据安全事件发生后实际执行时，其过程均应有详细的记录，并应对测试、演练和执行的效果进行评估，同时对应急预案文档进行相应的修订；</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3.</w:t>
      </w:r>
      <w:r>
        <w:rPr>
          <w:rFonts w:ascii="仿宋_GB2312" w:eastAsia="仿宋_GB2312" w:hAnsi="Arial" w:hint="eastAsia"/>
          <w:sz w:val="30"/>
          <w:szCs w:val="30"/>
        </w:rPr>
        <w:t>应急预案文档应定期评审和修订，至少每年一次。</w:t>
      </w:r>
    </w:p>
    <w:p w:rsidR="00014D42">
      <w:pPr>
        <w:pStyle w:val="Heading2"/>
        <w:numPr>
          <w:ilvl w:val="0"/>
          <w:numId w:val="0"/>
        </w:numPr>
        <w:spacing w:before="0" w:after="0" w:line="560" w:lineRule="exact"/>
        <w:rPr>
          <w:rFonts w:ascii="楷体_GB2312" w:eastAsia="楷体_GB2312"/>
          <w:b w:val="0"/>
          <w:bCs w:val="0"/>
        </w:rPr>
      </w:pPr>
      <w:bookmarkStart w:id="59" w:name="_Toc18941456"/>
      <w:r>
        <w:rPr>
          <w:rFonts w:ascii="楷体_GB2312" w:eastAsia="楷体_GB2312" w:hint="eastAsia"/>
          <w:b w:val="0"/>
          <w:bCs w:val="0"/>
        </w:rPr>
        <w:t>5.4</w:t>
      </w:r>
      <w:r>
        <w:rPr>
          <w:rFonts w:ascii="楷体_GB2312" w:eastAsia="楷体_GB2312" w:hint="eastAsia"/>
          <w:b w:val="0"/>
          <w:bCs w:val="0"/>
        </w:rPr>
        <w:t>应急预案的演练</w:t>
      </w:r>
      <w:bookmarkEnd w:id="59"/>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当发生数据业务相关平台系统上线、升级、网络改造等重大变更时要及时更新应急预案，并适时实施演练。</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制定年度应急演练计划，明确演练的时间、内容、依据、目的、负责人和相关配合机构等要素。严格按照应急演练计划实施应急演练，应急演练结束后，要撰写应急演练情况总结报告，提交领导审阅。根据演练总结报告提出的改进措施进行整改，及时修订相应的应急预案。</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演练计划可涵盖对应急预案各环节的检验，验证应急预案的有效性、应急资源的完备性及应急人员的适应性。</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应急演练要做到全面演练和专项演练相结合，根据数据安全事件应急响应预案制定演练计划并定期组织演练，保存演练记录。每类数据安全事件场景至少一年开展一次演练；每个数据处理活动涉及</w:t>
      </w:r>
      <w:r>
        <w:rPr>
          <w:rFonts w:ascii="仿宋_GB2312" w:eastAsia="仿宋_GB2312" w:hAnsi="Arial" w:hint="eastAsia"/>
          <w:sz w:val="30"/>
          <w:szCs w:val="30"/>
        </w:rPr>
        <w:t>的平台系统至少两年开展一次演练。严格控制应急演练引起的变更风险，避免因演练导致服务中断，演练应选择在非主要业务时段进行。应急演练完成后，应保证实施应急预案所需的各项资源恢复正常。</w:t>
      </w:r>
    </w:p>
    <w:p w:rsidR="00014D42">
      <w:pPr>
        <w:pStyle w:val="Heading2"/>
        <w:numPr>
          <w:ilvl w:val="0"/>
          <w:numId w:val="0"/>
        </w:numPr>
        <w:spacing w:before="0" w:after="0" w:line="560" w:lineRule="exact"/>
        <w:rPr>
          <w:rFonts w:ascii="楷体_GB2312" w:eastAsia="楷体_GB2312"/>
          <w:b w:val="0"/>
          <w:bCs w:val="0"/>
        </w:rPr>
      </w:pPr>
      <w:bookmarkStart w:id="60" w:name="_Toc18941457"/>
      <w:r>
        <w:rPr>
          <w:rFonts w:ascii="楷体_GB2312" w:eastAsia="楷体_GB2312" w:hint="eastAsia"/>
          <w:b w:val="0"/>
          <w:bCs w:val="0"/>
        </w:rPr>
        <w:t>5.5</w:t>
      </w:r>
      <w:r>
        <w:rPr>
          <w:rFonts w:ascii="楷体_GB2312" w:eastAsia="楷体_GB2312" w:hint="eastAsia"/>
          <w:b w:val="0"/>
          <w:bCs w:val="0"/>
        </w:rPr>
        <w:t>应急教育和培训</w:t>
      </w:r>
      <w:bookmarkEnd w:id="60"/>
    </w:p>
    <w:p w:rsidR="00014D42">
      <w:pPr>
        <w:spacing w:line="560" w:lineRule="exact"/>
        <w:ind w:firstLine="600" w:firstLineChars="200"/>
        <w:rPr>
          <w:rFonts w:ascii="仿宋_GB2312" w:eastAsia="仿宋_GB2312" w:hAnsi="Arial"/>
          <w:sz w:val="30"/>
          <w:szCs w:val="30"/>
        </w:rPr>
        <w:sectPr>
          <w:headerReference w:type="default" r:id="rId25"/>
          <w:type w:val="nextPage"/>
          <w:pgSz w:w="11906" w:h="16838"/>
          <w:pgMar w:top="1440" w:right="1558" w:bottom="1440" w:left="1800" w:header="851" w:footer="992" w:gutter="0"/>
          <w:pgNumType w:start="19"/>
          <w:cols w:space="425"/>
          <w:titlePg w:val="0"/>
          <w:docGrid w:type="lines" w:linePitch="312"/>
        </w:sectPr>
      </w:pPr>
      <w:r>
        <w:rPr>
          <w:rFonts w:ascii="仿宋_GB2312" w:eastAsia="仿宋_GB2312" w:hAnsi="Arial" w:hint="eastAsia"/>
          <w:sz w:val="30"/>
          <w:szCs w:val="30"/>
        </w:rPr>
        <w:t>组织开展数据安全应急相关法律法规、应急预案和基本知识的宣传教育和培训，提高相关岗位员工的安全意识、专业技能和</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防护、应急能力。</w:t>
      </w:r>
    </w:p>
    <w:p w:rsidR="00014D42">
      <w:pPr>
        <w:pStyle w:val="Heading1"/>
        <w:numPr>
          <w:ilvl w:val="0"/>
          <w:numId w:val="0"/>
        </w:numPr>
        <w:spacing w:line="560" w:lineRule="exact"/>
        <w:rPr>
          <w:rFonts w:ascii="黑体" w:hAnsi="黑体"/>
          <w:b w:val="0"/>
          <w:bCs w:val="0"/>
          <w:lang w:eastAsia="zh-CN"/>
        </w:rPr>
      </w:pPr>
      <w:bookmarkStart w:id="61" w:name="_Toc18941458"/>
      <w:r>
        <w:rPr>
          <w:rFonts w:ascii="黑体" w:hAnsi="黑体" w:hint="eastAsia"/>
          <w:b w:val="0"/>
          <w:bCs w:val="0"/>
          <w:lang w:eastAsia="zh-CN"/>
        </w:rPr>
        <w:t>6</w:t>
      </w:r>
      <w:r>
        <w:rPr>
          <w:rFonts w:ascii="黑体" w:hAnsi="黑体"/>
          <w:b w:val="0"/>
          <w:bCs w:val="0"/>
          <w:lang w:eastAsia="zh-CN"/>
        </w:rPr>
        <w:t>.</w:t>
      </w:r>
      <w:r>
        <w:rPr>
          <w:rFonts w:ascii="黑体" w:hAnsi="黑体" w:hint="eastAsia"/>
          <w:b w:val="0"/>
          <w:bCs w:val="0"/>
          <w:lang w:eastAsia="zh-CN"/>
        </w:rPr>
        <w:t>应急响应实施</w:t>
      </w:r>
      <w:bookmarkEnd w:id="61"/>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数据安全应急响应的目标是按照既定的应急预案，做好应急处置，快速有效地处置数据安全事件。各单位应在应急领导小组的统一指挥下，根据其指令启动本预案，做好各项应急响应工作。</w:t>
      </w:r>
    </w:p>
    <w:p w:rsidR="00014D42">
      <w:pPr>
        <w:spacing w:line="560" w:lineRule="exact"/>
        <w:ind w:firstLine="600" w:firstLineChars="200"/>
        <w:rPr>
          <w:rFonts w:ascii="仿宋_GB2312" w:eastAsia="仿宋_GB2312" w:hAnsi="Arial"/>
          <w:sz w:val="30"/>
          <w:szCs w:val="30"/>
        </w:rPr>
        <w:sectPr>
          <w:headerReference w:type="default" r:id="rId26"/>
          <w:type w:val="nextPage"/>
          <w:pgSz w:w="11906" w:h="16838"/>
          <w:pgMar w:top="1440" w:right="1558" w:bottom="1440" w:left="1800" w:header="851" w:footer="992" w:gutter="0"/>
          <w:pgNumType w:start="20"/>
          <w:cols w:space="425"/>
          <w:titlePg w:val="0"/>
          <w:docGrid w:type="lines" w:linePitch="312"/>
        </w:sectPr>
      </w:pPr>
      <w:r>
        <w:rPr>
          <w:rFonts w:ascii="仿宋_GB2312" w:eastAsia="仿宋_GB2312" w:hAnsi="Arial" w:hint="eastAsia"/>
          <w:sz w:val="30"/>
          <w:szCs w:val="30"/>
        </w:rPr>
        <w:t>参考《计算机安全事件处理指南》（</w:t>
      </w:r>
      <w:r>
        <w:rPr>
          <w:rFonts w:ascii="仿宋_GB2312" w:eastAsia="仿宋_GB2312" w:hAnsi="Arial" w:hint="eastAsia"/>
          <w:sz w:val="30"/>
          <w:szCs w:val="30"/>
        </w:rPr>
        <w:t>NISTSP800-61</w:t>
      </w:r>
      <w:r>
        <w:rPr>
          <w:rFonts w:ascii="仿宋_GB2312" w:eastAsia="仿宋_GB2312" w:hAnsi="Arial" w:hint="eastAsia"/>
          <w:sz w:val="30"/>
          <w:szCs w:val="30"/>
        </w:rPr>
        <w:t>）中有关</w:t>
      </w:r>
      <w:r>
        <w:rPr>
          <w:rFonts w:ascii="仿宋_GB2312" w:eastAsia="仿宋_GB2312" w:hAnsi="Arial" w:hint="eastAsia"/>
          <w:sz w:val="30"/>
          <w:szCs w:val="30"/>
        </w:rPr>
        <w:t>PDCERF</w:t>
      </w:r>
      <w:r>
        <w:rPr>
          <w:rFonts w:ascii="仿宋_GB2312" w:eastAsia="仿宋_GB2312" w:hAnsi="Arial" w:hint="eastAsia"/>
          <w:sz w:val="30"/>
          <w:szCs w:val="30"/>
        </w:rPr>
        <w:t>模型的（</w:t>
      </w:r>
      <w:r>
        <w:rPr>
          <w:rFonts w:ascii="仿宋_GB2312" w:eastAsia="仿宋_GB2312" w:hAnsi="Arial" w:hint="eastAsia"/>
          <w:sz w:val="30"/>
          <w:szCs w:val="30"/>
        </w:rPr>
        <w:t>Preparation</w:t>
      </w:r>
      <w:r>
        <w:rPr>
          <w:rFonts w:ascii="仿宋_GB2312" w:eastAsia="仿宋_GB2312" w:hAnsi="Arial" w:hint="eastAsia"/>
          <w:sz w:val="30"/>
          <w:szCs w:val="30"/>
        </w:rPr>
        <w:t>（准备）、</w:t>
      </w:r>
      <w:r>
        <w:rPr>
          <w:rFonts w:ascii="仿宋_GB2312" w:eastAsia="仿宋_GB2312" w:hAnsi="Arial" w:hint="eastAsia"/>
          <w:sz w:val="30"/>
          <w:szCs w:val="30"/>
        </w:rPr>
        <w:t>Detection</w:t>
      </w:r>
      <w:r>
        <w:rPr>
          <w:rFonts w:ascii="仿宋_GB2312" w:eastAsia="仿宋_GB2312" w:hAnsi="Arial" w:hint="eastAsia"/>
          <w:sz w:val="30"/>
          <w:szCs w:val="30"/>
        </w:rPr>
        <w:t>（检测）、</w:t>
      </w:r>
      <w:r>
        <w:rPr>
          <w:rFonts w:ascii="仿宋_GB2312" w:eastAsia="仿宋_GB2312" w:hAnsi="Arial" w:hint="eastAsia"/>
          <w:sz w:val="30"/>
          <w:szCs w:val="30"/>
        </w:rPr>
        <w:t>Containment</w:t>
      </w:r>
      <w:r>
        <w:rPr>
          <w:rFonts w:ascii="仿宋_GB2312" w:eastAsia="仿宋_GB2312" w:hAnsi="Arial" w:hint="eastAsia"/>
          <w:sz w:val="30"/>
          <w:szCs w:val="30"/>
        </w:rPr>
        <w:t>（遏制）、</w:t>
      </w:r>
      <w:r>
        <w:rPr>
          <w:rFonts w:ascii="仿宋_GB2312" w:eastAsia="仿宋_GB2312" w:hAnsi="Arial" w:hint="eastAsia"/>
          <w:sz w:val="30"/>
          <w:szCs w:val="30"/>
        </w:rPr>
        <w:t>Eradication</w:t>
      </w:r>
      <w:r>
        <w:rPr>
          <w:rFonts w:ascii="仿宋_GB2312" w:eastAsia="仿宋_GB2312" w:hAnsi="Arial" w:hint="eastAsia"/>
          <w:sz w:val="30"/>
          <w:szCs w:val="30"/>
        </w:rPr>
        <w:t>（根除）、</w:t>
      </w:r>
      <w:r>
        <w:rPr>
          <w:rFonts w:ascii="仿宋_GB2312" w:eastAsia="仿宋_GB2312" w:hAnsi="Arial" w:hint="eastAsia"/>
          <w:sz w:val="30"/>
          <w:szCs w:val="30"/>
        </w:rPr>
        <w:t>Recovery</w:t>
      </w:r>
      <w:r>
        <w:rPr>
          <w:rFonts w:ascii="仿宋_GB2312" w:eastAsia="仿宋_GB2312" w:hAnsi="Arial" w:hint="eastAsia"/>
          <w:sz w:val="30"/>
          <w:szCs w:val="30"/>
        </w:rPr>
        <w:t>（恢复）、</w:t>
      </w:r>
      <w:r>
        <w:rPr>
          <w:rFonts w:ascii="仿宋_GB2312" w:eastAsia="仿宋_GB2312" w:hAnsi="Arial" w:hint="eastAsia"/>
          <w:sz w:val="30"/>
          <w:szCs w:val="30"/>
        </w:rPr>
        <w:t>Follow-up</w:t>
      </w:r>
      <w:r>
        <w:rPr>
          <w:rFonts w:ascii="仿宋_GB2312" w:eastAsia="仿宋_GB2312" w:hAnsi="Arial" w:hint="eastAsia"/>
          <w:sz w:val="30"/>
          <w:szCs w:val="30"/>
        </w:rPr>
        <w:t>（跟踪））的六个阶段，结合公司实际明确了应急响应处置流程，包括日常监测、事件监测、预警分级、应急启动、应急处置、后续处置、媒体沟通和结束响应等八个环节。应急响应实施流程如下图所示：</w:t>
      </w:r>
    </w:p>
    <w:p w:rsidR="00014D42">
      <w:pPr>
        <w:spacing w:line="360" w:lineRule="auto"/>
        <w:ind w:firstLine="600" w:firstLineChars="200"/>
        <w:rPr>
          <w:rFonts w:ascii="仿宋_GB2312" w:eastAsia="仿宋_GB2312" w:hAnsi="Arial"/>
          <w:sz w:val="30"/>
          <w:szCs w:val="30"/>
        </w:rPr>
      </w:pPr>
      <w:r>
        <w:rPr>
          <w:rFonts w:ascii="仿宋_GB2312" w:eastAsia="仿宋_GB2312" w:hAnsi="Arial"/>
          <w:noProof/>
          <w:sz w:val="30"/>
          <w:szCs w:val="30"/>
        </w:rPr>
        <mc:AlternateContent>
          <mc:Choice Requires="wpg">
            <w:drawing>
              <wp:inline distT="0" distB="0" distL="0" distR="0">
                <wp:extent cx="4795520" cy="5725160"/>
                <wp:effectExtent l="0" t="0" r="0" b="3175"/>
                <wp:docPr id="1" name="组合 1"/>
                <wp:cNvGraphicFramePr/>
                <a:graphic xmlns:a="http://schemas.openxmlformats.org/drawingml/2006/main">
                  <a:graphicData uri="http://schemas.microsoft.com/office/word/2010/wordprocessingGroup">
                    <wpg:wgp xmlns:wpg="http://schemas.microsoft.com/office/word/2010/wordprocessingGroup">
                      <wpg:cNvGrpSpPr/>
                      <wpg:grpSpPr>
                        <a:xfrm>
                          <a:off x="0" y="0"/>
                          <a:ext cx="4795520" cy="5725160"/>
                          <a:chOff x="2177" y="1406"/>
                          <a:chExt cx="7552" cy="9016"/>
                        </a:xfrm>
                      </wpg:grpSpPr>
                      <pic:pic xmlns:pic="http://schemas.openxmlformats.org/drawingml/2006/picture">
                        <pic:nvPicPr>
                          <pic:cNvPr id="2" name="Picture 4"/>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a:xfrm>
                            <a:off x="2177" y="1406"/>
                            <a:ext cx="7552" cy="7552"/>
                          </a:xfrm>
                          <a:prstGeom prst="rect">
                            <a:avLst/>
                          </a:prstGeom>
                          <a:noFill/>
                        </pic:spPr>
                      </pic:pic>
                      <pic:pic xmlns:pic="http://schemas.openxmlformats.org/drawingml/2006/picture">
                        <pic:nvPicPr>
                          <pic:cNvPr id="3" name="Picture 5"/>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a:xfrm>
                            <a:off x="2289" y="1515"/>
                            <a:ext cx="7327" cy="7333"/>
                          </a:xfrm>
                          <a:prstGeom prst="rect">
                            <a:avLst/>
                          </a:prstGeom>
                          <a:noFill/>
                        </pic:spPr>
                      </pic:pic>
                      <wps:wsp xmlns:wps="http://schemas.microsoft.com/office/word/2010/wordprocessingShape">
                        <wps:cNvPr id="4" name="Freeform 6"/>
                        <wps:cNvSpPr/>
                        <wps:spPr bwMode="auto">
                          <a:xfrm>
                            <a:off x="5080" y="2059"/>
                            <a:ext cx="1768" cy="473"/>
                          </a:xfrm>
                          <a:custGeom>
                            <a:avLst/>
                            <a:gdLst>
                              <a:gd name="T0" fmla="*/ 1531 w 1768"/>
                              <a:gd name="T1" fmla="*/ 2059 h 473"/>
                              <a:gd name="T2" fmla="*/ 238 w 1768"/>
                              <a:gd name="T3" fmla="*/ 2059 h 473"/>
                              <a:gd name="T4" fmla="*/ 163 w 1768"/>
                              <a:gd name="T5" fmla="*/ 2071 h 473"/>
                              <a:gd name="T6" fmla="*/ 98 w 1768"/>
                              <a:gd name="T7" fmla="*/ 2105 h 473"/>
                              <a:gd name="T8" fmla="*/ 46 w 1768"/>
                              <a:gd name="T9" fmla="*/ 2156 h 473"/>
                              <a:gd name="T10" fmla="*/ 13 w 1768"/>
                              <a:gd name="T11" fmla="*/ 2221 h 473"/>
                              <a:gd name="T12" fmla="*/ 0 w 1768"/>
                              <a:gd name="T13" fmla="*/ 2296 h 473"/>
                              <a:gd name="T14" fmla="*/ 13 w 1768"/>
                              <a:gd name="T15" fmla="*/ 2370 h 473"/>
                              <a:gd name="T16" fmla="*/ 46 w 1768"/>
                              <a:gd name="T17" fmla="*/ 2435 h 473"/>
                              <a:gd name="T18" fmla="*/ 98 w 1768"/>
                              <a:gd name="T19" fmla="*/ 2486 h 473"/>
                              <a:gd name="T20" fmla="*/ 163 w 1768"/>
                              <a:gd name="T21" fmla="*/ 2520 h 473"/>
                              <a:gd name="T22" fmla="*/ 238 w 1768"/>
                              <a:gd name="T23" fmla="*/ 2532 h 473"/>
                              <a:gd name="T24" fmla="*/ 1531 w 1768"/>
                              <a:gd name="T25" fmla="*/ 2532 h 473"/>
                              <a:gd name="T26" fmla="*/ 1606 w 1768"/>
                              <a:gd name="T27" fmla="*/ 2520 h 473"/>
                              <a:gd name="T28" fmla="*/ 1671 w 1768"/>
                              <a:gd name="T29" fmla="*/ 2486 h 473"/>
                              <a:gd name="T30" fmla="*/ 1723 w 1768"/>
                              <a:gd name="T31" fmla="*/ 2435 h 473"/>
                              <a:gd name="T32" fmla="*/ 1756 w 1768"/>
                              <a:gd name="T33" fmla="*/ 2370 h 473"/>
                              <a:gd name="T34" fmla="*/ 1768 w 1768"/>
                              <a:gd name="T35" fmla="*/ 2296 h 473"/>
                              <a:gd name="T36" fmla="*/ 1756 w 1768"/>
                              <a:gd name="T37" fmla="*/ 2221 h 473"/>
                              <a:gd name="T38" fmla="*/ 1723 w 1768"/>
                              <a:gd name="T39" fmla="*/ 2156 h 473"/>
                              <a:gd name="T40" fmla="*/ 1671 w 1768"/>
                              <a:gd name="T41" fmla="*/ 2105 h 473"/>
                              <a:gd name="T42" fmla="*/ 1606 w 1768"/>
                              <a:gd name="T43" fmla="*/ 2071 h 473"/>
                              <a:gd name="T44" fmla="*/ 1531 w 1768"/>
                              <a:gd name="T45" fmla="*/ 2059 h 473"/>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fill="norm" h="473" w="1768" stroke="1">
                                <a:moveTo>
                                  <a:pt x="1531" y="0"/>
                                </a:moveTo>
                                <a:lnTo>
                                  <a:pt x="238" y="0"/>
                                </a:lnTo>
                                <a:lnTo>
                                  <a:pt x="163" y="12"/>
                                </a:lnTo>
                                <a:lnTo>
                                  <a:pt x="98" y="46"/>
                                </a:lnTo>
                                <a:lnTo>
                                  <a:pt x="46" y="97"/>
                                </a:lnTo>
                                <a:lnTo>
                                  <a:pt x="13" y="162"/>
                                </a:lnTo>
                                <a:lnTo>
                                  <a:pt x="0" y="237"/>
                                </a:lnTo>
                                <a:lnTo>
                                  <a:pt x="13" y="311"/>
                                </a:lnTo>
                                <a:lnTo>
                                  <a:pt x="46" y="376"/>
                                </a:lnTo>
                                <a:lnTo>
                                  <a:pt x="98" y="427"/>
                                </a:lnTo>
                                <a:lnTo>
                                  <a:pt x="163" y="461"/>
                                </a:lnTo>
                                <a:lnTo>
                                  <a:pt x="238" y="473"/>
                                </a:lnTo>
                                <a:lnTo>
                                  <a:pt x="1531" y="473"/>
                                </a:lnTo>
                                <a:lnTo>
                                  <a:pt x="1606" y="461"/>
                                </a:lnTo>
                                <a:lnTo>
                                  <a:pt x="1671" y="427"/>
                                </a:lnTo>
                                <a:lnTo>
                                  <a:pt x="1723" y="376"/>
                                </a:lnTo>
                                <a:lnTo>
                                  <a:pt x="1756" y="311"/>
                                </a:lnTo>
                                <a:lnTo>
                                  <a:pt x="1768" y="237"/>
                                </a:lnTo>
                                <a:lnTo>
                                  <a:pt x="1756" y="162"/>
                                </a:lnTo>
                                <a:lnTo>
                                  <a:pt x="1723" y="97"/>
                                </a:lnTo>
                                <a:lnTo>
                                  <a:pt x="1671" y="46"/>
                                </a:lnTo>
                                <a:lnTo>
                                  <a:pt x="1606" y="12"/>
                                </a:lnTo>
                                <a:lnTo>
                                  <a:pt x="1531" y="0"/>
                                </a:lnTo>
                                <a:close/>
                              </a:path>
                            </a:pathLst>
                          </a:cu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5" name="Freeform 7"/>
                        <wps:cNvSpPr/>
                        <wps:spPr bwMode="auto">
                          <a:xfrm>
                            <a:off x="5086" y="2059"/>
                            <a:ext cx="1525" cy="198"/>
                          </a:xfrm>
                          <a:custGeom>
                            <a:avLst/>
                            <a:gdLst>
                              <a:gd name="T0" fmla="*/ 1524 w 1525"/>
                              <a:gd name="T1" fmla="*/ 2059 h 198"/>
                              <a:gd name="T2" fmla="*/ 231 w 1525"/>
                              <a:gd name="T3" fmla="*/ 2059 h 198"/>
                              <a:gd name="T4" fmla="*/ 156 w 1525"/>
                              <a:gd name="T5" fmla="*/ 2071 h 198"/>
                              <a:gd name="T6" fmla="*/ 91 w 1525"/>
                              <a:gd name="T7" fmla="*/ 2105 h 198"/>
                              <a:gd name="T8" fmla="*/ 39 w 1525"/>
                              <a:gd name="T9" fmla="*/ 2156 h 198"/>
                              <a:gd name="T10" fmla="*/ 6 w 1525"/>
                              <a:gd name="T11" fmla="*/ 2221 h 198"/>
                              <a:gd name="T12" fmla="*/ 0 w 1525"/>
                              <a:gd name="T13" fmla="*/ 2257 h 198"/>
                              <a:gd name="T14" fmla="*/ 0 60000 65536"/>
                              <a:gd name="T15" fmla="*/ 0 60000 65536"/>
                              <a:gd name="T16" fmla="*/ 0 60000 65536"/>
                              <a:gd name="T17" fmla="*/ 0 60000 65536"/>
                              <a:gd name="T18" fmla="*/ 0 60000 65536"/>
                              <a:gd name="T19" fmla="*/ 0 60000 65536"/>
                              <a:gd name="T20" fmla="*/ 0 60000 65536"/>
                            </a:gdLst>
                            <a:cxnLst>
                              <a:cxn ang="T14">
                                <a:pos x="T0" y="T1"/>
                              </a:cxn>
                              <a:cxn ang="T15">
                                <a:pos x="T2" y="T3"/>
                              </a:cxn>
                              <a:cxn ang="T16">
                                <a:pos x="T4" y="T5"/>
                              </a:cxn>
                              <a:cxn ang="T17">
                                <a:pos x="T6" y="T7"/>
                              </a:cxn>
                              <a:cxn ang="T18">
                                <a:pos x="T8" y="T9"/>
                              </a:cxn>
                              <a:cxn ang="T19">
                                <a:pos x="T10" y="T11"/>
                              </a:cxn>
                              <a:cxn ang="T20">
                                <a:pos x="T12" y="T13"/>
                              </a:cxn>
                            </a:cxnLst>
                            <a:rect l="0" t="0" r="r" b="b"/>
                            <a:pathLst>
                              <a:path fill="norm" h="198" w="1525" stroke="1">
                                <a:moveTo>
                                  <a:pt x="1524" y="0"/>
                                </a:moveTo>
                                <a:lnTo>
                                  <a:pt x="231" y="0"/>
                                </a:lnTo>
                                <a:lnTo>
                                  <a:pt x="156" y="12"/>
                                </a:lnTo>
                                <a:lnTo>
                                  <a:pt x="91" y="46"/>
                                </a:lnTo>
                                <a:lnTo>
                                  <a:pt x="39" y="97"/>
                                </a:lnTo>
                                <a:lnTo>
                                  <a:pt x="6" y="162"/>
                                </a:lnTo>
                                <a:lnTo>
                                  <a:pt x="0" y="198"/>
                                </a:lnTo>
                              </a:path>
                            </a:pathLst>
                          </a:custGeom>
                          <a:noFill/>
                          <a:ln w="2649">
                            <a:solidFill>
                              <a:srgbClr val="CDCDCD"/>
                            </a:solidFill>
                            <a:round/>
                          </a:ln>
                        </wps:spPr>
                        <wps:bodyPr rot="0" vert="horz" wrap="square" lIns="91440" tIns="45720" rIns="91440" bIns="45720" anchor="t" anchorCtr="0" upright="1"/>
                      </wps:wsp>
                      <pic:pic xmlns:pic="http://schemas.openxmlformats.org/drawingml/2006/picture">
                        <pic:nvPicPr>
                          <pic:cNvPr id="6" name="Picture 8"/>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a:xfrm>
                            <a:off x="6608" y="2057"/>
                            <a:ext cx="242" cy="241"/>
                          </a:xfrm>
                          <a:prstGeom prst="rect">
                            <a:avLst/>
                          </a:prstGeom>
                          <a:noFill/>
                        </pic:spPr>
                      </pic:pic>
                      <pic:pic xmlns:pic="http://schemas.openxmlformats.org/drawingml/2006/picture">
                        <pic:nvPicPr>
                          <pic:cNvPr id="7" name="Picture 9"/>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a:xfrm>
                            <a:off x="5056" y="2035"/>
                            <a:ext cx="1768" cy="473"/>
                          </a:xfrm>
                          <a:prstGeom prst="rect">
                            <a:avLst/>
                          </a:prstGeom>
                          <a:noFill/>
                        </pic:spPr>
                      </pic:pic>
                      <wps:wsp xmlns:wps="http://schemas.microsoft.com/office/word/2010/wordprocessingShape">
                        <wps:cNvPr id="8" name="Freeform 10"/>
                        <wps:cNvSpPr/>
                        <wps:spPr bwMode="auto">
                          <a:xfrm>
                            <a:off x="5056" y="2035"/>
                            <a:ext cx="1768" cy="473"/>
                          </a:xfrm>
                          <a:custGeom>
                            <a:avLst/>
                            <a:gdLst>
                              <a:gd name="T0" fmla="*/ 238 w 1768"/>
                              <a:gd name="T1" fmla="*/ 2508 h 473"/>
                              <a:gd name="T2" fmla="*/ 1531 w 1768"/>
                              <a:gd name="T3" fmla="*/ 2508 h 473"/>
                              <a:gd name="T4" fmla="*/ 1606 w 1768"/>
                              <a:gd name="T5" fmla="*/ 2496 h 473"/>
                              <a:gd name="T6" fmla="*/ 1671 w 1768"/>
                              <a:gd name="T7" fmla="*/ 2462 h 473"/>
                              <a:gd name="T8" fmla="*/ 1722 w 1768"/>
                              <a:gd name="T9" fmla="*/ 2411 h 473"/>
                              <a:gd name="T10" fmla="*/ 1756 w 1768"/>
                              <a:gd name="T11" fmla="*/ 2346 h 473"/>
                              <a:gd name="T12" fmla="*/ 1768 w 1768"/>
                              <a:gd name="T13" fmla="*/ 2272 h 473"/>
                              <a:gd name="T14" fmla="*/ 1756 w 1768"/>
                              <a:gd name="T15" fmla="*/ 2197 h 473"/>
                              <a:gd name="T16" fmla="*/ 1722 w 1768"/>
                              <a:gd name="T17" fmla="*/ 2132 h 473"/>
                              <a:gd name="T18" fmla="*/ 1671 w 1768"/>
                              <a:gd name="T19" fmla="*/ 2081 h 473"/>
                              <a:gd name="T20" fmla="*/ 1606 w 1768"/>
                              <a:gd name="T21" fmla="*/ 2047 h 473"/>
                              <a:gd name="T22" fmla="*/ 1531 w 1768"/>
                              <a:gd name="T23" fmla="*/ 2035 h 473"/>
                              <a:gd name="T24" fmla="*/ 238 w 1768"/>
                              <a:gd name="T25" fmla="*/ 2035 h 473"/>
                              <a:gd name="T26" fmla="*/ 163 w 1768"/>
                              <a:gd name="T27" fmla="*/ 2047 h 473"/>
                              <a:gd name="T28" fmla="*/ 97 w 1768"/>
                              <a:gd name="T29" fmla="*/ 2081 h 473"/>
                              <a:gd name="T30" fmla="*/ 46 w 1768"/>
                              <a:gd name="T31" fmla="*/ 2132 h 473"/>
                              <a:gd name="T32" fmla="*/ 12 w 1768"/>
                              <a:gd name="T33" fmla="*/ 2197 h 473"/>
                              <a:gd name="T34" fmla="*/ 0 w 1768"/>
                              <a:gd name="T35" fmla="*/ 2272 h 473"/>
                              <a:gd name="T36" fmla="*/ 12 w 1768"/>
                              <a:gd name="T37" fmla="*/ 2346 h 473"/>
                              <a:gd name="T38" fmla="*/ 46 w 1768"/>
                              <a:gd name="T39" fmla="*/ 2411 h 473"/>
                              <a:gd name="T40" fmla="*/ 97 w 1768"/>
                              <a:gd name="T41" fmla="*/ 2462 h 473"/>
                              <a:gd name="T42" fmla="*/ 163 w 1768"/>
                              <a:gd name="T43" fmla="*/ 2496 h 473"/>
                              <a:gd name="T44" fmla="*/ 238 w 1768"/>
                              <a:gd name="T45" fmla="*/ 2508 h 473"/>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fill="norm" h="473" w="1768" stroke="1">
                                <a:moveTo>
                                  <a:pt x="238" y="473"/>
                                </a:moveTo>
                                <a:lnTo>
                                  <a:pt x="1531" y="473"/>
                                </a:lnTo>
                                <a:lnTo>
                                  <a:pt x="1606" y="461"/>
                                </a:lnTo>
                                <a:lnTo>
                                  <a:pt x="1671" y="427"/>
                                </a:lnTo>
                                <a:lnTo>
                                  <a:pt x="1722" y="376"/>
                                </a:lnTo>
                                <a:lnTo>
                                  <a:pt x="1756" y="311"/>
                                </a:lnTo>
                                <a:lnTo>
                                  <a:pt x="1768" y="237"/>
                                </a:lnTo>
                                <a:lnTo>
                                  <a:pt x="1756" y="162"/>
                                </a:lnTo>
                                <a:lnTo>
                                  <a:pt x="1722" y="97"/>
                                </a:lnTo>
                                <a:lnTo>
                                  <a:pt x="1671" y="46"/>
                                </a:lnTo>
                                <a:lnTo>
                                  <a:pt x="1606" y="12"/>
                                </a:lnTo>
                                <a:lnTo>
                                  <a:pt x="1531" y="0"/>
                                </a:lnTo>
                                <a:lnTo>
                                  <a:pt x="238" y="0"/>
                                </a:lnTo>
                                <a:lnTo>
                                  <a:pt x="163" y="12"/>
                                </a:lnTo>
                                <a:lnTo>
                                  <a:pt x="97" y="46"/>
                                </a:lnTo>
                                <a:lnTo>
                                  <a:pt x="46" y="97"/>
                                </a:lnTo>
                                <a:lnTo>
                                  <a:pt x="12" y="162"/>
                                </a:lnTo>
                                <a:lnTo>
                                  <a:pt x="0" y="237"/>
                                </a:lnTo>
                                <a:lnTo>
                                  <a:pt x="12" y="311"/>
                                </a:lnTo>
                                <a:lnTo>
                                  <a:pt x="46" y="376"/>
                                </a:lnTo>
                                <a:lnTo>
                                  <a:pt x="97" y="427"/>
                                </a:lnTo>
                                <a:lnTo>
                                  <a:pt x="163" y="461"/>
                                </a:lnTo>
                                <a:lnTo>
                                  <a:pt x="238" y="473"/>
                                </a:lnTo>
                                <a:close/>
                              </a:path>
                            </a:pathLst>
                          </a:custGeom>
                          <a:noFill/>
                          <a:ln w="2650">
                            <a:solidFill>
                              <a:srgbClr val="404040"/>
                            </a:solidFill>
                            <a:round/>
                          </a:ln>
                        </wps:spPr>
                        <wps:bodyPr rot="0" vert="horz" wrap="square" lIns="91440" tIns="45720" rIns="91440" bIns="45720" anchor="t" anchorCtr="0" upright="1"/>
                      </wps:wsp>
                      <wps:wsp xmlns:wps="http://schemas.microsoft.com/office/word/2010/wordprocessingShape">
                        <wps:cNvPr id="9" name="Rectangle 11"/>
                        <wps:cNvSpPr>
                          <a:spLocks noChangeArrowheads="1"/>
                        </wps:cNvSpPr>
                        <wps:spPr bwMode="auto">
                          <a:xfrm>
                            <a:off x="5365" y="2928"/>
                            <a:ext cx="1187" cy="473"/>
                          </a:xfrm>
                          <a:prstGeom prst="rect">
                            <a:avLst/>
                          </a:prstGeom>
                          <a:solidFill>
                            <a:srgbClr val="CDCDCD">
                              <a:alpha val="49803"/>
                            </a:srgbClr>
                          </a:solidFill>
                          <a:ln>
                            <a:noFill/>
                          </a:ln>
                        </wps:spPr>
                        <wps:bodyPr rot="0" vert="horz" wrap="square" lIns="91440" tIns="45720" rIns="91440" bIns="45720" anchor="t" anchorCtr="0" upright="1"/>
                      </wps:wsp>
                      <pic:pic xmlns:pic="http://schemas.openxmlformats.org/drawingml/2006/picture">
                        <pic:nvPicPr>
                          <pic:cNvPr id="10" name="Picture 12"/>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5341" y="2904"/>
                            <a:ext cx="1187" cy="473"/>
                          </a:xfrm>
                          <a:prstGeom prst="rect">
                            <a:avLst/>
                          </a:prstGeom>
                          <a:noFill/>
                        </pic:spPr>
                      </pic:pic>
                      <wps:wsp xmlns:wps="http://schemas.microsoft.com/office/word/2010/wordprocessingShape">
                        <wps:cNvPr id="11" name="Freeform 13"/>
                        <wps:cNvSpPr/>
                        <wps:spPr bwMode="auto">
                          <a:xfrm>
                            <a:off x="5365" y="3768"/>
                            <a:ext cx="1187" cy="710"/>
                          </a:xfrm>
                          <a:custGeom>
                            <a:avLst/>
                            <a:gdLst>
                              <a:gd name="T0" fmla="*/ 593 w 1187"/>
                              <a:gd name="T1" fmla="*/ 3768 h 710"/>
                              <a:gd name="T2" fmla="*/ 0 w 1187"/>
                              <a:gd name="T3" fmla="*/ 4123 h 710"/>
                              <a:gd name="T4" fmla="*/ 593 w 1187"/>
                              <a:gd name="T5" fmla="*/ 4478 h 710"/>
                              <a:gd name="T6" fmla="*/ 1186 w 1187"/>
                              <a:gd name="T7" fmla="*/ 4123 h 710"/>
                              <a:gd name="T8" fmla="*/ 593 w 1187"/>
                              <a:gd name="T9" fmla="*/ 3768 h 710"/>
                              <a:gd name="T10" fmla="*/ 0 60000 65536"/>
                              <a:gd name="T11" fmla="*/ 0 60000 65536"/>
                              <a:gd name="T12" fmla="*/ 0 60000 65536"/>
                              <a:gd name="T13" fmla="*/ 0 60000 65536"/>
                              <a:gd name="T14" fmla="*/ 0 60000 65536"/>
                            </a:gdLst>
                            <a:cxnLst>
                              <a:cxn ang="T10">
                                <a:pos x="T0" y="T1"/>
                              </a:cxn>
                              <a:cxn ang="T11">
                                <a:pos x="T2" y="T3"/>
                              </a:cxn>
                              <a:cxn ang="T12">
                                <a:pos x="T4" y="T5"/>
                              </a:cxn>
                              <a:cxn ang="T13">
                                <a:pos x="T6" y="T7"/>
                              </a:cxn>
                              <a:cxn ang="T14">
                                <a:pos x="T8" y="T9"/>
                              </a:cxn>
                            </a:cxnLst>
                            <a:rect l="0" t="0" r="r" b="b"/>
                            <a:pathLst>
                              <a:path fill="norm" h="710" w="1187" stroke="1">
                                <a:moveTo>
                                  <a:pt x="593" y="0"/>
                                </a:moveTo>
                                <a:lnTo>
                                  <a:pt x="0" y="355"/>
                                </a:lnTo>
                                <a:lnTo>
                                  <a:pt x="593" y="710"/>
                                </a:lnTo>
                                <a:lnTo>
                                  <a:pt x="1186" y="355"/>
                                </a:lnTo>
                                <a:lnTo>
                                  <a:pt x="593" y="0"/>
                                </a:lnTo>
                                <a:close/>
                              </a:path>
                            </a:pathLst>
                          </a:cu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12" name="AutoShape 14"/>
                        <wps:cNvSpPr/>
                        <wps:spPr bwMode="auto">
                          <a:xfrm>
                            <a:off x="2603" y="5397"/>
                            <a:ext cx="1418" cy="426"/>
                          </a:xfrm>
                          <a:custGeom>
                            <a:avLst/>
                            <a:gdLst>
                              <a:gd name="T0" fmla="*/ 2763 w 1418"/>
                              <a:gd name="T1" fmla="*/ 4123 h 426"/>
                              <a:gd name="T2" fmla="*/ 3356 w 1418"/>
                              <a:gd name="T3" fmla="*/ 3768 h 426"/>
                              <a:gd name="T4" fmla="*/ 3356 w 1418"/>
                              <a:gd name="T5" fmla="*/ 3768 h 426"/>
                              <a:gd name="T6" fmla="*/ 2763 w 1418"/>
                              <a:gd name="T7" fmla="*/ 4123 h 426"/>
                              <a:gd name="T8" fmla="*/ 2763 w 1418"/>
                              <a:gd name="T9" fmla="*/ 4123 h 426"/>
                              <a:gd name="T10" fmla="*/ 3356 w 1418"/>
                              <a:gd name="T11" fmla="*/ 3768 h 426"/>
                              <a:gd name="T12" fmla="*/ 3949 w 1418"/>
                              <a:gd name="T13" fmla="*/ 4123 h 426"/>
                              <a:gd name="T14" fmla="*/ 3949 w 1418"/>
                              <a:gd name="T15" fmla="*/ 4123 h 426"/>
                              <a:gd name="T16" fmla="*/ 0 60000 65536"/>
                              <a:gd name="T17" fmla="*/ 0 60000 65536"/>
                              <a:gd name="T18" fmla="*/ 0 60000 65536"/>
                              <a:gd name="T19" fmla="*/ 0 60000 65536"/>
                              <a:gd name="T20" fmla="*/ 0 60000 65536"/>
                              <a:gd name="T21" fmla="*/ 0 60000 65536"/>
                              <a:gd name="T22" fmla="*/ 0 60000 65536"/>
                              <a:gd name="T23" fmla="*/ 0 60000 65536"/>
                            </a:gd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fill="norm" h="426" w="1418" stroke="1">
                                <a:moveTo>
                                  <a:pt x="2763" y="-1275"/>
                                </a:moveTo>
                                <a:lnTo>
                                  <a:pt x="3356" y="-1630"/>
                                </a:lnTo>
                                <a:moveTo>
                                  <a:pt x="2763" y="-1275"/>
                                </a:moveTo>
                                <a:lnTo>
                                  <a:pt x="2763" y="-1275"/>
                                </a:lnTo>
                                <a:moveTo>
                                  <a:pt x="3356" y="-1630"/>
                                </a:moveTo>
                                <a:lnTo>
                                  <a:pt x="3949" y="-1275"/>
                                </a:lnTo>
                              </a:path>
                            </a:pathLst>
                          </a:custGeom>
                          <a:noFill/>
                          <a:ln w="2653">
                            <a:solidFill>
                              <a:srgbClr val="CDCDCD"/>
                            </a:solidFill>
                            <a:round/>
                          </a:ln>
                        </wps:spPr>
                        <wps:bodyPr rot="0" vert="horz" wrap="square" lIns="91440" tIns="45720" rIns="91440" bIns="45720" anchor="t" anchorCtr="0" upright="1"/>
                      </wps:wsp>
                      <pic:pic xmlns:pic="http://schemas.openxmlformats.org/drawingml/2006/picture">
                        <pic:nvPicPr>
                          <pic:cNvPr id="13" name="Picture 15"/>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a:xfrm>
                            <a:off x="5341" y="3744"/>
                            <a:ext cx="1187" cy="710"/>
                          </a:xfrm>
                          <a:prstGeom prst="rect">
                            <a:avLst/>
                          </a:prstGeom>
                          <a:noFill/>
                        </pic:spPr>
                      </pic:pic>
                      <wps:wsp xmlns:wps="http://schemas.microsoft.com/office/word/2010/wordprocessingShape">
                        <wps:cNvPr id="14" name="Freeform 16"/>
                        <wps:cNvSpPr/>
                        <wps:spPr bwMode="auto">
                          <a:xfrm>
                            <a:off x="5341" y="3744"/>
                            <a:ext cx="1187" cy="710"/>
                          </a:xfrm>
                          <a:custGeom>
                            <a:avLst/>
                            <a:gdLst>
                              <a:gd name="T0" fmla="*/ 0 w 1187"/>
                              <a:gd name="T1" fmla="*/ 4099 h 710"/>
                              <a:gd name="T2" fmla="*/ 594 w 1187"/>
                              <a:gd name="T3" fmla="*/ 3744 h 710"/>
                              <a:gd name="T4" fmla="*/ 1187 w 1187"/>
                              <a:gd name="T5" fmla="*/ 4099 h 710"/>
                              <a:gd name="T6" fmla="*/ 594 w 1187"/>
                              <a:gd name="T7" fmla="*/ 4454 h 710"/>
                              <a:gd name="T8" fmla="*/ 0 w 1187"/>
                              <a:gd name="T9" fmla="*/ 4099 h 710"/>
                              <a:gd name="T10" fmla="*/ 0 60000 65536"/>
                              <a:gd name="T11" fmla="*/ 0 60000 65536"/>
                              <a:gd name="T12" fmla="*/ 0 60000 65536"/>
                              <a:gd name="T13" fmla="*/ 0 60000 65536"/>
                              <a:gd name="T14" fmla="*/ 0 60000 65536"/>
                            </a:gdLst>
                            <a:cxnLst>
                              <a:cxn ang="T10">
                                <a:pos x="T0" y="T1"/>
                              </a:cxn>
                              <a:cxn ang="T11">
                                <a:pos x="T2" y="T3"/>
                              </a:cxn>
                              <a:cxn ang="T12">
                                <a:pos x="T4" y="T5"/>
                              </a:cxn>
                              <a:cxn ang="T13">
                                <a:pos x="T6" y="T7"/>
                              </a:cxn>
                              <a:cxn ang="T14">
                                <a:pos x="T8" y="T9"/>
                              </a:cxn>
                            </a:cxnLst>
                            <a:rect l="0" t="0" r="r" b="b"/>
                            <a:pathLst>
                              <a:path fill="norm" h="710" w="1187" stroke="1">
                                <a:moveTo>
                                  <a:pt x="0" y="355"/>
                                </a:moveTo>
                                <a:lnTo>
                                  <a:pt x="594" y="0"/>
                                </a:lnTo>
                                <a:lnTo>
                                  <a:pt x="1187" y="355"/>
                                </a:lnTo>
                                <a:lnTo>
                                  <a:pt x="594" y="710"/>
                                </a:lnTo>
                                <a:lnTo>
                                  <a:pt x="0" y="355"/>
                                </a:lnTo>
                                <a:close/>
                              </a:path>
                            </a:pathLst>
                          </a:custGeom>
                          <a:noFill/>
                          <a:ln w="2651">
                            <a:solidFill>
                              <a:srgbClr val="404040"/>
                            </a:solidFill>
                            <a:round/>
                          </a:ln>
                        </wps:spPr>
                        <wps:bodyPr rot="0" vert="horz" wrap="square" lIns="91440" tIns="45720" rIns="91440" bIns="45720" anchor="t" anchorCtr="0" upright="1"/>
                      </wps:wsp>
                      <wps:wsp xmlns:wps="http://schemas.microsoft.com/office/word/2010/wordprocessingShape">
                        <wps:cNvPr id="15" name="Rectangle 17"/>
                        <wps:cNvSpPr>
                          <a:spLocks noChangeArrowheads="1"/>
                        </wps:cNvSpPr>
                        <wps:spPr bwMode="auto">
                          <a:xfrm>
                            <a:off x="5128" y="4902"/>
                            <a:ext cx="1662" cy="473"/>
                          </a:xfrm>
                          <a:prstGeom prst="rect">
                            <a:avLst/>
                          </a:prstGeom>
                          <a:solidFill>
                            <a:srgbClr val="CDCDCD">
                              <a:alpha val="49803"/>
                            </a:srgbClr>
                          </a:solidFill>
                          <a:ln>
                            <a:noFill/>
                          </a:ln>
                        </wps:spPr>
                        <wps:bodyPr rot="0" vert="horz" wrap="square" lIns="91440" tIns="45720" rIns="91440" bIns="45720" anchor="t" anchorCtr="0" upright="1"/>
                      </wps:wsp>
                      <pic:pic xmlns:pic="http://schemas.openxmlformats.org/drawingml/2006/picture">
                        <pic:nvPicPr>
                          <pic:cNvPr id="16" name="Picture 18"/>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a:xfrm>
                            <a:off x="5104" y="4878"/>
                            <a:ext cx="1662" cy="473"/>
                          </a:xfrm>
                          <a:prstGeom prst="rect">
                            <a:avLst/>
                          </a:prstGeom>
                          <a:noFill/>
                        </pic:spPr>
                      </pic:pic>
                      <wps:wsp xmlns:wps="http://schemas.microsoft.com/office/word/2010/wordprocessingShape">
                        <wps:cNvPr id="17" name="Rectangle 19"/>
                        <wps:cNvSpPr>
                          <a:spLocks noChangeArrowheads="1"/>
                        </wps:cNvSpPr>
                        <wps:spPr bwMode="auto">
                          <a:xfrm>
                            <a:off x="5158" y="6425"/>
                            <a:ext cx="1640" cy="473"/>
                          </a:xfrm>
                          <a:prstGeom prst="rect">
                            <a:avLst/>
                          </a:pr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18" name="Line 20"/>
                        <wps:cNvCnPr>
                          <a:cxnSpLocks noChangeShapeType="1"/>
                        </wps:cNvCnPr>
                        <wps:spPr bwMode="auto">
                          <a:xfrm>
                            <a:off x="6798" y="6426"/>
                            <a:ext cx="0" cy="0"/>
                          </a:xfrm>
                          <a:prstGeom prst="line">
                            <a:avLst/>
                          </a:prstGeom>
                          <a:noFill/>
                          <a:ln w="2649">
                            <a:solidFill>
                              <a:srgbClr val="CDCDCD"/>
                            </a:solidFill>
                            <a:round/>
                          </a:ln>
                        </wps:spPr>
                        <wps:bodyPr/>
                      </wps:wsp>
                      <pic:pic xmlns:pic="http://schemas.openxmlformats.org/drawingml/2006/picture">
                        <pic:nvPicPr>
                          <pic:cNvPr id="19" name="Picture 21"/>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a:xfrm>
                            <a:off x="5134" y="6401"/>
                            <a:ext cx="1640" cy="473"/>
                          </a:xfrm>
                          <a:prstGeom prst="rect">
                            <a:avLst/>
                          </a:prstGeom>
                          <a:noFill/>
                        </pic:spPr>
                      </pic:pic>
                      <wps:wsp xmlns:wps="http://schemas.microsoft.com/office/word/2010/wordprocessingShape">
                        <wps:cNvPr id="20" name="Rectangle 22"/>
                        <wps:cNvSpPr>
                          <a:spLocks noChangeArrowheads="1"/>
                        </wps:cNvSpPr>
                        <wps:spPr bwMode="auto">
                          <a:xfrm>
                            <a:off x="5134" y="6401"/>
                            <a:ext cx="1640" cy="473"/>
                          </a:xfrm>
                          <a:prstGeom prst="rect">
                            <a:avLst/>
                          </a:prstGeom>
                          <a:noFill/>
                          <a:ln w="2650">
                            <a:solidFill>
                              <a:srgbClr val="404040"/>
                            </a:solidFill>
                            <a:miter lim="800000"/>
                          </a:ln>
                        </wps:spPr>
                        <wps:bodyPr rot="0" vert="horz" wrap="square" lIns="91440" tIns="45720" rIns="91440" bIns="45720" anchor="t" anchorCtr="0" upright="1"/>
                      </wps:wsp>
                      <wps:wsp xmlns:wps="http://schemas.microsoft.com/office/word/2010/wordprocessingShape">
                        <wps:cNvPr id="21" name="Rectangle 23"/>
                        <wps:cNvSpPr>
                          <a:spLocks noChangeArrowheads="1"/>
                        </wps:cNvSpPr>
                        <wps:spPr bwMode="auto">
                          <a:xfrm>
                            <a:off x="3277" y="3886"/>
                            <a:ext cx="1376" cy="473"/>
                          </a:xfrm>
                          <a:prstGeom prst="rect">
                            <a:avLst/>
                          </a:pr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22" name="Freeform 24"/>
                        <wps:cNvSpPr/>
                        <wps:spPr bwMode="auto">
                          <a:xfrm>
                            <a:off x="3277" y="3886"/>
                            <a:ext cx="1376" cy="474"/>
                          </a:xfrm>
                          <a:custGeom>
                            <a:avLst/>
                            <a:gdLst>
                              <a:gd name="T0" fmla="*/ 1376 w 1376"/>
                              <a:gd name="T1" fmla="*/ 3887 h 474"/>
                              <a:gd name="T2" fmla="*/ 0 w 1376"/>
                              <a:gd name="T3" fmla="*/ 3887 h 474"/>
                              <a:gd name="T4" fmla="*/ 0 w 1376"/>
                              <a:gd name="T5" fmla="*/ 4360 h 474"/>
                              <a:gd name="T6" fmla="*/ 0 60000 65536"/>
                              <a:gd name="T7" fmla="*/ 0 60000 65536"/>
                              <a:gd name="T8" fmla="*/ 0 60000 65536"/>
                            </a:gdLst>
                            <a:cxnLst>
                              <a:cxn ang="T6">
                                <a:pos x="T0" y="T1"/>
                              </a:cxn>
                              <a:cxn ang="T7">
                                <a:pos x="T2" y="T3"/>
                              </a:cxn>
                              <a:cxn ang="T8">
                                <a:pos x="T4" y="T5"/>
                              </a:cxn>
                            </a:cxnLst>
                            <a:rect l="0" t="0" r="r" b="b"/>
                            <a:pathLst>
                              <a:path fill="norm" h="474" w="1376" stroke="1">
                                <a:moveTo>
                                  <a:pt x="1376" y="0"/>
                                </a:moveTo>
                                <a:lnTo>
                                  <a:pt x="0" y="0"/>
                                </a:lnTo>
                                <a:lnTo>
                                  <a:pt x="0" y="473"/>
                                </a:lnTo>
                              </a:path>
                            </a:pathLst>
                          </a:custGeom>
                          <a:noFill/>
                          <a:ln w="2650">
                            <a:solidFill>
                              <a:srgbClr val="CDCDCD"/>
                            </a:solidFill>
                            <a:round/>
                          </a:ln>
                        </wps:spPr>
                        <wps:bodyPr rot="0" vert="horz" wrap="square" lIns="91440" tIns="45720" rIns="91440" bIns="45720" anchor="t" anchorCtr="0" upright="1"/>
                      </wps:wsp>
                      <pic:pic xmlns:pic="http://schemas.openxmlformats.org/drawingml/2006/picture">
                        <pic:nvPicPr>
                          <pic:cNvPr id="23" name="Picture 25"/>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a:xfrm>
                            <a:off x="3253" y="3862"/>
                            <a:ext cx="1376" cy="473"/>
                          </a:xfrm>
                          <a:prstGeom prst="rect">
                            <a:avLst/>
                          </a:prstGeom>
                          <a:noFill/>
                        </pic:spPr>
                      </pic:pic>
                      <wps:wsp xmlns:wps="http://schemas.microsoft.com/office/word/2010/wordprocessingShape">
                        <wps:cNvPr id="24" name="Freeform 26"/>
                        <wps:cNvSpPr/>
                        <wps:spPr bwMode="auto">
                          <a:xfrm>
                            <a:off x="5365" y="7242"/>
                            <a:ext cx="1187" cy="710"/>
                          </a:xfrm>
                          <a:custGeom>
                            <a:avLst/>
                            <a:gdLst>
                              <a:gd name="T0" fmla="*/ 593 w 1187"/>
                              <a:gd name="T1" fmla="*/ 7243 h 710"/>
                              <a:gd name="T2" fmla="*/ 0 w 1187"/>
                              <a:gd name="T3" fmla="*/ 7598 h 710"/>
                              <a:gd name="T4" fmla="*/ 593 w 1187"/>
                              <a:gd name="T5" fmla="*/ 7952 h 710"/>
                              <a:gd name="T6" fmla="*/ 1186 w 1187"/>
                              <a:gd name="T7" fmla="*/ 7598 h 710"/>
                              <a:gd name="T8" fmla="*/ 593 w 1187"/>
                              <a:gd name="T9" fmla="*/ 7243 h 710"/>
                              <a:gd name="T10" fmla="*/ 0 60000 65536"/>
                              <a:gd name="T11" fmla="*/ 0 60000 65536"/>
                              <a:gd name="T12" fmla="*/ 0 60000 65536"/>
                              <a:gd name="T13" fmla="*/ 0 60000 65536"/>
                              <a:gd name="T14" fmla="*/ 0 60000 65536"/>
                            </a:gdLst>
                            <a:cxnLst>
                              <a:cxn ang="T10">
                                <a:pos x="T0" y="T1"/>
                              </a:cxn>
                              <a:cxn ang="T11">
                                <a:pos x="T2" y="T3"/>
                              </a:cxn>
                              <a:cxn ang="T12">
                                <a:pos x="T4" y="T5"/>
                              </a:cxn>
                              <a:cxn ang="T13">
                                <a:pos x="T6" y="T7"/>
                              </a:cxn>
                              <a:cxn ang="T14">
                                <a:pos x="T8" y="T9"/>
                              </a:cxn>
                            </a:cxnLst>
                            <a:rect l="0" t="0" r="r" b="b"/>
                            <a:pathLst>
                              <a:path fill="norm" h="710" w="1187" stroke="1">
                                <a:moveTo>
                                  <a:pt x="593" y="0"/>
                                </a:moveTo>
                                <a:lnTo>
                                  <a:pt x="0" y="355"/>
                                </a:lnTo>
                                <a:lnTo>
                                  <a:pt x="593" y="709"/>
                                </a:lnTo>
                                <a:lnTo>
                                  <a:pt x="1186" y="355"/>
                                </a:lnTo>
                                <a:lnTo>
                                  <a:pt x="593" y="0"/>
                                </a:lnTo>
                                <a:close/>
                              </a:path>
                            </a:pathLst>
                          </a:cu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25" name="AutoShape 27"/>
                        <wps:cNvSpPr/>
                        <wps:spPr bwMode="auto">
                          <a:xfrm>
                            <a:off x="2603" y="9562"/>
                            <a:ext cx="1418" cy="426"/>
                          </a:xfrm>
                          <a:custGeom>
                            <a:avLst/>
                            <a:gdLst>
                              <a:gd name="T0" fmla="*/ 2763 w 1418"/>
                              <a:gd name="T1" fmla="*/ 7598 h 426"/>
                              <a:gd name="T2" fmla="*/ 3356 w 1418"/>
                              <a:gd name="T3" fmla="*/ 7243 h 426"/>
                              <a:gd name="T4" fmla="*/ 3356 w 1418"/>
                              <a:gd name="T5" fmla="*/ 7243 h 426"/>
                              <a:gd name="T6" fmla="*/ 2763 w 1418"/>
                              <a:gd name="T7" fmla="*/ 7598 h 426"/>
                              <a:gd name="T8" fmla="*/ 2763 w 1418"/>
                              <a:gd name="T9" fmla="*/ 7598 h 426"/>
                              <a:gd name="T10" fmla="*/ 3356 w 1418"/>
                              <a:gd name="T11" fmla="*/ 7243 h 426"/>
                              <a:gd name="T12" fmla="*/ 3949 w 1418"/>
                              <a:gd name="T13" fmla="*/ 7598 h 426"/>
                              <a:gd name="T14" fmla="*/ 3949 w 1418"/>
                              <a:gd name="T15" fmla="*/ 7598 h 426"/>
                              <a:gd name="T16" fmla="*/ 0 60000 65536"/>
                              <a:gd name="T17" fmla="*/ 0 60000 65536"/>
                              <a:gd name="T18" fmla="*/ 0 60000 65536"/>
                              <a:gd name="T19" fmla="*/ 0 60000 65536"/>
                              <a:gd name="T20" fmla="*/ 0 60000 65536"/>
                              <a:gd name="T21" fmla="*/ 0 60000 65536"/>
                              <a:gd name="T22" fmla="*/ 0 60000 65536"/>
                              <a:gd name="T23" fmla="*/ 0 60000 65536"/>
                            </a:gd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fill="norm" h="426" w="1418" stroke="1">
                                <a:moveTo>
                                  <a:pt x="2763" y="-1964"/>
                                </a:moveTo>
                                <a:lnTo>
                                  <a:pt x="3356" y="-2319"/>
                                </a:lnTo>
                                <a:moveTo>
                                  <a:pt x="2763" y="-1964"/>
                                </a:moveTo>
                                <a:lnTo>
                                  <a:pt x="2763" y="-1964"/>
                                </a:lnTo>
                                <a:moveTo>
                                  <a:pt x="3356" y="-2319"/>
                                </a:moveTo>
                                <a:lnTo>
                                  <a:pt x="3949" y="-1964"/>
                                </a:lnTo>
                              </a:path>
                            </a:pathLst>
                          </a:custGeom>
                          <a:noFill/>
                          <a:ln w="2653">
                            <a:solidFill>
                              <a:srgbClr val="CDCDCD"/>
                            </a:solidFill>
                            <a:round/>
                          </a:ln>
                        </wps:spPr>
                        <wps:bodyPr rot="0" vert="horz" wrap="square" lIns="91440" tIns="45720" rIns="91440" bIns="45720" anchor="t" anchorCtr="0" upright="1"/>
                      </wps:wsp>
                      <pic:pic xmlns:pic="http://schemas.openxmlformats.org/drawingml/2006/picture">
                        <pic:nvPicPr>
                          <pic:cNvPr id="26" name="Picture 28"/>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a:xfrm>
                            <a:off x="5341" y="7218"/>
                            <a:ext cx="1187" cy="710"/>
                          </a:xfrm>
                          <a:prstGeom prst="rect">
                            <a:avLst/>
                          </a:prstGeom>
                          <a:noFill/>
                        </pic:spPr>
                      </pic:pic>
                      <wps:wsp xmlns:wps="http://schemas.microsoft.com/office/word/2010/wordprocessingShape">
                        <wps:cNvPr id="27" name="Freeform 29"/>
                        <wps:cNvSpPr/>
                        <wps:spPr bwMode="auto">
                          <a:xfrm>
                            <a:off x="5341" y="7218"/>
                            <a:ext cx="1187" cy="710"/>
                          </a:xfrm>
                          <a:custGeom>
                            <a:avLst/>
                            <a:gdLst>
                              <a:gd name="T0" fmla="*/ 0 w 1187"/>
                              <a:gd name="T1" fmla="*/ 7573 h 710"/>
                              <a:gd name="T2" fmla="*/ 594 w 1187"/>
                              <a:gd name="T3" fmla="*/ 7219 h 710"/>
                              <a:gd name="T4" fmla="*/ 1187 w 1187"/>
                              <a:gd name="T5" fmla="*/ 7573 h 710"/>
                              <a:gd name="T6" fmla="*/ 594 w 1187"/>
                              <a:gd name="T7" fmla="*/ 7928 h 710"/>
                              <a:gd name="T8" fmla="*/ 0 w 1187"/>
                              <a:gd name="T9" fmla="*/ 7573 h 710"/>
                              <a:gd name="T10" fmla="*/ 0 60000 65536"/>
                              <a:gd name="T11" fmla="*/ 0 60000 65536"/>
                              <a:gd name="T12" fmla="*/ 0 60000 65536"/>
                              <a:gd name="T13" fmla="*/ 0 60000 65536"/>
                              <a:gd name="T14" fmla="*/ 0 60000 65536"/>
                            </a:gdLst>
                            <a:cxnLst>
                              <a:cxn ang="T10">
                                <a:pos x="T0" y="T1"/>
                              </a:cxn>
                              <a:cxn ang="T11">
                                <a:pos x="T2" y="T3"/>
                              </a:cxn>
                              <a:cxn ang="T12">
                                <a:pos x="T4" y="T5"/>
                              </a:cxn>
                              <a:cxn ang="T13">
                                <a:pos x="T6" y="T7"/>
                              </a:cxn>
                              <a:cxn ang="T14">
                                <a:pos x="T8" y="T9"/>
                              </a:cxn>
                            </a:cxnLst>
                            <a:rect l="0" t="0" r="r" b="b"/>
                            <a:pathLst>
                              <a:path fill="norm" h="710" w="1187" stroke="1">
                                <a:moveTo>
                                  <a:pt x="0" y="354"/>
                                </a:moveTo>
                                <a:lnTo>
                                  <a:pt x="594" y="0"/>
                                </a:lnTo>
                                <a:lnTo>
                                  <a:pt x="1187" y="354"/>
                                </a:lnTo>
                                <a:lnTo>
                                  <a:pt x="594" y="709"/>
                                </a:lnTo>
                                <a:lnTo>
                                  <a:pt x="0" y="354"/>
                                </a:lnTo>
                                <a:close/>
                              </a:path>
                            </a:pathLst>
                          </a:custGeom>
                          <a:noFill/>
                          <a:ln w="2651">
                            <a:solidFill>
                              <a:srgbClr val="404040"/>
                            </a:solidFill>
                            <a:round/>
                          </a:ln>
                        </wps:spPr>
                        <wps:bodyPr rot="0" vert="horz" wrap="square" lIns="91440" tIns="45720" rIns="91440" bIns="45720" anchor="t" anchorCtr="0" upright="1"/>
                      </wps:wsp>
                      <wps:wsp xmlns:wps="http://schemas.microsoft.com/office/word/2010/wordprocessingShape">
                        <wps:cNvPr id="28" name="Rectangle 30"/>
                        <wps:cNvSpPr>
                          <a:spLocks noChangeArrowheads="1"/>
                        </wps:cNvSpPr>
                        <wps:spPr bwMode="auto">
                          <a:xfrm>
                            <a:off x="3467" y="7361"/>
                            <a:ext cx="1187" cy="473"/>
                          </a:xfrm>
                          <a:prstGeom prst="rect">
                            <a:avLst/>
                          </a:prstGeom>
                          <a:solidFill>
                            <a:srgbClr val="CDCDCD">
                              <a:alpha val="49803"/>
                            </a:srgbClr>
                          </a:solidFill>
                          <a:ln>
                            <a:noFill/>
                          </a:ln>
                        </wps:spPr>
                        <wps:bodyPr rot="0" vert="horz" wrap="square" lIns="91440" tIns="45720" rIns="91440" bIns="45720" anchor="t" anchorCtr="0" upright="1"/>
                      </wps:wsp>
                      <pic:pic xmlns:pic="http://schemas.openxmlformats.org/drawingml/2006/picture">
                        <pic:nvPicPr>
                          <pic:cNvPr id="29" name="Picture 31"/>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3443" y="7337"/>
                            <a:ext cx="1187" cy="473"/>
                          </a:xfrm>
                          <a:prstGeom prst="rect">
                            <a:avLst/>
                          </a:prstGeom>
                          <a:noFill/>
                        </pic:spPr>
                      </pic:pic>
                      <wps:wsp xmlns:wps="http://schemas.microsoft.com/office/word/2010/wordprocessingShape">
                        <wps:cNvPr id="30" name="Rectangle 32"/>
                        <wps:cNvSpPr>
                          <a:spLocks noChangeArrowheads="1"/>
                        </wps:cNvSpPr>
                        <wps:spPr bwMode="auto">
                          <a:xfrm>
                            <a:off x="5365" y="8425"/>
                            <a:ext cx="1187" cy="473"/>
                          </a:xfrm>
                          <a:prstGeom prst="rect">
                            <a:avLst/>
                          </a:prstGeom>
                          <a:solidFill>
                            <a:srgbClr val="CDCDCD">
                              <a:alpha val="49803"/>
                            </a:srgbClr>
                          </a:solidFill>
                          <a:ln>
                            <a:noFill/>
                          </a:ln>
                        </wps:spPr>
                        <wps:bodyPr rot="0" vert="horz" wrap="square" lIns="91440" tIns="45720" rIns="91440" bIns="45720" anchor="t" anchorCtr="0" upright="1"/>
                      </wps:wsp>
                      <pic:pic xmlns:pic="http://schemas.openxmlformats.org/drawingml/2006/picture">
                        <pic:nvPicPr>
                          <pic:cNvPr id="31" name="Picture 33"/>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5341" y="8401"/>
                            <a:ext cx="1187" cy="473"/>
                          </a:xfrm>
                          <a:prstGeom prst="rect">
                            <a:avLst/>
                          </a:prstGeom>
                          <a:noFill/>
                        </pic:spPr>
                      </pic:pic>
                      <wps:wsp xmlns:wps="http://schemas.microsoft.com/office/word/2010/wordprocessingShape">
                        <wps:cNvPr id="449" name="Rectangle 34"/>
                        <wps:cNvSpPr>
                          <a:spLocks noChangeArrowheads="1"/>
                        </wps:cNvSpPr>
                        <wps:spPr bwMode="auto">
                          <a:xfrm>
                            <a:off x="7348" y="7365"/>
                            <a:ext cx="1187" cy="473"/>
                          </a:xfrm>
                          <a:prstGeom prst="rect">
                            <a:avLst/>
                          </a:pr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450" name="Freeform 35"/>
                        <wps:cNvSpPr/>
                        <wps:spPr bwMode="auto">
                          <a:xfrm>
                            <a:off x="7348" y="7365"/>
                            <a:ext cx="1187" cy="474"/>
                          </a:xfrm>
                          <a:custGeom>
                            <a:avLst/>
                            <a:gdLst>
                              <a:gd name="T0" fmla="*/ 1187 w 1187"/>
                              <a:gd name="T1" fmla="*/ 7365 h 474"/>
                              <a:gd name="T2" fmla="*/ 0 w 1187"/>
                              <a:gd name="T3" fmla="*/ 7365 h 474"/>
                              <a:gd name="T4" fmla="*/ 0 w 1187"/>
                              <a:gd name="T5" fmla="*/ 7838 h 474"/>
                              <a:gd name="T6" fmla="*/ 0 60000 65536"/>
                              <a:gd name="T7" fmla="*/ 0 60000 65536"/>
                              <a:gd name="T8" fmla="*/ 0 60000 65536"/>
                            </a:gdLst>
                            <a:cxnLst>
                              <a:cxn ang="T6">
                                <a:pos x="T0" y="T1"/>
                              </a:cxn>
                              <a:cxn ang="T7">
                                <a:pos x="T2" y="T3"/>
                              </a:cxn>
                              <a:cxn ang="T8">
                                <a:pos x="T4" y="T5"/>
                              </a:cxn>
                            </a:cxnLst>
                            <a:rect l="0" t="0" r="r" b="b"/>
                            <a:pathLst>
                              <a:path fill="norm" h="474" w="1187" stroke="1">
                                <a:moveTo>
                                  <a:pt x="1187" y="0"/>
                                </a:moveTo>
                                <a:lnTo>
                                  <a:pt x="0" y="0"/>
                                </a:lnTo>
                                <a:lnTo>
                                  <a:pt x="0" y="473"/>
                                </a:lnTo>
                              </a:path>
                            </a:pathLst>
                          </a:custGeom>
                          <a:noFill/>
                          <a:ln w="2650">
                            <a:solidFill>
                              <a:srgbClr val="CDCDCD"/>
                            </a:solidFill>
                            <a:round/>
                          </a:ln>
                        </wps:spPr>
                        <wps:bodyPr rot="0" vert="horz" wrap="square" lIns="91440" tIns="45720" rIns="91440" bIns="45720" anchor="t" anchorCtr="0" upright="1"/>
                      </wps:wsp>
                      <pic:pic xmlns:pic="http://schemas.openxmlformats.org/drawingml/2006/picture">
                        <pic:nvPicPr>
                          <pic:cNvPr id="451" name="Picture 36"/>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7324" y="7341"/>
                            <a:ext cx="1187" cy="473"/>
                          </a:xfrm>
                          <a:prstGeom prst="rect">
                            <a:avLst/>
                          </a:prstGeom>
                          <a:noFill/>
                        </pic:spPr>
                      </pic:pic>
                      <wps:wsp xmlns:wps="http://schemas.microsoft.com/office/word/2010/wordprocessingShape">
                        <wps:cNvPr id="452" name="Rectangle 37"/>
                        <wps:cNvSpPr>
                          <a:spLocks noChangeArrowheads="1"/>
                        </wps:cNvSpPr>
                        <wps:spPr bwMode="auto">
                          <a:xfrm>
                            <a:off x="7263" y="6425"/>
                            <a:ext cx="1368" cy="473"/>
                          </a:xfrm>
                          <a:prstGeom prst="rect">
                            <a:avLst/>
                          </a:pr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453" name="Freeform 38"/>
                        <wps:cNvSpPr/>
                        <wps:spPr bwMode="auto">
                          <a:xfrm>
                            <a:off x="7263" y="6425"/>
                            <a:ext cx="1368" cy="474"/>
                          </a:xfrm>
                          <a:custGeom>
                            <a:avLst/>
                            <a:gdLst>
                              <a:gd name="T0" fmla="*/ 1367 w 1368"/>
                              <a:gd name="T1" fmla="*/ 6426 h 474"/>
                              <a:gd name="T2" fmla="*/ 0 w 1368"/>
                              <a:gd name="T3" fmla="*/ 6426 h 474"/>
                              <a:gd name="T4" fmla="*/ 0 w 1368"/>
                              <a:gd name="T5" fmla="*/ 6899 h 474"/>
                              <a:gd name="T6" fmla="*/ 0 60000 65536"/>
                              <a:gd name="T7" fmla="*/ 0 60000 65536"/>
                              <a:gd name="T8" fmla="*/ 0 60000 65536"/>
                            </a:gdLst>
                            <a:cxnLst>
                              <a:cxn ang="T6">
                                <a:pos x="T0" y="T1"/>
                              </a:cxn>
                              <a:cxn ang="T7">
                                <a:pos x="T2" y="T3"/>
                              </a:cxn>
                              <a:cxn ang="T8">
                                <a:pos x="T4" y="T5"/>
                              </a:cxn>
                            </a:cxnLst>
                            <a:rect l="0" t="0" r="r" b="b"/>
                            <a:pathLst>
                              <a:path fill="norm" h="474" w="1368" stroke="1">
                                <a:moveTo>
                                  <a:pt x="1367" y="0"/>
                                </a:moveTo>
                                <a:lnTo>
                                  <a:pt x="0" y="0"/>
                                </a:lnTo>
                                <a:lnTo>
                                  <a:pt x="0" y="473"/>
                                </a:lnTo>
                              </a:path>
                            </a:pathLst>
                          </a:custGeom>
                          <a:noFill/>
                          <a:ln w="2650">
                            <a:solidFill>
                              <a:srgbClr val="CDCDCD"/>
                            </a:solidFill>
                            <a:round/>
                          </a:ln>
                        </wps:spPr>
                        <wps:bodyPr rot="0" vert="horz" wrap="square" lIns="91440" tIns="45720" rIns="91440" bIns="45720" anchor="t" anchorCtr="0" upright="1"/>
                      </wps:wsp>
                      <pic:pic xmlns:pic="http://schemas.openxmlformats.org/drawingml/2006/picture">
                        <pic:nvPicPr>
                          <pic:cNvPr id="454" name="Picture 39"/>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a:xfrm>
                            <a:off x="7239" y="6401"/>
                            <a:ext cx="1368" cy="473"/>
                          </a:xfrm>
                          <a:prstGeom prst="rect">
                            <a:avLst/>
                          </a:prstGeom>
                          <a:noFill/>
                        </pic:spPr>
                      </pic:pic>
                      <pic:pic xmlns:pic="http://schemas.openxmlformats.org/drawingml/2006/picture">
                        <pic:nvPicPr>
                          <pic:cNvPr id="459" name="Picture 40"/>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a:xfrm>
                            <a:off x="5878" y="2499"/>
                            <a:ext cx="118" cy="405"/>
                          </a:xfrm>
                          <a:prstGeom prst="rect">
                            <a:avLst/>
                          </a:prstGeom>
                          <a:noFill/>
                        </pic:spPr>
                      </pic:pic>
                      <pic:pic xmlns:pic="http://schemas.openxmlformats.org/drawingml/2006/picture">
                        <pic:nvPicPr>
                          <pic:cNvPr id="460" name="Picture 41"/>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a:xfrm>
                            <a:off x="5875" y="3377"/>
                            <a:ext cx="118" cy="368"/>
                          </a:xfrm>
                          <a:prstGeom prst="rect">
                            <a:avLst/>
                          </a:prstGeom>
                          <a:noFill/>
                        </pic:spPr>
                      </pic:pic>
                      <pic:pic xmlns:pic="http://schemas.openxmlformats.org/drawingml/2006/picture">
                        <pic:nvPicPr>
                          <pic:cNvPr id="461" name="Picture 42"/>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a:xfrm>
                            <a:off x="5867" y="4453"/>
                            <a:ext cx="135" cy="425"/>
                          </a:xfrm>
                          <a:prstGeom prst="rect">
                            <a:avLst/>
                          </a:prstGeom>
                          <a:noFill/>
                        </pic:spPr>
                      </pic:pic>
                      <wps:wsp xmlns:wps="http://schemas.microsoft.com/office/word/2010/wordprocessingShape">
                        <wps:cNvPr id="462" name="Line 43"/>
                        <wps:cNvCnPr>
                          <a:cxnSpLocks noChangeShapeType="1"/>
                        </wps:cNvCnPr>
                        <wps:spPr bwMode="auto">
                          <a:xfrm>
                            <a:off x="5935" y="4747"/>
                            <a:ext cx="0" cy="43"/>
                          </a:xfrm>
                          <a:prstGeom prst="line">
                            <a:avLst/>
                          </a:prstGeom>
                          <a:noFill/>
                          <a:ln w="10631">
                            <a:solidFill>
                              <a:srgbClr val="404040"/>
                            </a:solidFill>
                            <a:round/>
                          </a:ln>
                        </wps:spPr>
                        <wps:bodyPr/>
                      </wps:wsp>
                      <pic:pic xmlns:pic="http://schemas.openxmlformats.org/drawingml/2006/picture">
                        <pic:nvPicPr>
                          <pic:cNvPr id="463" name="Picture 44"/>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a:xfrm>
                            <a:off x="5885" y="6866"/>
                            <a:ext cx="118" cy="357"/>
                          </a:xfrm>
                          <a:prstGeom prst="rect">
                            <a:avLst/>
                          </a:prstGeom>
                          <a:noFill/>
                        </pic:spPr>
                      </pic:pic>
                      <wps:wsp xmlns:wps="http://schemas.microsoft.com/office/word/2010/wordprocessingShape">
                        <wps:cNvPr id="464" name="Rectangle 45"/>
                        <wps:cNvSpPr>
                          <a:spLocks noChangeArrowheads="1"/>
                        </wps:cNvSpPr>
                        <wps:spPr bwMode="auto">
                          <a:xfrm>
                            <a:off x="5365" y="9186"/>
                            <a:ext cx="1187" cy="473"/>
                          </a:xfrm>
                          <a:prstGeom prst="rect">
                            <a:avLst/>
                          </a:prstGeom>
                          <a:solidFill>
                            <a:srgbClr val="CDCDCD">
                              <a:alpha val="49803"/>
                            </a:srgbClr>
                          </a:solidFill>
                          <a:ln>
                            <a:noFill/>
                          </a:ln>
                        </wps:spPr>
                        <wps:bodyPr rot="0" vert="horz" wrap="square" lIns="91440" tIns="45720" rIns="91440" bIns="45720" anchor="t" anchorCtr="0" upright="1"/>
                      </wps:wsp>
                      <pic:pic xmlns:pic="http://schemas.openxmlformats.org/drawingml/2006/picture">
                        <pic:nvPicPr>
                          <pic:cNvPr id="465" name="Picture 46"/>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5341" y="9162"/>
                            <a:ext cx="1187" cy="473"/>
                          </a:xfrm>
                          <a:prstGeom prst="rect">
                            <a:avLst/>
                          </a:prstGeom>
                          <a:noFill/>
                        </pic:spPr>
                      </pic:pic>
                      <pic:pic xmlns:pic="http://schemas.openxmlformats.org/drawingml/2006/picture">
                        <pic:nvPicPr>
                          <pic:cNvPr id="466" name="Picture 47"/>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a:xfrm>
                            <a:off x="5875" y="8874"/>
                            <a:ext cx="118" cy="289"/>
                          </a:xfrm>
                          <a:prstGeom prst="rect">
                            <a:avLst/>
                          </a:prstGeom>
                          <a:noFill/>
                        </pic:spPr>
                      </pic:pic>
                      <wps:wsp xmlns:wps="http://schemas.microsoft.com/office/word/2010/wordprocessingShape">
                        <wps:cNvPr id="467" name="Rectangle 48"/>
                        <wps:cNvSpPr>
                          <a:spLocks noChangeArrowheads="1"/>
                        </wps:cNvSpPr>
                        <wps:spPr bwMode="auto">
                          <a:xfrm>
                            <a:off x="5365" y="9949"/>
                            <a:ext cx="1187" cy="473"/>
                          </a:xfrm>
                          <a:prstGeom prst="rect">
                            <a:avLst/>
                          </a:prstGeom>
                          <a:solidFill>
                            <a:srgbClr val="CDCDCD">
                              <a:alpha val="49803"/>
                            </a:srgbClr>
                          </a:solidFill>
                          <a:ln>
                            <a:noFill/>
                          </a:ln>
                        </wps:spPr>
                        <wps:bodyPr rot="0" vert="horz" wrap="square" lIns="91440" tIns="45720" rIns="91440" bIns="45720" anchor="t" anchorCtr="0" upright="1"/>
                      </wps:wsp>
                      <pic:pic xmlns:pic="http://schemas.openxmlformats.org/drawingml/2006/picture">
                        <pic:nvPicPr>
                          <pic:cNvPr id="468" name="Picture 49"/>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5341" y="9925"/>
                            <a:ext cx="1187" cy="473"/>
                          </a:xfrm>
                          <a:prstGeom prst="rect">
                            <a:avLst/>
                          </a:prstGeom>
                          <a:noFill/>
                        </pic:spPr>
                      </pic:pic>
                      <pic:pic xmlns:pic="http://schemas.openxmlformats.org/drawingml/2006/picture">
                        <pic:nvPicPr>
                          <pic:cNvPr id="469" name="Picture 50"/>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a:xfrm>
                            <a:off x="5875" y="9635"/>
                            <a:ext cx="118" cy="291"/>
                          </a:xfrm>
                          <a:prstGeom prst="rect">
                            <a:avLst/>
                          </a:prstGeom>
                          <a:noFill/>
                        </pic:spPr>
                      </pic:pic>
                      <wps:wsp xmlns:wps="http://schemas.microsoft.com/office/word/2010/wordprocessingShape">
                        <wps:cNvPr id="470" name="AutoShape 51"/>
                        <wps:cNvSpPr/>
                        <wps:spPr bwMode="auto">
                          <a:xfrm>
                            <a:off x="6517" y="7575"/>
                            <a:ext cx="726" cy="2"/>
                          </a:xfrm>
                          <a:custGeom>
                            <a:avLst/>
                            <a:gdLst>
                              <a:gd name="T0" fmla="*/ 475 w 726"/>
                              <a:gd name="T1" fmla="*/ 0 h 2"/>
                              <a:gd name="T2" fmla="*/ 726 w 726"/>
                              <a:gd name="T3" fmla="*/ 0 h 2"/>
                              <a:gd name="T4" fmla="*/ 0 w 726"/>
                              <a:gd name="T5" fmla="*/ 0 h 2"/>
                              <a:gd name="T6" fmla="*/ 341 w 726"/>
                              <a:gd name="T7" fmla="*/ 0 h 2"/>
                              <a:gd name="T8" fmla="*/ 0 60000 65536"/>
                              <a:gd name="T9" fmla="*/ 0 60000 65536"/>
                              <a:gd name="T10" fmla="*/ 0 60000 65536"/>
                              <a:gd name="T11" fmla="*/ 0 60000 65536"/>
                            </a:gdLst>
                            <a:cxnLst>
                              <a:cxn ang="T8">
                                <a:pos x="T0" y="T1"/>
                              </a:cxn>
                              <a:cxn ang="T9">
                                <a:pos x="T2" y="T3"/>
                              </a:cxn>
                              <a:cxn ang="T10">
                                <a:pos x="T4" y="T5"/>
                              </a:cxn>
                              <a:cxn ang="T11">
                                <a:pos x="T6" y="T7"/>
                              </a:cxn>
                            </a:cxnLst>
                            <a:rect l="0" t="0" r="r" b="b"/>
                            <a:pathLst>
                              <a:path fill="norm" h="2" w="726" stroke="1">
                                <a:moveTo>
                                  <a:pt x="475" y="0"/>
                                </a:moveTo>
                                <a:lnTo>
                                  <a:pt x="726" y="0"/>
                                </a:lnTo>
                                <a:moveTo>
                                  <a:pt x="0" y="0"/>
                                </a:moveTo>
                                <a:lnTo>
                                  <a:pt x="341" y="0"/>
                                </a:lnTo>
                              </a:path>
                            </a:pathLst>
                          </a:custGeom>
                          <a:noFill/>
                          <a:ln w="11549">
                            <a:solidFill>
                              <a:srgbClr val="404040"/>
                            </a:solidFill>
                            <a:round/>
                          </a:ln>
                        </wps:spPr>
                        <wps:bodyPr rot="0" vert="horz" wrap="square" lIns="91440" tIns="45720" rIns="91440" bIns="45720" anchor="t" anchorCtr="0" upright="1"/>
                      </wps:wsp>
                      <pic:pic xmlns:pic="http://schemas.openxmlformats.org/drawingml/2006/picture">
                        <pic:nvPicPr>
                          <pic:cNvPr id="471" name="Picture 52"/>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a:xfrm>
                            <a:off x="7206" y="7517"/>
                            <a:ext cx="118" cy="118"/>
                          </a:xfrm>
                          <a:prstGeom prst="rect">
                            <a:avLst/>
                          </a:prstGeom>
                          <a:noFill/>
                        </pic:spPr>
                      </pic:pic>
                      <wps:wsp xmlns:wps="http://schemas.microsoft.com/office/word/2010/wordprocessingShape">
                        <wps:cNvPr id="472" name="Line 53"/>
                        <wps:cNvCnPr>
                          <a:cxnSpLocks noChangeShapeType="1"/>
                        </wps:cNvCnPr>
                        <wps:spPr bwMode="auto">
                          <a:xfrm>
                            <a:off x="6925" y="7496"/>
                            <a:ext cx="0" cy="160"/>
                          </a:xfrm>
                          <a:prstGeom prst="line">
                            <a:avLst/>
                          </a:prstGeom>
                          <a:noFill/>
                          <a:ln w="85383">
                            <a:solidFill>
                              <a:srgbClr val="FFFFFF"/>
                            </a:solidFill>
                            <a:round/>
                          </a:ln>
                        </wps:spPr>
                        <wps:bodyPr/>
                      </wps:wsp>
                      <pic:pic xmlns:pic="http://schemas.openxmlformats.org/drawingml/2006/picture">
                        <pic:nvPicPr>
                          <pic:cNvPr id="473" name="Picture 54"/>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a:xfrm>
                            <a:off x="7864" y="6874"/>
                            <a:ext cx="118" cy="475"/>
                          </a:xfrm>
                          <a:prstGeom prst="rect">
                            <a:avLst/>
                          </a:prstGeom>
                          <a:noFill/>
                        </pic:spPr>
                      </pic:pic>
                      <wps:wsp xmlns:wps="http://schemas.microsoft.com/office/word/2010/wordprocessingShape">
                        <wps:cNvPr id="474" name="Freeform 55"/>
                        <wps:cNvSpPr/>
                        <wps:spPr bwMode="auto">
                          <a:xfrm>
                            <a:off x="5954" y="6313"/>
                            <a:ext cx="1286" cy="326"/>
                          </a:xfrm>
                          <a:custGeom>
                            <a:avLst/>
                            <a:gdLst>
                              <a:gd name="T0" fmla="*/ 1285 w 1286"/>
                              <a:gd name="T1" fmla="*/ 6638 h 326"/>
                              <a:gd name="T2" fmla="*/ 1196 w 1286"/>
                              <a:gd name="T3" fmla="*/ 6638 h 326"/>
                              <a:gd name="T4" fmla="*/ 1196 w 1286"/>
                              <a:gd name="T5" fmla="*/ 6313 h 326"/>
                              <a:gd name="T6" fmla="*/ 0 w 1286"/>
                              <a:gd name="T7" fmla="*/ 6313 h 326"/>
                              <a:gd name="T8" fmla="*/ 0 w 1286"/>
                              <a:gd name="T9" fmla="*/ 6402 h 326"/>
                              <a:gd name="T10" fmla="*/ 0 60000 65536"/>
                              <a:gd name="T11" fmla="*/ 0 60000 65536"/>
                              <a:gd name="T12" fmla="*/ 0 60000 65536"/>
                              <a:gd name="T13" fmla="*/ 0 60000 65536"/>
                              <a:gd name="T14" fmla="*/ 0 60000 65536"/>
                            </a:gdLst>
                            <a:cxnLst>
                              <a:cxn ang="T10">
                                <a:pos x="T0" y="T1"/>
                              </a:cxn>
                              <a:cxn ang="T11">
                                <a:pos x="T2" y="T3"/>
                              </a:cxn>
                              <a:cxn ang="T12">
                                <a:pos x="T4" y="T5"/>
                              </a:cxn>
                              <a:cxn ang="T13">
                                <a:pos x="T6" y="T7"/>
                              </a:cxn>
                              <a:cxn ang="T14">
                                <a:pos x="T8" y="T9"/>
                              </a:cxn>
                            </a:cxnLst>
                            <a:rect l="0" t="0" r="r" b="b"/>
                            <a:pathLst>
                              <a:path fill="norm" h="326" w="1286" stroke="1">
                                <a:moveTo>
                                  <a:pt x="1285" y="325"/>
                                </a:moveTo>
                                <a:lnTo>
                                  <a:pt x="1196" y="325"/>
                                </a:lnTo>
                                <a:lnTo>
                                  <a:pt x="1196" y="0"/>
                                </a:lnTo>
                                <a:lnTo>
                                  <a:pt x="0" y="0"/>
                                </a:lnTo>
                                <a:lnTo>
                                  <a:pt x="0" y="89"/>
                                </a:lnTo>
                              </a:path>
                            </a:pathLst>
                          </a:custGeom>
                          <a:noFill/>
                          <a:ln w="10598">
                            <a:solidFill>
                              <a:srgbClr val="404040"/>
                            </a:solidFill>
                            <a:round/>
                          </a:ln>
                        </wps:spPr>
                        <wps:bodyPr rot="0" vert="horz" wrap="square" lIns="91440" tIns="45720" rIns="91440" bIns="45720" anchor="t" anchorCtr="0" upright="1"/>
                      </wps:wsp>
                      <pic:pic xmlns:pic="http://schemas.openxmlformats.org/drawingml/2006/picture">
                        <pic:nvPicPr>
                          <pic:cNvPr id="475" name="Picture 56"/>
                          <pic:cNvPicPr>
                            <a:picLocks noChangeAspect="1" noChangeArrowheads="1"/>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a:xfrm>
                            <a:off x="5895" y="6284"/>
                            <a:ext cx="118" cy="118"/>
                          </a:xfrm>
                          <a:prstGeom prst="rect">
                            <a:avLst/>
                          </a:prstGeom>
                          <a:noFill/>
                        </pic:spPr>
                      </pic:pic>
                      <wps:wsp xmlns:wps="http://schemas.microsoft.com/office/word/2010/wordprocessingShape">
                        <wps:cNvPr id="476" name="Line 57"/>
                        <wps:cNvCnPr>
                          <a:cxnSpLocks noChangeShapeType="1"/>
                        </wps:cNvCnPr>
                        <wps:spPr bwMode="auto">
                          <a:xfrm>
                            <a:off x="5341" y="7573"/>
                            <a:ext cx="0" cy="0"/>
                          </a:xfrm>
                          <a:prstGeom prst="line">
                            <a:avLst/>
                          </a:prstGeom>
                          <a:noFill/>
                          <a:ln w="10596">
                            <a:solidFill>
                              <a:srgbClr val="404040"/>
                            </a:solidFill>
                            <a:round/>
                          </a:ln>
                        </wps:spPr>
                        <wps:bodyPr/>
                      </wps:wsp>
                      <pic:pic xmlns:pic="http://schemas.openxmlformats.org/drawingml/2006/picture">
                        <pic:nvPicPr>
                          <pic:cNvPr id="477" name="Picture 58"/>
                          <pic:cNvPicPr>
                            <a:picLocks noChangeAspect="1" noChangeArrowheads="1"/>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a:xfrm>
                            <a:off x="4629" y="7514"/>
                            <a:ext cx="118" cy="118"/>
                          </a:xfrm>
                          <a:prstGeom prst="rect">
                            <a:avLst/>
                          </a:prstGeom>
                          <a:noFill/>
                        </pic:spPr>
                      </pic:pic>
                      <wps:wsp xmlns:wps="http://schemas.microsoft.com/office/word/2010/wordprocessingShape">
                        <wps:cNvPr id="479" name="Line 59"/>
                        <wps:cNvCnPr>
                          <a:cxnSpLocks noChangeShapeType="1"/>
                        </wps:cNvCnPr>
                        <wps:spPr bwMode="auto">
                          <a:xfrm>
                            <a:off x="5341" y="4099"/>
                            <a:ext cx="0" cy="0"/>
                          </a:xfrm>
                          <a:prstGeom prst="line">
                            <a:avLst/>
                          </a:prstGeom>
                          <a:noFill/>
                          <a:ln w="10596">
                            <a:solidFill>
                              <a:srgbClr val="404040"/>
                            </a:solidFill>
                            <a:round/>
                          </a:ln>
                        </wps:spPr>
                        <wps:bodyPr/>
                      </wps:wsp>
                      <pic:pic xmlns:pic="http://schemas.openxmlformats.org/drawingml/2006/picture">
                        <pic:nvPicPr>
                          <pic:cNvPr id="64" name="Picture 60"/>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a:xfrm>
                            <a:off x="4629" y="4040"/>
                            <a:ext cx="118" cy="118"/>
                          </a:xfrm>
                          <a:prstGeom prst="rect">
                            <a:avLst/>
                          </a:prstGeom>
                          <a:noFill/>
                        </pic:spPr>
                      </pic:pic>
                      <wps:wsp xmlns:wps="http://schemas.microsoft.com/office/word/2010/wordprocessingShape">
                        <wps:cNvPr id="65" name="Rectangle 61"/>
                        <wps:cNvSpPr>
                          <a:spLocks noChangeArrowheads="1"/>
                        </wps:cNvSpPr>
                        <wps:spPr bwMode="auto">
                          <a:xfrm>
                            <a:off x="7263" y="3886"/>
                            <a:ext cx="1187" cy="473"/>
                          </a:xfrm>
                          <a:prstGeom prst="rect">
                            <a:avLst/>
                          </a:pr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66" name="Freeform 62"/>
                        <wps:cNvSpPr/>
                        <wps:spPr bwMode="auto">
                          <a:xfrm>
                            <a:off x="7263" y="3886"/>
                            <a:ext cx="1187" cy="474"/>
                          </a:xfrm>
                          <a:custGeom>
                            <a:avLst/>
                            <a:gdLst>
                              <a:gd name="T0" fmla="*/ 1186 w 1187"/>
                              <a:gd name="T1" fmla="*/ 3887 h 474"/>
                              <a:gd name="T2" fmla="*/ 0 w 1187"/>
                              <a:gd name="T3" fmla="*/ 3887 h 474"/>
                              <a:gd name="T4" fmla="*/ 0 w 1187"/>
                              <a:gd name="T5" fmla="*/ 4360 h 474"/>
                              <a:gd name="T6" fmla="*/ 0 60000 65536"/>
                              <a:gd name="T7" fmla="*/ 0 60000 65536"/>
                              <a:gd name="T8" fmla="*/ 0 60000 65536"/>
                            </a:gdLst>
                            <a:cxnLst>
                              <a:cxn ang="T6">
                                <a:pos x="T0" y="T1"/>
                              </a:cxn>
                              <a:cxn ang="T7">
                                <a:pos x="T2" y="T3"/>
                              </a:cxn>
                              <a:cxn ang="T8">
                                <a:pos x="T4" y="T5"/>
                              </a:cxn>
                            </a:cxnLst>
                            <a:rect l="0" t="0" r="r" b="b"/>
                            <a:pathLst>
                              <a:path fill="norm" h="474" w="1187" stroke="1">
                                <a:moveTo>
                                  <a:pt x="1186" y="0"/>
                                </a:moveTo>
                                <a:lnTo>
                                  <a:pt x="0" y="0"/>
                                </a:lnTo>
                                <a:lnTo>
                                  <a:pt x="0" y="473"/>
                                </a:lnTo>
                              </a:path>
                            </a:pathLst>
                          </a:custGeom>
                          <a:noFill/>
                          <a:ln w="2650">
                            <a:solidFill>
                              <a:srgbClr val="CDCDCD"/>
                            </a:solidFill>
                            <a:round/>
                          </a:ln>
                        </wps:spPr>
                        <wps:bodyPr rot="0" vert="horz" wrap="square" lIns="91440" tIns="45720" rIns="91440" bIns="45720" anchor="t" anchorCtr="0" upright="1"/>
                      </wps:wsp>
                      <pic:pic xmlns:pic="http://schemas.openxmlformats.org/drawingml/2006/picture">
                        <pic:nvPicPr>
                          <pic:cNvPr id="67" name="Picture 63"/>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7239" y="3862"/>
                            <a:ext cx="1187" cy="473"/>
                          </a:xfrm>
                          <a:prstGeom prst="rect">
                            <a:avLst/>
                          </a:prstGeom>
                          <a:noFill/>
                        </pic:spPr>
                      </pic:pic>
                      <wps:wsp xmlns:wps="http://schemas.microsoft.com/office/word/2010/wordprocessingShape">
                        <wps:cNvPr id="68" name="Rectangle 64"/>
                        <wps:cNvSpPr>
                          <a:spLocks noChangeArrowheads="1"/>
                        </wps:cNvSpPr>
                        <wps:spPr bwMode="auto">
                          <a:xfrm>
                            <a:off x="7263" y="2928"/>
                            <a:ext cx="1187" cy="473"/>
                          </a:xfrm>
                          <a:prstGeom prst="rect">
                            <a:avLst/>
                          </a:prstGeom>
                          <a:solidFill>
                            <a:srgbClr val="CDCDCD">
                              <a:alpha val="49803"/>
                            </a:srgbClr>
                          </a:solidFill>
                          <a:ln>
                            <a:noFill/>
                          </a:ln>
                        </wps:spPr>
                        <wps:bodyPr rot="0" vert="horz" wrap="square" lIns="91440" tIns="45720" rIns="91440" bIns="45720" anchor="t" anchorCtr="0" upright="1"/>
                      </wps:wsp>
                      <wps:wsp xmlns:wps="http://schemas.microsoft.com/office/word/2010/wordprocessingShape">
                        <wps:cNvPr id="69" name="Freeform 65"/>
                        <wps:cNvSpPr/>
                        <wps:spPr bwMode="auto">
                          <a:xfrm>
                            <a:off x="7263" y="2928"/>
                            <a:ext cx="1187" cy="474"/>
                          </a:xfrm>
                          <a:custGeom>
                            <a:avLst/>
                            <a:gdLst>
                              <a:gd name="T0" fmla="*/ 1186 w 1187"/>
                              <a:gd name="T1" fmla="*/ 2928 h 474"/>
                              <a:gd name="T2" fmla="*/ 0 w 1187"/>
                              <a:gd name="T3" fmla="*/ 2928 h 474"/>
                              <a:gd name="T4" fmla="*/ 0 w 1187"/>
                              <a:gd name="T5" fmla="*/ 3401 h 474"/>
                              <a:gd name="T6" fmla="*/ 0 60000 65536"/>
                              <a:gd name="T7" fmla="*/ 0 60000 65536"/>
                              <a:gd name="T8" fmla="*/ 0 60000 65536"/>
                            </a:gdLst>
                            <a:cxnLst>
                              <a:cxn ang="T6">
                                <a:pos x="T0" y="T1"/>
                              </a:cxn>
                              <a:cxn ang="T7">
                                <a:pos x="T2" y="T3"/>
                              </a:cxn>
                              <a:cxn ang="T8">
                                <a:pos x="T4" y="T5"/>
                              </a:cxn>
                            </a:cxnLst>
                            <a:rect l="0" t="0" r="r" b="b"/>
                            <a:pathLst>
                              <a:path fill="norm" h="474" w="1187" stroke="1">
                                <a:moveTo>
                                  <a:pt x="1186" y="0"/>
                                </a:moveTo>
                                <a:lnTo>
                                  <a:pt x="0" y="0"/>
                                </a:lnTo>
                                <a:lnTo>
                                  <a:pt x="0" y="473"/>
                                </a:lnTo>
                              </a:path>
                            </a:pathLst>
                          </a:custGeom>
                          <a:noFill/>
                          <a:ln w="2650">
                            <a:solidFill>
                              <a:srgbClr val="CDCDCD"/>
                            </a:solidFill>
                            <a:round/>
                          </a:ln>
                        </wps:spPr>
                        <wps:bodyPr rot="0" vert="horz" wrap="square" lIns="91440" tIns="45720" rIns="91440" bIns="45720" anchor="t" anchorCtr="0" upright="1"/>
                      </wps:wsp>
                      <pic:pic xmlns:pic="http://schemas.openxmlformats.org/drawingml/2006/picture">
                        <pic:nvPicPr>
                          <pic:cNvPr id="70" name="Picture 66"/>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7239" y="2904"/>
                            <a:ext cx="1187" cy="473"/>
                          </a:xfrm>
                          <a:prstGeom prst="rect">
                            <a:avLst/>
                          </a:prstGeom>
                          <a:noFill/>
                        </pic:spPr>
                      </pic:pic>
                      <wps:wsp xmlns:wps="http://schemas.microsoft.com/office/word/2010/wordprocessingShape">
                        <wps:cNvPr id="71" name="AutoShape 67"/>
                        <wps:cNvSpPr/>
                        <wps:spPr bwMode="auto">
                          <a:xfrm>
                            <a:off x="6527" y="4099"/>
                            <a:ext cx="623" cy="2"/>
                          </a:xfrm>
                          <a:custGeom>
                            <a:avLst/>
                            <a:gdLst>
                              <a:gd name="T0" fmla="*/ 423 w 623"/>
                              <a:gd name="T1" fmla="*/ 0 h 2"/>
                              <a:gd name="T2" fmla="*/ 623 w 623"/>
                              <a:gd name="T3" fmla="*/ 0 h 2"/>
                              <a:gd name="T4" fmla="*/ 0 w 623"/>
                              <a:gd name="T5" fmla="*/ 0 h 2"/>
                              <a:gd name="T6" fmla="*/ 289 w 623"/>
                              <a:gd name="T7" fmla="*/ 0 h 2"/>
                              <a:gd name="T8" fmla="*/ 0 60000 65536"/>
                              <a:gd name="T9" fmla="*/ 0 60000 65536"/>
                              <a:gd name="T10" fmla="*/ 0 60000 65536"/>
                              <a:gd name="T11" fmla="*/ 0 60000 65536"/>
                            </a:gdLst>
                            <a:cxnLst>
                              <a:cxn ang="T8">
                                <a:pos x="T0" y="T1"/>
                              </a:cxn>
                              <a:cxn ang="T9">
                                <a:pos x="T2" y="T3"/>
                              </a:cxn>
                              <a:cxn ang="T10">
                                <a:pos x="T4" y="T5"/>
                              </a:cxn>
                              <a:cxn ang="T11">
                                <a:pos x="T6" y="T7"/>
                              </a:cxn>
                            </a:cxnLst>
                            <a:rect l="0" t="0" r="r" b="b"/>
                            <a:pathLst>
                              <a:path fill="norm" h="2" w="623" stroke="1">
                                <a:moveTo>
                                  <a:pt x="423" y="0"/>
                                </a:moveTo>
                                <a:lnTo>
                                  <a:pt x="623" y="0"/>
                                </a:lnTo>
                                <a:moveTo>
                                  <a:pt x="0" y="0"/>
                                </a:moveTo>
                                <a:lnTo>
                                  <a:pt x="289" y="0"/>
                                </a:lnTo>
                              </a:path>
                            </a:pathLst>
                          </a:custGeom>
                          <a:noFill/>
                          <a:ln w="10596">
                            <a:solidFill>
                              <a:srgbClr val="404040"/>
                            </a:solidFill>
                            <a:round/>
                          </a:ln>
                        </wps:spPr>
                        <wps:bodyPr rot="0" vert="horz" wrap="square" lIns="91440" tIns="45720" rIns="91440" bIns="45720" anchor="t" anchorCtr="0" upright="1"/>
                      </wps:wsp>
                      <pic:pic xmlns:pic="http://schemas.openxmlformats.org/drawingml/2006/picture">
                        <pic:nvPicPr>
                          <pic:cNvPr id="72" name="Picture 68"/>
                          <pic:cNvPicPr>
                            <a:picLocks noChangeAspect="1" noChangeArrowheads="1"/>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a:xfrm>
                            <a:off x="7121" y="4040"/>
                            <a:ext cx="118" cy="118"/>
                          </a:xfrm>
                          <a:prstGeom prst="rect">
                            <a:avLst/>
                          </a:prstGeom>
                          <a:noFill/>
                        </pic:spPr>
                      </pic:pic>
                      <wps:wsp xmlns:wps="http://schemas.microsoft.com/office/word/2010/wordprocessingShape">
                        <wps:cNvPr id="73" name="Line 69"/>
                        <wps:cNvCnPr>
                          <a:cxnSpLocks noChangeShapeType="1"/>
                        </wps:cNvCnPr>
                        <wps:spPr bwMode="auto">
                          <a:xfrm>
                            <a:off x="6884" y="4019"/>
                            <a:ext cx="0" cy="160"/>
                          </a:xfrm>
                          <a:prstGeom prst="line">
                            <a:avLst/>
                          </a:prstGeom>
                          <a:noFill/>
                          <a:ln w="85383">
                            <a:solidFill>
                              <a:srgbClr val="FFFFFF"/>
                            </a:solidFill>
                            <a:round/>
                          </a:ln>
                        </wps:spPr>
                        <wps:bodyPr/>
                      </wps:wsp>
                      <pic:pic xmlns:pic="http://schemas.openxmlformats.org/drawingml/2006/picture">
                        <pic:nvPicPr>
                          <pic:cNvPr id="74" name="Picture 70"/>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a:xfrm>
                            <a:off x="7774" y="3377"/>
                            <a:ext cx="118" cy="486"/>
                          </a:xfrm>
                          <a:prstGeom prst="rect">
                            <a:avLst/>
                          </a:prstGeom>
                          <a:noFill/>
                        </pic:spPr>
                      </pic:pic>
                      <wps:wsp xmlns:wps="http://schemas.microsoft.com/office/word/2010/wordprocessingShape">
                        <wps:cNvPr id="75" name="Line 71"/>
                        <wps:cNvCnPr>
                          <a:cxnSpLocks noChangeShapeType="1"/>
                        </wps:cNvCnPr>
                        <wps:spPr bwMode="auto">
                          <a:xfrm>
                            <a:off x="6528" y="3141"/>
                            <a:ext cx="623" cy="0"/>
                          </a:xfrm>
                          <a:prstGeom prst="line">
                            <a:avLst/>
                          </a:prstGeom>
                          <a:noFill/>
                          <a:ln w="10596">
                            <a:solidFill>
                              <a:srgbClr val="404040"/>
                            </a:solidFill>
                            <a:round/>
                          </a:ln>
                        </wps:spPr>
                        <wps:bodyPr/>
                      </wps:wsp>
                      <pic:pic xmlns:pic="http://schemas.openxmlformats.org/drawingml/2006/picture">
                        <pic:nvPicPr>
                          <pic:cNvPr id="76" name="Picture 72"/>
                          <pic:cNvPicPr>
                            <a:picLocks noChangeAspect="1" noChangeArrowheads="1"/>
                          </pic:cNvPicPr>
                        </pic:nvPicPr>
                        <pic:blipFill>
                          <a:blip xmlns:r="http://schemas.openxmlformats.org/officeDocument/2006/relationships" r:embed="rId49">
                            <a:extLst>
                              <a:ext xmlns:a="http://schemas.openxmlformats.org/drawingml/2006/main" uri="{28A0092B-C50C-407E-A947-70E740481C1C}">
                                <a14:useLocalDpi xmlns:a14="http://schemas.microsoft.com/office/drawing/2010/main" val="0"/>
                              </a:ext>
                            </a:extLst>
                          </a:blip>
                          <a:stretch>
                            <a:fillRect/>
                          </a:stretch>
                        </pic:blipFill>
                        <pic:spPr>
                          <a:xfrm>
                            <a:off x="7121" y="3081"/>
                            <a:ext cx="118" cy="118"/>
                          </a:xfrm>
                          <a:prstGeom prst="rect">
                            <a:avLst/>
                          </a:prstGeom>
                          <a:noFill/>
                        </pic:spPr>
                      </pic:pic>
                      <wps:wsp xmlns:wps="http://schemas.microsoft.com/office/word/2010/wordprocessingShape">
                        <wps:cNvPr id="77" name="AutoShape 73"/>
                        <wps:cNvSpPr/>
                        <wps:spPr bwMode="auto">
                          <a:xfrm>
                            <a:off x="5934" y="7928"/>
                            <a:ext cx="2" cy="393"/>
                          </a:xfrm>
                          <a:custGeom>
                            <a:avLst/>
                            <a:gdLst>
                              <a:gd name="T0" fmla="*/ 0 w 2"/>
                              <a:gd name="T1" fmla="*/ 7928 h 393"/>
                              <a:gd name="T2" fmla="*/ 0 w 2"/>
                              <a:gd name="T3" fmla="*/ 8085 h 393"/>
                              <a:gd name="T4" fmla="*/ 0 w 2"/>
                              <a:gd name="T5" fmla="*/ 8245 h 393"/>
                              <a:gd name="T6" fmla="*/ 0 w 2"/>
                              <a:gd name="T7" fmla="*/ 8320 h 393"/>
                              <a:gd name="T8" fmla="*/ 0 60000 65536"/>
                              <a:gd name="T9" fmla="*/ 0 60000 65536"/>
                              <a:gd name="T10" fmla="*/ 0 60000 65536"/>
                              <a:gd name="T11" fmla="*/ 0 60000 65536"/>
                            </a:gdLst>
                            <a:cxnLst>
                              <a:cxn ang="T8">
                                <a:pos x="T0" y="T1"/>
                              </a:cxn>
                              <a:cxn ang="T9">
                                <a:pos x="T2" y="T3"/>
                              </a:cxn>
                              <a:cxn ang="T10">
                                <a:pos x="T4" y="T5"/>
                              </a:cxn>
                              <a:cxn ang="T11">
                                <a:pos x="T6" y="T7"/>
                              </a:cxn>
                            </a:cxnLst>
                            <a:rect l="0" t="0" r="r" b="b"/>
                            <a:pathLst>
                              <a:path fill="norm" h="393" w="2" stroke="1">
                                <a:moveTo>
                                  <a:pt x="0" y="0"/>
                                </a:moveTo>
                                <a:lnTo>
                                  <a:pt x="0" y="157"/>
                                </a:lnTo>
                                <a:moveTo>
                                  <a:pt x="0" y="317"/>
                                </a:moveTo>
                                <a:lnTo>
                                  <a:pt x="0" y="392"/>
                                </a:lnTo>
                              </a:path>
                            </a:pathLst>
                          </a:custGeom>
                          <a:noFill/>
                          <a:ln w="2658">
                            <a:solidFill>
                              <a:srgbClr val="000000"/>
                            </a:solidFill>
                            <a:round/>
                          </a:ln>
                        </wps:spPr>
                        <wps:bodyPr rot="0" vert="horz" wrap="square" lIns="91440" tIns="45720" rIns="91440" bIns="45720" anchor="t" anchorCtr="0" upright="1"/>
                      </wps:wsp>
                      <wps:wsp xmlns:wps="http://schemas.microsoft.com/office/word/2010/wordprocessingShape">
                        <wps:cNvPr id="78" name="Freeform 74"/>
                        <wps:cNvSpPr/>
                        <wps:spPr bwMode="auto">
                          <a:xfrm>
                            <a:off x="5888" y="8308"/>
                            <a:ext cx="93" cy="93"/>
                          </a:xfrm>
                          <a:custGeom>
                            <a:avLst/>
                            <a:gdLst>
                              <a:gd name="T0" fmla="*/ 93 w 93"/>
                              <a:gd name="T1" fmla="*/ 8309 h 93"/>
                              <a:gd name="T2" fmla="*/ 0 w 93"/>
                              <a:gd name="T3" fmla="*/ 8309 h 93"/>
                              <a:gd name="T4" fmla="*/ 47 w 93"/>
                              <a:gd name="T5" fmla="*/ 8401 h 93"/>
                              <a:gd name="T6" fmla="*/ 93 w 93"/>
                              <a:gd name="T7" fmla="*/ 8309 h 93"/>
                              <a:gd name="T8" fmla="*/ 0 60000 65536"/>
                              <a:gd name="T9" fmla="*/ 0 60000 65536"/>
                              <a:gd name="T10" fmla="*/ 0 60000 65536"/>
                              <a:gd name="T11" fmla="*/ 0 60000 65536"/>
                            </a:gdLst>
                            <a:cxnLst>
                              <a:cxn ang="T8">
                                <a:pos x="T0" y="T1"/>
                              </a:cxn>
                              <a:cxn ang="T9">
                                <a:pos x="T2" y="T3"/>
                              </a:cxn>
                              <a:cxn ang="T10">
                                <a:pos x="T4" y="T5"/>
                              </a:cxn>
                              <a:cxn ang="T11">
                                <a:pos x="T6" y="T7"/>
                              </a:cxn>
                            </a:cxnLst>
                            <a:rect l="0" t="0" r="r" b="b"/>
                            <a:pathLst>
                              <a:path fill="norm" h="93" w="93" stroke="1">
                                <a:moveTo>
                                  <a:pt x="93" y="0"/>
                                </a:moveTo>
                                <a:lnTo>
                                  <a:pt x="0" y="0"/>
                                </a:lnTo>
                                <a:lnTo>
                                  <a:pt x="47" y="92"/>
                                </a:lnTo>
                                <a:lnTo>
                                  <a:pt x="93" y="0"/>
                                </a:lnTo>
                                <a:close/>
                              </a:path>
                            </a:pathLst>
                          </a:custGeom>
                          <a:solidFill>
                            <a:srgbClr val="000000"/>
                          </a:solidFill>
                          <a:ln>
                            <a:noFill/>
                          </a:ln>
                        </wps:spPr>
                        <wps:bodyPr rot="0" vert="horz" wrap="square" lIns="91440" tIns="45720" rIns="91440" bIns="45720" anchor="t" anchorCtr="0" upright="1"/>
                      </wps:wsp>
                      <wps:wsp xmlns:wps="http://schemas.microsoft.com/office/word/2010/wordprocessingShape">
                        <wps:cNvPr id="79" name="Line 75"/>
                        <wps:cNvCnPr>
                          <a:cxnSpLocks noChangeShapeType="1"/>
                        </wps:cNvCnPr>
                        <wps:spPr bwMode="auto">
                          <a:xfrm>
                            <a:off x="5935" y="8085"/>
                            <a:ext cx="0" cy="160"/>
                          </a:xfrm>
                          <a:prstGeom prst="line">
                            <a:avLst/>
                          </a:prstGeom>
                          <a:noFill/>
                          <a:ln w="85383">
                            <a:solidFill>
                              <a:srgbClr val="FFFFFF"/>
                            </a:solidFill>
                            <a:round/>
                          </a:ln>
                        </wps:spPr>
                        <wps:bodyPr/>
                      </wps:wsp>
                      <wps:wsp xmlns:wps="http://schemas.microsoft.com/office/word/2010/wordprocessingShape">
                        <wps:cNvPr id="80" name="Rectangle 76"/>
                        <wps:cNvSpPr>
                          <a:spLocks noChangeArrowheads="1"/>
                        </wps:cNvSpPr>
                        <wps:spPr bwMode="auto">
                          <a:xfrm>
                            <a:off x="5136" y="5668"/>
                            <a:ext cx="1662" cy="473"/>
                          </a:xfrm>
                          <a:prstGeom prst="rect">
                            <a:avLst/>
                          </a:prstGeom>
                          <a:solidFill>
                            <a:srgbClr val="CDCDCD">
                              <a:alpha val="49803"/>
                            </a:srgbClr>
                          </a:solidFill>
                          <a:ln>
                            <a:noFill/>
                          </a:ln>
                        </wps:spPr>
                        <wps:bodyPr rot="0" vert="horz" wrap="square" lIns="91440" tIns="45720" rIns="91440" bIns="45720" anchor="t" anchorCtr="0" upright="1"/>
                      </wps:wsp>
                      <pic:pic xmlns:pic="http://schemas.openxmlformats.org/drawingml/2006/picture">
                        <pic:nvPicPr>
                          <pic:cNvPr id="81" name="Picture 77"/>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a:xfrm>
                            <a:off x="5112" y="5644"/>
                            <a:ext cx="1662" cy="473"/>
                          </a:xfrm>
                          <a:prstGeom prst="rect">
                            <a:avLst/>
                          </a:prstGeom>
                          <a:noFill/>
                        </pic:spPr>
                      </pic:pic>
                      <pic:pic xmlns:pic="http://schemas.openxmlformats.org/drawingml/2006/picture">
                        <pic:nvPicPr>
                          <pic:cNvPr id="82" name="Picture 78"/>
                          <pic:cNvPicPr>
                            <a:picLocks noChangeAspect="1" noChangeArrowheads="1"/>
                          </pic:cNvPicPr>
                        </pic:nvPicPr>
                        <pic:blipFill>
                          <a:blip xmlns:r="http://schemas.openxmlformats.org/officeDocument/2006/relationships" r:embed="rId50">
                            <a:extLst>
                              <a:ext xmlns:a="http://schemas.openxmlformats.org/drawingml/2006/main" uri="{28A0092B-C50C-407E-A947-70E740481C1C}">
                                <a14:useLocalDpi xmlns:a14="http://schemas.microsoft.com/office/drawing/2010/main" val="0"/>
                              </a:ext>
                            </a:extLst>
                          </a:blip>
                          <a:stretch>
                            <a:fillRect/>
                          </a:stretch>
                        </pic:blipFill>
                        <pic:spPr>
                          <a:xfrm>
                            <a:off x="5881" y="5343"/>
                            <a:ext cx="118" cy="301"/>
                          </a:xfrm>
                          <a:prstGeom prst="rect">
                            <a:avLst/>
                          </a:prstGeom>
                          <a:noFill/>
                        </pic:spPr>
                      </pic:pic>
                      <pic:pic xmlns:pic="http://schemas.openxmlformats.org/drawingml/2006/picture">
                        <pic:nvPicPr>
                          <pic:cNvPr id="83" name="Picture 79"/>
                          <pic:cNvPicPr>
                            <a:picLocks noChangeAspect="1" noChangeArrowheads="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a:xfrm>
                            <a:off x="5891" y="6108"/>
                            <a:ext cx="118" cy="293"/>
                          </a:xfrm>
                          <a:prstGeom prst="rect">
                            <a:avLst/>
                          </a:prstGeom>
                          <a:noFill/>
                        </pic:spPr>
                      </pic:pic>
                      <wps:wsp xmlns:wps="http://schemas.microsoft.com/office/word/2010/wordprocessingShape">
                        <wps:cNvPr id="84" name="Text Box 81"/>
                        <wps:cNvSpPr txBox="1">
                          <a:spLocks noChangeArrowheads="1"/>
                        </wps:cNvSpPr>
                        <wps:spPr bwMode="auto">
                          <a:xfrm>
                            <a:off x="5335" y="2159"/>
                            <a:ext cx="1230" cy="201"/>
                          </a:xfrm>
                          <a:prstGeom prst="rect">
                            <a:avLst/>
                          </a:prstGeom>
                          <a:noFill/>
                          <a:ln>
                            <a:noFill/>
                          </a:ln>
                        </wps:spPr>
                        <wps:txbx>
                          <w:txbxContent>
                            <w:p w:rsidR="00014D42">
                              <w:pPr>
                                <w:spacing w:line="200" w:lineRule="exact"/>
                                <w:rPr>
                                  <w:sz w:val="20"/>
                                </w:rPr>
                              </w:pPr>
                              <w:r>
                                <w:rPr>
                                  <w:sz w:val="20"/>
                                </w:rPr>
                                <w:t>数据安全事件</w:t>
                              </w:r>
                            </w:p>
                          </w:txbxContent>
                        </wps:txbx>
                        <wps:bodyPr rot="0" vert="horz" wrap="square" lIns="0" tIns="0" rIns="0" bIns="0" anchor="t" anchorCtr="0" upright="1"/>
                      </wps:wsp>
                      <wps:wsp xmlns:wps="http://schemas.microsoft.com/office/word/2010/wordprocessingShape">
                        <wps:cNvPr id="85" name="Text Box 82"/>
                        <wps:cNvSpPr txBox="1">
                          <a:spLocks noChangeArrowheads="1"/>
                        </wps:cNvSpPr>
                        <wps:spPr bwMode="auto">
                          <a:xfrm>
                            <a:off x="5531" y="3987"/>
                            <a:ext cx="826" cy="201"/>
                          </a:xfrm>
                          <a:prstGeom prst="rect">
                            <a:avLst/>
                          </a:prstGeom>
                          <a:noFill/>
                          <a:ln>
                            <a:noFill/>
                          </a:ln>
                        </wps:spPr>
                        <wps:txbx>
                          <w:txbxContent>
                            <w:p w:rsidR="00014D42">
                              <w:pPr>
                                <w:spacing w:line="200" w:lineRule="exact"/>
                                <w:rPr>
                                  <w:sz w:val="20"/>
                                </w:rPr>
                              </w:pPr>
                              <w:r>
                                <w:rPr>
                                  <w:sz w:val="20"/>
                                </w:rPr>
                                <w:t>情况判断</w:t>
                              </w:r>
                            </w:p>
                          </w:txbxContent>
                        </wps:txbx>
                        <wps:bodyPr rot="0" vert="horz" wrap="square" lIns="0" tIns="0" rIns="0" bIns="0" anchor="t" anchorCtr="0" upright="1"/>
                      </wps:wsp>
                      <wps:wsp xmlns:wps="http://schemas.microsoft.com/office/word/2010/wordprocessingShape">
                        <wps:cNvPr id="86" name="Text Box 83"/>
                        <wps:cNvSpPr txBox="1">
                          <a:spLocks noChangeArrowheads="1"/>
                        </wps:cNvSpPr>
                        <wps:spPr bwMode="auto">
                          <a:xfrm>
                            <a:off x="6816" y="4024"/>
                            <a:ext cx="154" cy="134"/>
                          </a:xfrm>
                          <a:prstGeom prst="rect">
                            <a:avLst/>
                          </a:prstGeom>
                          <a:noFill/>
                          <a:ln>
                            <a:noFill/>
                          </a:ln>
                        </wps:spPr>
                        <wps:txbx>
                          <w:txbxContent>
                            <w:p w:rsidR="00014D42">
                              <w:pPr>
                                <w:spacing w:line="133" w:lineRule="exact"/>
                                <w:rPr>
                                  <w:sz w:val="13"/>
                                </w:rPr>
                              </w:pPr>
                              <w:r>
                                <w:rPr>
                                  <w:w w:val="103"/>
                                  <w:sz w:val="13"/>
                                </w:rPr>
                                <w:t>否</w:t>
                              </w:r>
                            </w:p>
                          </w:txbxContent>
                        </wps:txbx>
                        <wps:bodyPr rot="0" vert="horz" wrap="square" lIns="0" tIns="0" rIns="0" bIns="0" anchor="t" anchorCtr="0" upright="1"/>
                      </wps:wsp>
                      <wps:wsp xmlns:wps="http://schemas.microsoft.com/office/word/2010/wordprocessingShape">
                        <wps:cNvPr id="87" name="Text Box 84"/>
                        <wps:cNvSpPr txBox="1">
                          <a:spLocks noChangeArrowheads="1"/>
                        </wps:cNvSpPr>
                        <wps:spPr bwMode="auto">
                          <a:xfrm>
                            <a:off x="5867" y="4591"/>
                            <a:ext cx="154" cy="134"/>
                          </a:xfrm>
                          <a:prstGeom prst="rect">
                            <a:avLst/>
                          </a:prstGeom>
                          <a:noFill/>
                          <a:ln>
                            <a:noFill/>
                          </a:ln>
                        </wps:spPr>
                        <wps:txbx>
                          <w:txbxContent>
                            <w:p w:rsidR="00014D42">
                              <w:pPr>
                                <w:spacing w:line="133" w:lineRule="exact"/>
                                <w:rPr>
                                  <w:sz w:val="13"/>
                                </w:rPr>
                              </w:pPr>
                              <w:r>
                                <w:rPr>
                                  <w:w w:val="103"/>
                                  <w:sz w:val="13"/>
                                </w:rPr>
                                <w:t>是</w:t>
                              </w:r>
                            </w:p>
                          </w:txbxContent>
                        </wps:txbx>
                        <wps:bodyPr rot="0" vert="horz" wrap="square" lIns="0" tIns="0" rIns="0" bIns="0" anchor="t" anchorCtr="0" upright="1"/>
                      </wps:wsp>
                      <wps:wsp xmlns:wps="http://schemas.microsoft.com/office/word/2010/wordprocessingShape">
                        <wps:cNvPr id="88" name="Text Box 85"/>
                        <wps:cNvSpPr txBox="1">
                          <a:spLocks noChangeArrowheads="1"/>
                        </wps:cNvSpPr>
                        <wps:spPr bwMode="auto">
                          <a:xfrm>
                            <a:off x="5349" y="6526"/>
                            <a:ext cx="1230" cy="201"/>
                          </a:xfrm>
                          <a:prstGeom prst="rect">
                            <a:avLst/>
                          </a:prstGeom>
                          <a:noFill/>
                          <a:ln>
                            <a:noFill/>
                          </a:ln>
                        </wps:spPr>
                        <wps:txbx>
                          <w:txbxContent>
                            <w:p w:rsidR="00014D42">
                              <w:pPr>
                                <w:spacing w:line="200" w:lineRule="exact"/>
                                <w:rPr>
                                  <w:sz w:val="20"/>
                                </w:rPr>
                              </w:pPr>
                              <w:r>
                                <w:rPr>
                                  <w:sz w:val="20"/>
                                </w:rPr>
                                <w:t>应急响应处置</w:t>
                              </w:r>
                            </w:p>
                          </w:txbxContent>
                        </wps:txbx>
                        <wps:bodyPr rot="0" vert="horz" wrap="square" lIns="0" tIns="0" rIns="0" bIns="0" anchor="t" anchorCtr="0" upright="1"/>
                      </wps:wsp>
                      <wps:wsp xmlns:wps="http://schemas.microsoft.com/office/word/2010/wordprocessingShape">
                        <wps:cNvPr id="89" name="Text Box 86"/>
                        <wps:cNvSpPr txBox="1">
                          <a:spLocks noChangeArrowheads="1"/>
                        </wps:cNvSpPr>
                        <wps:spPr bwMode="auto">
                          <a:xfrm>
                            <a:off x="5531" y="7461"/>
                            <a:ext cx="826" cy="201"/>
                          </a:xfrm>
                          <a:prstGeom prst="rect">
                            <a:avLst/>
                          </a:prstGeom>
                          <a:noFill/>
                          <a:ln>
                            <a:noFill/>
                          </a:ln>
                        </wps:spPr>
                        <wps:txbx>
                          <w:txbxContent>
                            <w:p w:rsidR="00014D42">
                              <w:pPr>
                                <w:spacing w:line="200" w:lineRule="exact"/>
                                <w:rPr>
                                  <w:sz w:val="20"/>
                                </w:rPr>
                              </w:pPr>
                              <w:r>
                                <w:rPr>
                                  <w:sz w:val="20"/>
                                </w:rPr>
                                <w:t>事态控制</w:t>
                              </w:r>
                            </w:p>
                          </w:txbxContent>
                        </wps:txbx>
                        <wps:bodyPr rot="0" vert="horz" wrap="square" lIns="0" tIns="0" rIns="0" bIns="0" anchor="t" anchorCtr="0" upright="1"/>
                      </wps:wsp>
                      <wps:wsp xmlns:wps="http://schemas.microsoft.com/office/word/2010/wordprocessingShape">
                        <wps:cNvPr id="90" name="Text Box 87"/>
                        <wps:cNvSpPr txBox="1">
                          <a:spLocks noChangeArrowheads="1"/>
                        </wps:cNvSpPr>
                        <wps:spPr bwMode="auto">
                          <a:xfrm>
                            <a:off x="6857" y="7500"/>
                            <a:ext cx="154" cy="134"/>
                          </a:xfrm>
                          <a:prstGeom prst="rect">
                            <a:avLst/>
                          </a:prstGeom>
                          <a:noFill/>
                          <a:ln>
                            <a:noFill/>
                          </a:ln>
                        </wps:spPr>
                        <wps:txbx>
                          <w:txbxContent>
                            <w:p w:rsidR="00014D42">
                              <w:pPr>
                                <w:spacing w:line="133" w:lineRule="exact"/>
                                <w:rPr>
                                  <w:sz w:val="13"/>
                                </w:rPr>
                              </w:pPr>
                              <w:r>
                                <w:rPr>
                                  <w:w w:val="103"/>
                                  <w:sz w:val="13"/>
                                </w:rPr>
                                <w:t>否</w:t>
                              </w:r>
                            </w:p>
                          </w:txbxContent>
                        </wps:txbx>
                        <wps:bodyPr rot="0" vert="horz" wrap="square" lIns="0" tIns="0" rIns="0" bIns="0" anchor="t" anchorCtr="0" upright="1"/>
                      </wps:wsp>
                      <wps:wsp xmlns:wps="http://schemas.microsoft.com/office/word/2010/wordprocessingShape">
                        <wps:cNvPr id="91" name="Text Box 88"/>
                        <wps:cNvSpPr txBox="1">
                          <a:spLocks noChangeArrowheads="1"/>
                        </wps:cNvSpPr>
                        <wps:spPr bwMode="auto">
                          <a:xfrm>
                            <a:off x="5867" y="8090"/>
                            <a:ext cx="154" cy="134"/>
                          </a:xfrm>
                          <a:prstGeom prst="rect">
                            <a:avLst/>
                          </a:prstGeom>
                          <a:noFill/>
                          <a:ln>
                            <a:noFill/>
                          </a:ln>
                        </wps:spPr>
                        <wps:txbx>
                          <w:txbxContent>
                            <w:p w:rsidR="00014D42">
                              <w:pPr>
                                <w:spacing w:line="133" w:lineRule="exact"/>
                                <w:rPr>
                                  <w:sz w:val="13"/>
                                </w:rPr>
                              </w:pPr>
                              <w:r>
                                <w:rPr>
                                  <w:w w:val="103"/>
                                  <w:sz w:val="13"/>
                                </w:rPr>
                                <w:t>是</w:t>
                              </w:r>
                            </w:p>
                          </w:txbxContent>
                        </wps:txbx>
                        <wps:bodyPr rot="0" vert="horz" wrap="square" lIns="0" tIns="0" rIns="0" bIns="0" anchor="t" anchorCtr="0" upright="1"/>
                      </wps:wsp>
                      <wps:wsp xmlns:wps="http://schemas.microsoft.com/office/word/2010/wordprocessingShape">
                        <wps:cNvPr id="92" name="Text Box 89"/>
                        <wps:cNvSpPr txBox="1">
                          <a:spLocks noChangeArrowheads="1"/>
                        </wps:cNvSpPr>
                        <wps:spPr bwMode="auto">
                          <a:xfrm>
                            <a:off x="7239" y="6401"/>
                            <a:ext cx="1368" cy="473"/>
                          </a:xfrm>
                          <a:prstGeom prst="rect">
                            <a:avLst/>
                          </a:prstGeom>
                          <a:noFill/>
                          <a:ln w="2650">
                            <a:solidFill>
                              <a:srgbClr val="404040"/>
                            </a:solidFill>
                            <a:miter lim="800000"/>
                          </a:ln>
                        </wps:spPr>
                        <wps:txbx>
                          <w:txbxContent>
                            <w:p w:rsidR="00014D42">
                              <w:pPr>
                                <w:spacing w:before="94"/>
                                <w:ind w:left="76"/>
                                <w:rPr>
                                  <w:sz w:val="20"/>
                                </w:rPr>
                              </w:pPr>
                              <w:r>
                                <w:rPr>
                                  <w:sz w:val="20"/>
                                </w:rPr>
                                <w:t>事件级别调整</w:t>
                              </w:r>
                            </w:p>
                          </w:txbxContent>
                        </wps:txbx>
                        <wps:bodyPr rot="0" vert="horz" wrap="square" lIns="0" tIns="0" rIns="0" bIns="0" anchor="t" anchorCtr="0" upright="1"/>
                      </wps:wsp>
                      <wps:wsp xmlns:wps="http://schemas.microsoft.com/office/word/2010/wordprocessingShape">
                        <wps:cNvPr id="93" name="Text Box 90"/>
                        <wps:cNvSpPr txBox="1">
                          <a:spLocks noChangeArrowheads="1"/>
                        </wps:cNvSpPr>
                        <wps:spPr bwMode="auto">
                          <a:xfrm>
                            <a:off x="5341" y="2904"/>
                            <a:ext cx="1187" cy="473"/>
                          </a:xfrm>
                          <a:prstGeom prst="rect">
                            <a:avLst/>
                          </a:prstGeom>
                          <a:noFill/>
                          <a:ln w="2650">
                            <a:solidFill>
                              <a:srgbClr val="404040"/>
                            </a:solidFill>
                            <a:miter lim="800000"/>
                          </a:ln>
                        </wps:spPr>
                        <wps:txbx>
                          <w:txbxContent>
                            <w:p w:rsidR="00014D42">
                              <w:pPr>
                                <w:spacing w:before="94"/>
                                <w:ind w:left="187"/>
                                <w:rPr>
                                  <w:sz w:val="20"/>
                                </w:rPr>
                              </w:pPr>
                              <w:r>
                                <w:rPr>
                                  <w:sz w:val="20"/>
                                </w:rPr>
                                <w:t>事件监测</w:t>
                              </w:r>
                            </w:p>
                          </w:txbxContent>
                        </wps:txbx>
                        <wps:bodyPr rot="0" vert="horz" wrap="square" lIns="0" tIns="0" rIns="0" bIns="0" anchor="t" anchorCtr="0" upright="1"/>
                      </wps:wsp>
                      <wps:wsp xmlns:wps="http://schemas.microsoft.com/office/word/2010/wordprocessingShape">
                        <wps:cNvPr id="94" name="Text Box 91"/>
                        <wps:cNvSpPr txBox="1">
                          <a:spLocks noChangeArrowheads="1"/>
                        </wps:cNvSpPr>
                        <wps:spPr bwMode="auto">
                          <a:xfrm>
                            <a:off x="5341" y="9925"/>
                            <a:ext cx="1187" cy="473"/>
                          </a:xfrm>
                          <a:prstGeom prst="rect">
                            <a:avLst/>
                          </a:prstGeom>
                          <a:noFill/>
                          <a:ln w="2650">
                            <a:solidFill>
                              <a:srgbClr val="404040"/>
                            </a:solidFill>
                            <a:miter lim="800000"/>
                          </a:ln>
                        </wps:spPr>
                        <wps:txbx>
                          <w:txbxContent>
                            <w:p w:rsidR="00014D42">
                              <w:pPr>
                                <w:spacing w:before="94"/>
                                <w:ind w:left="187"/>
                                <w:rPr>
                                  <w:sz w:val="20"/>
                                </w:rPr>
                              </w:pPr>
                              <w:r>
                                <w:rPr>
                                  <w:sz w:val="20"/>
                                </w:rPr>
                                <w:t>后续处置</w:t>
                              </w:r>
                            </w:p>
                          </w:txbxContent>
                        </wps:txbx>
                        <wps:bodyPr rot="0" vert="horz" wrap="square" lIns="0" tIns="0" rIns="0" bIns="0" anchor="t" anchorCtr="0" upright="1"/>
                      </wps:wsp>
                      <wps:wsp xmlns:wps="http://schemas.microsoft.com/office/word/2010/wordprocessingShape">
                        <wps:cNvPr id="480" name="Text Box 92"/>
                        <wps:cNvSpPr txBox="1">
                          <a:spLocks noChangeArrowheads="1"/>
                        </wps:cNvSpPr>
                        <wps:spPr bwMode="auto">
                          <a:xfrm>
                            <a:off x="5341" y="9162"/>
                            <a:ext cx="1187" cy="473"/>
                          </a:xfrm>
                          <a:prstGeom prst="rect">
                            <a:avLst/>
                          </a:prstGeom>
                          <a:noFill/>
                          <a:ln w="2650">
                            <a:solidFill>
                              <a:srgbClr val="404040"/>
                            </a:solidFill>
                            <a:miter lim="800000"/>
                          </a:ln>
                        </wps:spPr>
                        <wps:txbx>
                          <w:txbxContent>
                            <w:p w:rsidR="00014D42">
                              <w:pPr>
                                <w:spacing w:before="94"/>
                                <w:ind w:left="187"/>
                                <w:rPr>
                                  <w:sz w:val="20"/>
                                </w:rPr>
                              </w:pPr>
                              <w:r>
                                <w:rPr>
                                  <w:sz w:val="20"/>
                                </w:rPr>
                                <w:t>结束响应</w:t>
                              </w:r>
                            </w:p>
                          </w:txbxContent>
                        </wps:txbx>
                        <wps:bodyPr rot="0" vert="horz" wrap="square" lIns="0" tIns="0" rIns="0" bIns="0" anchor="t" anchorCtr="0" upright="1"/>
                      </wps:wsp>
                      <wps:wsp xmlns:wps="http://schemas.microsoft.com/office/word/2010/wordprocessingShape">
                        <wps:cNvPr id="481" name="Text Box 93"/>
                        <wps:cNvSpPr txBox="1">
                          <a:spLocks noChangeArrowheads="1"/>
                        </wps:cNvSpPr>
                        <wps:spPr bwMode="auto">
                          <a:xfrm>
                            <a:off x="5341" y="8401"/>
                            <a:ext cx="1187" cy="473"/>
                          </a:xfrm>
                          <a:prstGeom prst="rect">
                            <a:avLst/>
                          </a:prstGeom>
                          <a:noFill/>
                          <a:ln w="2650">
                            <a:solidFill>
                              <a:srgbClr val="404040"/>
                            </a:solidFill>
                            <a:miter lim="800000"/>
                          </a:ln>
                        </wps:spPr>
                        <wps:txbx>
                          <w:txbxContent>
                            <w:p w:rsidR="00014D42">
                              <w:pPr>
                                <w:spacing w:before="94"/>
                                <w:ind w:left="187"/>
                                <w:rPr>
                                  <w:sz w:val="20"/>
                                </w:rPr>
                              </w:pPr>
                              <w:r>
                                <w:rPr>
                                  <w:sz w:val="20"/>
                                </w:rPr>
                                <w:t>应急恢复</w:t>
                              </w:r>
                            </w:p>
                          </w:txbxContent>
                        </wps:txbx>
                        <wps:bodyPr rot="0" vert="horz" wrap="square" lIns="0" tIns="0" rIns="0" bIns="0" anchor="t" anchorCtr="0" upright="1"/>
                      </wps:wsp>
                      <wps:wsp xmlns:wps="http://schemas.microsoft.com/office/word/2010/wordprocessingShape">
                        <wps:cNvPr id="482" name="Text Box 94"/>
                        <wps:cNvSpPr txBox="1">
                          <a:spLocks noChangeArrowheads="1"/>
                        </wps:cNvSpPr>
                        <wps:spPr bwMode="auto">
                          <a:xfrm>
                            <a:off x="7324" y="7341"/>
                            <a:ext cx="1187" cy="473"/>
                          </a:xfrm>
                          <a:prstGeom prst="rect">
                            <a:avLst/>
                          </a:prstGeom>
                          <a:noFill/>
                          <a:ln w="2650">
                            <a:solidFill>
                              <a:srgbClr val="404040"/>
                            </a:solidFill>
                            <a:miter lim="800000"/>
                          </a:ln>
                        </wps:spPr>
                        <wps:txbx>
                          <w:txbxContent>
                            <w:p w:rsidR="00014D42">
                              <w:pPr>
                                <w:spacing w:before="94"/>
                                <w:ind w:left="187"/>
                                <w:rPr>
                                  <w:sz w:val="20"/>
                                </w:rPr>
                              </w:pPr>
                              <w:r>
                                <w:rPr>
                                  <w:sz w:val="20"/>
                                </w:rPr>
                                <w:t>事件评估</w:t>
                              </w:r>
                            </w:p>
                          </w:txbxContent>
                        </wps:txbx>
                        <wps:bodyPr rot="0" vert="horz" wrap="square" lIns="0" tIns="0" rIns="0" bIns="0" anchor="t" anchorCtr="0" upright="1"/>
                      </wps:wsp>
                      <wps:wsp xmlns:wps="http://schemas.microsoft.com/office/word/2010/wordprocessingShape">
                        <wps:cNvPr id="483" name="Text Box 95"/>
                        <wps:cNvSpPr txBox="1">
                          <a:spLocks noChangeArrowheads="1"/>
                        </wps:cNvSpPr>
                        <wps:spPr bwMode="auto">
                          <a:xfrm>
                            <a:off x="3443" y="7337"/>
                            <a:ext cx="1187" cy="473"/>
                          </a:xfrm>
                          <a:prstGeom prst="rect">
                            <a:avLst/>
                          </a:prstGeom>
                          <a:noFill/>
                          <a:ln w="2650">
                            <a:solidFill>
                              <a:srgbClr val="404040"/>
                            </a:solidFill>
                            <a:miter lim="800000"/>
                          </a:ln>
                        </wps:spPr>
                        <wps:txbx>
                          <w:txbxContent>
                            <w:p w:rsidR="00014D42">
                              <w:pPr>
                                <w:spacing w:before="94"/>
                                <w:ind w:left="187"/>
                                <w:rPr>
                                  <w:sz w:val="20"/>
                                </w:rPr>
                              </w:pPr>
                              <w:r>
                                <w:rPr>
                                  <w:sz w:val="20"/>
                                </w:rPr>
                                <w:t>媒体沟通</w:t>
                              </w:r>
                            </w:p>
                          </w:txbxContent>
                        </wps:txbx>
                        <wps:bodyPr rot="0" vert="horz" wrap="square" lIns="0" tIns="0" rIns="0" bIns="0" anchor="t" anchorCtr="0" upright="1"/>
                      </wps:wsp>
                      <wps:wsp xmlns:wps="http://schemas.microsoft.com/office/word/2010/wordprocessingShape">
                        <wps:cNvPr id="484" name="Text Box 96"/>
                        <wps:cNvSpPr txBox="1">
                          <a:spLocks noChangeArrowheads="1"/>
                        </wps:cNvSpPr>
                        <wps:spPr bwMode="auto">
                          <a:xfrm>
                            <a:off x="5112" y="5644"/>
                            <a:ext cx="1662" cy="473"/>
                          </a:xfrm>
                          <a:prstGeom prst="rect">
                            <a:avLst/>
                          </a:prstGeom>
                          <a:noFill/>
                          <a:ln w="2650">
                            <a:solidFill>
                              <a:srgbClr val="404040"/>
                            </a:solidFill>
                            <a:miter lim="800000"/>
                          </a:ln>
                        </wps:spPr>
                        <wps:txbx>
                          <w:txbxContent>
                            <w:p w:rsidR="00014D42">
                              <w:pPr>
                                <w:spacing w:before="94"/>
                                <w:ind w:left="223"/>
                                <w:rPr>
                                  <w:sz w:val="20"/>
                                </w:rPr>
                              </w:pPr>
                              <w:r>
                                <w:rPr>
                                  <w:sz w:val="20"/>
                                </w:rPr>
                                <w:t>启动应急预案</w:t>
                              </w:r>
                            </w:p>
                          </w:txbxContent>
                        </wps:txbx>
                        <wps:bodyPr rot="0" vert="horz" wrap="square" lIns="0" tIns="0" rIns="0" bIns="0" anchor="t" anchorCtr="0" upright="1"/>
                      </wps:wsp>
                      <wps:wsp xmlns:wps="http://schemas.microsoft.com/office/word/2010/wordprocessingShape">
                        <wps:cNvPr id="485" name="Text Box 97"/>
                        <wps:cNvSpPr txBox="1">
                          <a:spLocks noChangeArrowheads="1"/>
                        </wps:cNvSpPr>
                        <wps:spPr bwMode="auto">
                          <a:xfrm>
                            <a:off x="5104" y="4878"/>
                            <a:ext cx="1662" cy="473"/>
                          </a:xfrm>
                          <a:prstGeom prst="rect">
                            <a:avLst/>
                          </a:prstGeom>
                          <a:noFill/>
                          <a:ln w="2650">
                            <a:solidFill>
                              <a:srgbClr val="404040"/>
                            </a:solidFill>
                            <a:miter lim="800000"/>
                          </a:ln>
                        </wps:spPr>
                        <wps:txbx>
                          <w:txbxContent>
                            <w:p w:rsidR="00014D42">
                              <w:pPr>
                                <w:spacing w:before="94"/>
                                <w:ind w:left="425"/>
                                <w:rPr>
                                  <w:sz w:val="20"/>
                                </w:rPr>
                              </w:pPr>
                              <w:r>
                                <w:rPr>
                                  <w:sz w:val="20"/>
                                </w:rPr>
                                <w:t>预警分级</w:t>
                              </w:r>
                            </w:p>
                          </w:txbxContent>
                        </wps:txbx>
                        <wps:bodyPr rot="0" vert="horz" wrap="square" lIns="0" tIns="0" rIns="0" bIns="0" anchor="t" anchorCtr="0" upright="1"/>
                      </wps:wsp>
                      <wps:wsp xmlns:wps="http://schemas.microsoft.com/office/word/2010/wordprocessingShape">
                        <wps:cNvPr id="486" name="Text Box 98"/>
                        <wps:cNvSpPr txBox="1">
                          <a:spLocks noChangeArrowheads="1"/>
                        </wps:cNvSpPr>
                        <wps:spPr bwMode="auto">
                          <a:xfrm>
                            <a:off x="7239" y="3862"/>
                            <a:ext cx="1187" cy="473"/>
                          </a:xfrm>
                          <a:prstGeom prst="rect">
                            <a:avLst/>
                          </a:prstGeom>
                          <a:noFill/>
                          <a:ln w="2650">
                            <a:solidFill>
                              <a:srgbClr val="404040"/>
                            </a:solidFill>
                            <a:miter lim="800000"/>
                          </a:ln>
                        </wps:spPr>
                        <wps:txbx>
                          <w:txbxContent>
                            <w:p w:rsidR="00014D42">
                              <w:pPr>
                                <w:spacing w:before="94"/>
                                <w:ind w:left="389"/>
                                <w:rPr>
                                  <w:sz w:val="20"/>
                                </w:rPr>
                              </w:pPr>
                              <w:r>
                                <w:rPr>
                                  <w:sz w:val="20"/>
                                </w:rPr>
                                <w:t>驳回</w:t>
                              </w:r>
                            </w:p>
                          </w:txbxContent>
                        </wps:txbx>
                        <wps:bodyPr rot="0" vert="horz" wrap="square" lIns="0" tIns="0" rIns="0" bIns="0" anchor="t" anchorCtr="0" upright="1"/>
                      </wps:wsp>
                      <wps:wsp xmlns:wps="http://schemas.microsoft.com/office/word/2010/wordprocessingShape">
                        <wps:cNvPr id="487" name="Text Box 99"/>
                        <wps:cNvSpPr txBox="1">
                          <a:spLocks noChangeArrowheads="1"/>
                        </wps:cNvSpPr>
                        <wps:spPr bwMode="auto">
                          <a:xfrm>
                            <a:off x="3253" y="3862"/>
                            <a:ext cx="1376" cy="473"/>
                          </a:xfrm>
                          <a:prstGeom prst="rect">
                            <a:avLst/>
                          </a:prstGeom>
                          <a:noFill/>
                          <a:ln w="2650">
                            <a:solidFill>
                              <a:srgbClr val="404040"/>
                            </a:solidFill>
                            <a:miter lim="800000"/>
                          </a:ln>
                        </wps:spPr>
                        <wps:txbx>
                          <w:txbxContent>
                            <w:p w:rsidR="00014D42">
                              <w:pPr>
                                <w:spacing w:before="94"/>
                                <w:ind w:left="181"/>
                                <w:rPr>
                                  <w:sz w:val="20"/>
                                </w:rPr>
                              </w:pPr>
                              <w:r>
                                <w:rPr>
                                  <w:sz w:val="20"/>
                                </w:rPr>
                                <w:t>告警与通告</w:t>
                              </w:r>
                            </w:p>
                          </w:txbxContent>
                        </wps:txbx>
                        <wps:bodyPr rot="0" vert="horz" wrap="square" lIns="0" tIns="0" rIns="0" bIns="0" anchor="t" anchorCtr="0" upright="1"/>
                      </wps:wsp>
                      <wps:wsp xmlns:wps="http://schemas.microsoft.com/office/word/2010/wordprocessingShape">
                        <wps:cNvPr id="488" name="Text Box 100"/>
                        <wps:cNvSpPr txBox="1">
                          <a:spLocks noChangeArrowheads="1"/>
                        </wps:cNvSpPr>
                        <wps:spPr bwMode="auto">
                          <a:xfrm>
                            <a:off x="7239" y="2904"/>
                            <a:ext cx="1187" cy="473"/>
                          </a:xfrm>
                          <a:prstGeom prst="rect">
                            <a:avLst/>
                          </a:prstGeom>
                          <a:noFill/>
                          <a:ln w="2650">
                            <a:solidFill>
                              <a:srgbClr val="404040"/>
                            </a:solidFill>
                            <a:miter lim="800000"/>
                          </a:ln>
                        </wps:spPr>
                        <wps:txbx>
                          <w:txbxContent>
                            <w:p w:rsidR="00014D42">
                              <w:pPr>
                                <w:spacing w:before="94"/>
                                <w:ind w:left="187"/>
                                <w:rPr>
                                  <w:sz w:val="20"/>
                                </w:rPr>
                              </w:pPr>
                              <w:r>
                                <w:rPr>
                                  <w:sz w:val="20"/>
                                </w:rPr>
                                <w:t>信息反馈</w:t>
                              </w:r>
                            </w:p>
                          </w:txbxContent>
                        </wps:txbx>
                        <wps:bodyPr rot="0" vert="horz" wrap="square" lIns="0" tIns="0" rIns="0" bIns="0" anchor="t" anchorCtr="0" upright="1"/>
                      </wps:wsp>
                    </wpg:wgp>
                  </a:graphicData>
                </a:graphic>
              </wp:inline>
            </w:drawing>
          </mc:Choice>
          <mc:Fallback>
            <w:pict>
              <v:group id="组合 1" o:spid="_x0000_i1025" style="width:377.6pt;height:451.05pt;mso-wrap-distance-bottom:0;mso-wrap-distance-left:0;mso-wrap-distance-right:0;mso-wrap-distance-top:0" coordorigin="6226,3368"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1600;height:18093;left:6227;position:absolute;top:3368" filled="f">
                  <v:imagedata r:id="rId27" o:title=""/>
                </v:shape>
                <v:shape id="_x0000_s1027" type="#_x0000_t75" style="width:20956;height:17568;left:6547;position:absolute;top:3630" filled="f">
                  <v:imagedata r:id="rId28" o:title=""/>
                </v:shape>
                <v:shape id="_x0000_s1028" style="width:5057;height:1133;left:14530;position:absolute;top:4933;v-text-anchor:top" coordsize="21600,21600" path="m18705,l2908,l2908,l1991,548l1991,548l1197,2101l1197,2101l562,4430l562,4430l159,7398l159,7398l,10823l,10823l159,14202l159,14202l562,17170l562,17170l1197,19499l1197,19499l1991,21052l1991,21052l2908,21600l2908,21600l18705,21600l18705,21600l19621,21052l19621,21052l20415,19499l20415,19499l21050,17170l21050,17170l21453,14202l21453,14202l21600,10823l21600,10823l21453,7398l21453,7398l21050,4430l21050,4430l20415,2101l20415,2101l19621,548l19621,548l18705,xe" fillcolor="#cdcdcd" stroked="f">
                  <v:fill opacity="32639f"/>
                </v:shape>
                <v:shape id="_x0000_s1029" style="width:4362;height:474;left:14547;position:absolute;top:4933;v-text-anchor:top" coordsize="21600,21600" path="m21586,l3272,l3272,l2210,1309l2210,1309l1289,5018l1289,5018l552,10582l552,10582l85,17673l85,17673l,21600e" filled="f" fillcolor="this" stroked="t" strokecolor="#cdcdcd" strokeweight="0.21pt">
                  <v:stroke joinstyle="round"/>
                </v:shape>
                <v:shape id="_x0000_s1030" type="#_x0000_t75" style="width:692;height:577;left:18900;position:absolute;top:4928" filled="f">
                  <v:imagedata r:id="rId29" o:title=""/>
                </v:shape>
                <v:shape id="_x0000_s1031" type="#_x0000_t75" style="width:5057;height:1133;left:14461;position:absolute;top:4875" filled="f">
                  <v:imagedata r:id="rId30" o:title=""/>
                </v:shape>
                <v:shape id="_x0000_s1032" style="width:5057;height:1133;left:14461;position:absolute;top:4875;v-text-anchor:top" coordsize="21600,21600" path="m2908,21600l18705,21600l18705,21600l19621,21052l19621,21052l20415,19499l20415,19499l21038,17170l21038,17170l21453,14202l21453,14202l21600,10823l21600,10823l21453,7398l21453,7398l21038,4430l21038,4430l20415,2101l20415,2101l19621,548l19621,548l18705,l18705,l2908,l2908,l1991,548l1991,548l1185,2101l1185,2101l562,4430l562,4430l147,7398l147,7398l,10823l,10823l147,14202l147,14202l562,17170l562,17170l1185,19499l1185,19499l1991,21052l1991,21052l2908,21600xe" filled="f" fillcolor="this" stroked="t" strokecolor="#404040" strokeweight="0.21pt">
                  <v:stroke joinstyle="round"/>
                </v:shape>
                <v:rect id="_x0000_s1033" style="width:3395;height:1133;left:15345;position:absolute;top:7015;v-text-anchor:top" fillcolor="#cdcdcd" stroked="f">
                  <v:fill opacity="32639f"/>
                </v:rect>
                <v:shape id="_x0000_s1034" type="#_x0000_t75" style="width:3395;height:1133;left:15276;position:absolute;top:6957" filled="f">
                  <v:imagedata r:id="rId31" o:title=""/>
                </v:shape>
                <v:shape id="_x0000_s1035" style="width:3395;height:1701;left:15345;position:absolute;top:9027;v-text-anchor:top" coordsize="21600,21600" path="m10791,l,10800l,10800l10791,21600l10791,21600l21582,10800l21582,10800l10791,xe" fillcolor="#cdcdcd" stroked="f">
                  <v:fill opacity="32639f"/>
                </v:shape>
                <v:shape id="_x0000_s1036" style="width:4056;height:1021;left:7445;position:absolute;top:12930;v-text-anchor:top" coordsize="21600,21600" path="m42088,-64648l51121,-82648m42088,-64648l42088,-64648m51121,-82648l60154,-64648e" filled="f" fillcolor="this" stroked="t" strokecolor="#cdcdcd" strokeweight="0.21pt">
                  <v:stroke joinstyle="round"/>
                </v:shape>
                <v:shape id="_x0000_s1037" type="#_x0000_t75" style="width:3395;height:1701;left:15276;position:absolute;top:8970" filled="f">
                  <v:imagedata r:id="rId32" o:title=""/>
                </v:shape>
                <v:shape id="_x0000_s1038" style="width:3395;height:1701;left:15276;position:absolute;top:8970;v-text-anchor:top" coordsize="21600,21600" path="m,10800l10809,l10809,l21600,10800l21600,10800l10809,21600l10809,21600l,10800xe" filled="f" fillcolor="this" stroked="t" strokecolor="#404040" strokeweight="0.21pt">
                  <v:stroke joinstyle="round"/>
                </v:shape>
                <v:rect id="_x0000_s1039" style="width:4754;height:1133;left:14667;position:absolute;top:11744;v-text-anchor:top" fillcolor="#cdcdcd" stroked="f">
                  <v:fill opacity="32639f"/>
                </v:rect>
                <v:shape id="_x0000_s1040" type="#_x0000_t75" style="width:4754;height:1133;left:14598;position:absolute;top:11686" filled="f">
                  <v:imagedata r:id="rId33" o:title=""/>
                </v:shape>
                <v:rect id="_x0000_s1041" style="width:4691;height:1133;left:14753;position:absolute;top:15393;v-text-anchor:top" fillcolor="#cdcdcd" stroked="f">
                  <v:fill opacity="32639f"/>
                </v:rect>
                <v:line id="_x0000_s1042" style="position:absolute;v-text-anchor:top" from="19443,15395" to="19443,15395" fillcolor="this" stroked="t" strokecolor="#cdcdcd" strokeweight="0.21pt">
                  <v:stroke joinstyle="round"/>
                </v:line>
                <v:shape id="_x0000_s1043" type="#_x0000_t75" style="width:4691;height:1133;left:14684;position:absolute;top:15335" filled="f">
                  <v:imagedata r:id="rId34" o:title=""/>
                </v:shape>
                <v:rect id="_x0000_s1044" style="width:4691;height:1133;left:14684;position:absolute;top:15335;v-text-anchor:top" filled="f" fillcolor="this" stroked="t" strokecolor="#404040" strokeweight="0.21pt"/>
                <v:rect id="_x0000_s1045" style="width:3936;height:1133;left:9373;position:absolute;top:9310;v-text-anchor:top" fillcolor="#cdcdcd" stroked="f">
                  <v:fill opacity="32639f"/>
                </v:rect>
                <v:shape id="_x0000_s1046" style="width:3936;height:1136;left:9373;position:absolute;top:9310;v-text-anchor:top" coordsize="21600,21600" path="m21600,l,l,l,21554e" filled="f" fillcolor="this" stroked="t" strokecolor="#cdcdcd" strokeweight="0.21pt">
                  <v:stroke joinstyle="round"/>
                </v:shape>
                <v:shape id="_x0000_s1047" type="#_x0000_t75" style="width:3936;height:1133;left:9304;position:absolute;top:9252" filled="f">
                  <v:imagedata r:id="rId35" o:title=""/>
                </v:shape>
                <v:shape id="_x0000_s1048" style="width:3395;height:1701;left:15345;position:absolute;top:17350;v-text-anchor:top" coordsize="21600,21600" path="m10791,l,10800l,10800l10791,21570l10791,21570l21582,10800l21582,10800l10791,xe" fillcolor="#cdcdcd" stroked="f">
                  <v:fill opacity="32639f"/>
                </v:shape>
                <v:shape id="_x0000_s1049" style="width:4056;height:1021;left:7445;position:absolute;top:22908;v-text-anchor:top" coordsize="21600,21600" path="m42088,-99583l51121,-117583m42088,-99583l42088,-99583m51121,-117583l60154,-99583e" filled="f" fillcolor="this" stroked="t" strokecolor="#cdcdcd" strokeweight="0.21pt">
                  <v:stroke joinstyle="round"/>
                </v:shape>
                <v:shape id="_x0000_s1050" type="#_x0000_t75" style="width:3395;height:1701;left:15276;position:absolute;top:17292" filled="f">
                  <v:imagedata r:id="rId32" o:title=""/>
                </v:shape>
                <v:shape id="_x0000_s1051" style="width:3395;height:1701;left:15276;position:absolute;top:17292;v-text-anchor:top" coordsize="21600,21600" path="m,10770l10809,l10809,l21600,10770l21600,10770l10809,21570l10809,21570l,10770xe" filled="f" fillcolor="this" stroked="t" strokecolor="#404040" strokeweight="0.21pt">
                  <v:stroke joinstyle="round"/>
                </v:shape>
                <v:rect id="_x0000_s1052" style="width:3395;height:1133;left:9916;position:absolute;top:17635;v-text-anchor:top" fillcolor="#cdcdcd" stroked="f">
                  <v:fill opacity="32639f"/>
                </v:rect>
                <v:shape id="_x0000_s1053" type="#_x0000_t75" style="width:3395;height:1133;left:9848;position:absolute;top:17578" filled="f">
                  <v:imagedata r:id="rId31" o:title=""/>
                </v:shape>
                <v:rect id="_x0000_s1054" style="width:3395;height:1133;left:15345;position:absolute;top:20184;v-text-anchor:top" fillcolor="#cdcdcd" stroked="f">
                  <v:fill opacity="32639f"/>
                </v:rect>
                <v:shape id="_x0000_s1055" type="#_x0000_t75" style="width:3395;height:1133;left:15276;position:absolute;top:20127" filled="f">
                  <v:imagedata r:id="rId31" o:title=""/>
                </v:shape>
                <v:rect id="_x0000_s1056" style="width:3395;height:1133;left:21017;position:absolute;top:17645;v-text-anchor:top" fillcolor="#cdcdcd" stroked="f">
                  <v:fill opacity="32639f"/>
                </v:rect>
                <v:shape id="_x0000_s1057" style="width:3395;height:1136;left:21017;position:absolute;top:17645;v-text-anchor:top" coordsize="21600,21600" path="m21600,l,l,l,21554e" filled="f" fillcolor="this" stroked="t" strokecolor="#cdcdcd" strokeweight="0.21pt">
                  <v:stroke joinstyle="round"/>
                </v:shape>
                <v:shape id="_x0000_s1058" type="#_x0000_t75" style="width:3395;height:1133;left:20948;position:absolute;top:17587" filled="f">
                  <v:imagedata r:id="rId31" o:title=""/>
                </v:shape>
                <v:rect id="_x0000_s1059" style="width:3913;height:1133;left:20773;position:absolute;top:15393;v-text-anchor:top" fillcolor="#cdcdcd" stroked="f">
                  <v:fill opacity="32639f"/>
                </v:rect>
                <v:shape id="_x0000_s1060" style="width:3913;height:1136;left:20773;position:absolute;top:15393;v-text-anchor:top" coordsize="21600,21600" path="m21584,l,l,l,21554e" filled="f" fillcolor="this" stroked="t" strokecolor="#cdcdcd" strokeweight="0.21pt">
                  <v:stroke joinstyle="round"/>
                </v:shape>
                <v:shape id="_x0000_s1061" type="#_x0000_t75" style="width:3913;height:1133;left:20705;position:absolute;top:15335" filled="f">
                  <v:imagedata r:id="rId35" o:title=""/>
                </v:shape>
                <v:shape id="_x0000_s1062" type="#_x0000_t75" style="width:338;height:970;left:16812;position:absolute;top:5987" filled="f">
                  <v:imagedata r:id="rId36" o:title=""/>
                </v:shape>
                <v:shape id="_x0000_s1063" type="#_x0000_t75" style="width:338;height:882;left:16803;position:absolute;top:8090" filled="f">
                  <v:imagedata r:id="rId37" o:title=""/>
                </v:shape>
                <v:shape id="_x0000_s1064" type="#_x0000_t75" style="width:386;height:1018;left:16781;position:absolute;top:10668" filled="f">
                  <v:imagedata r:id="rId38" o:title=""/>
                </v:shape>
                <v:line id="_x0000_s1065" style="position:absolute;v-text-anchor:top" from="16975,11373" to="16975,11476" fillcolor="this" stroked="t" strokecolor="#404040" strokeweight="0.84pt">
                  <v:stroke joinstyle="round"/>
                </v:line>
                <v:shape id="_x0000_s1066" type="#_x0000_t75" style="width:338;height:855;left:16832;position:absolute;top:16449" filled="f">
                  <v:imagedata r:id="rId39" o:title=""/>
                </v:shape>
                <v:rect id="_x0000_s1067" style="width:3395;height:1133;left:15345;position:absolute;top:22007;v-text-anchor:top" fillcolor="#cdcdcd" stroked="f">
                  <v:fill opacity="32639f"/>
                </v:rect>
                <v:shape id="_x0000_s1068" type="#_x0000_t75" style="width:3395;height:1133;left:15276;position:absolute;top:21950" filled="f">
                  <v:imagedata r:id="rId31" o:title=""/>
                </v:shape>
                <v:shape id="_x0000_s1069" type="#_x0000_t75" style="width:338;height:692;left:16803;position:absolute;top:21260" filled="f">
                  <v:imagedata r:id="rId40" o:title=""/>
                </v:shape>
                <v:rect id="_x0000_s1070" style="width:3395;height:1133;left:15345;position:absolute;top:23835;v-text-anchor:top" fillcolor="#cdcdcd" stroked="f">
                  <v:fill opacity="32639f"/>
                </v:rect>
                <v:shape id="_x0000_s1071" type="#_x0000_t75" style="width:3395;height:1133;left:15276;position:absolute;top:23778" filled="f">
                  <v:imagedata r:id="rId31" o:title=""/>
                </v:shape>
                <v:shape id="_x0000_s1072" type="#_x0000_t75" style="width:338;height:697;left:16803;position:absolute;top:23083" filled="f">
                  <v:imagedata r:id="rId41" o:title=""/>
                </v:shape>
                <v:shape id="_x0000_s1073" style="width:2076;height:5;left:18640;position:absolute;top:18148;v-text-anchor:top" coordsize="21600,21600" path="m14132,l21600,m,l10145,e" filled="f" fillcolor="this" stroked="t" strokecolor="#404040" strokeweight="0.91pt">
                  <v:stroke joinstyle="round"/>
                </v:shape>
                <v:shape id="_x0000_s1074" type="#_x0000_t75" style="width:338;height:283;left:20610;position:absolute;top:18009" filled="f">
                  <v:imagedata r:id="rId42" o:title=""/>
                </v:shape>
                <v:line id="_x0000_s1075" style="position:absolute;v-text-anchor:top" from="19807,17958" to="19807,18342" fillcolor="this" stroked="t" strokecolor="white" strokeweight="6.72pt">
                  <v:stroke joinstyle="round"/>
                </v:line>
                <v:shape id="_x0000_s1076" type="#_x0000_t75" style="width:338;height:1138;left:22492;position:absolute;top:16468" filled="f">
                  <v:imagedata r:id="rId43" o:title=""/>
                </v:shape>
                <v:shape id="_x0000_s1077" style="width:3678;height:781;left:17029;position:absolute;top:15124;v-text-anchor:top" coordsize="21600,21600" path="m21583,21534l20088,21534l20088,21534l20088,l20088,l,l,l,5897e" filled="f" fillcolor="this" stroked="t" strokecolor="#404040" strokeweight="0.83pt">
                  <v:stroke joinstyle="round"/>
                </v:shape>
                <v:shape id="_x0000_s1078" type="#_x0000_t75" style="width:338;height:283;left:16861;position:absolute;top:15055" filled="f">
                  <v:imagedata r:id="rId44" o:title=""/>
                </v:shape>
                <v:line id="_x0000_s1079" style="position:absolute;v-text-anchor:top" from="15276,18143" to="15276,18143" fillcolor="this" stroked="t" strokecolor="#404040" strokeweight="0.83pt">
                  <v:stroke joinstyle="round"/>
                </v:line>
                <v:shape id="_x0000_s1080" type="#_x0000_t75" style="width:338;height:283;left:13240;position:absolute;top:18002" filled="f">
                  <v:imagedata r:id="rId45" o:title=""/>
                </v:shape>
                <v:line id="_x0000_s1081" style="position:absolute;v-text-anchor:top" from="15276,9820" to="15276,9820" fillcolor="this" stroked="t" strokecolor="#404040" strokeweight="0.83pt">
                  <v:stroke joinstyle="round"/>
                </v:line>
                <v:shape id="_x0000_s1082" type="#_x0000_t75" style="width:338;height:283;left:13240;position:absolute;top:9679" filled="f">
                  <v:imagedata r:id="rId46" o:title=""/>
                </v:shape>
                <v:rect id="_x0000_s1083" style="width:3395;height:1133;left:20773;position:absolute;top:9310;v-text-anchor:top" fillcolor="#cdcdcd" stroked="f">
                  <v:fill opacity="32639f"/>
                </v:rect>
                <v:shape id="_x0000_s1084" style="width:3395;height:1136;left:20773;position:absolute;top:9310;v-text-anchor:top" coordsize="21600,21600" path="m21582,l,l,l,21554e" filled="f" fillcolor="this" stroked="t" strokecolor="#cdcdcd" strokeweight="0.21pt">
                  <v:stroke joinstyle="round"/>
                </v:shape>
                <v:shape id="_x0000_s1085" type="#_x0000_t75" style="width:3395;height:1133;left:20705;position:absolute;top:9252" filled="f">
                  <v:imagedata r:id="rId31" o:title=""/>
                </v:shape>
                <v:rect id="_x0000_s1086" style="width:3395;height:1133;left:20773;position:absolute;top:7015;v-text-anchor:top" fillcolor="#cdcdcd" stroked="f">
                  <v:fill opacity="32639f"/>
                </v:rect>
                <v:shape id="_x0000_s1087" style="width:3395;height:1136;left:20773;position:absolute;top:7015;v-text-anchor:top" coordsize="21600,21600" path="m21582,l,l,l,21554e" filled="f" fillcolor="this" stroked="t" strokecolor="#cdcdcd" strokeweight="0.21pt">
                  <v:stroke joinstyle="round"/>
                </v:shape>
                <v:shape id="_x0000_s1088" type="#_x0000_t75" style="width:3395;height:1133;left:20705;position:absolute;top:6957" filled="f">
                  <v:imagedata r:id="rId31" o:title=""/>
                </v:shape>
                <v:shape id="_x0000_s1089" style="width:1782;height:5;left:18668;position:absolute;top:9820;v-text-anchor:top" coordsize="21600,21600" path="m14666,l21600,m,l10020,e" filled="f" fillcolor="this" stroked="t" strokecolor="#404040" strokeweight="0.83pt">
                  <v:stroke joinstyle="round"/>
                </v:shape>
                <v:shape id="_x0000_s1090" type="#_x0000_t75" style="width:338;height:283;left:20367;position:absolute;top:9679" filled="f">
                  <v:imagedata r:id="rId47" o:title=""/>
                </v:shape>
                <v:line id="_x0000_s1091" style="position:absolute;v-text-anchor:top" from="19689,9628" to="19689,10012" fillcolor="this" stroked="t" strokecolor="white" strokeweight="6.72pt">
                  <v:stroke joinstyle="round"/>
                </v:line>
                <v:shape id="_x0000_s1092" type="#_x0000_t75" style="width:338;height:1164;left:22235;position:absolute;top:8090" filled="f">
                  <v:imagedata r:id="rId48" o:title=""/>
                </v:shape>
                <v:line id="_x0000_s1093" style="position:absolute;v-text-anchor:top" from="18671,7525" to="20453,7525" fillcolor="this" stroked="t" strokecolor="#404040" strokeweight="0.83pt">
                  <v:stroke joinstyle="round"/>
                </v:line>
                <v:shape id="_x0000_s1094" type="#_x0000_t75" style="width:338;height:283;left:20367;position:absolute;top:7381" filled="f">
                  <v:imagedata r:id="rId49" o:title=""/>
                </v:shape>
                <v:shape id="_x0000_s1095" style="width:6;height:942;left:16972;position:absolute;top:18993;v-text-anchor:top" coordsize="21600,21600" path="m,l,8629m,17423l,21545e" filled="f" fillcolor="this" stroked="t" strokecolor="black" strokeweight="0.21pt">
                  <v:stroke joinstyle="round"/>
                </v:shape>
                <v:shape id="_x0000_s1096" style="width:266;height:223;left:16841;position:absolute;top:19904;v-text-anchor:top" coordsize="21600,21600" path="m21600,l,l,l10916,21368l10916,21368l21600,xe" fillcolor="black" stroked="f"/>
                <v:line id="_x0000_s1097" style="position:absolute;v-text-anchor:top" from="16975,19370" to="16975,19753" fillcolor="this" stroked="t" strokecolor="white" strokeweight="6.72pt">
                  <v:stroke joinstyle="round"/>
                </v:line>
                <v:rect id="_x0000_s1098" style="width:4754;height:1133;left:14690;position:absolute;top:13579;v-text-anchor:top" fillcolor="#cdcdcd" stroked="f">
                  <v:fill opacity="32639f"/>
                </v:rect>
                <v:shape id="_x0000_s1099" type="#_x0000_t75" style="width:4754;height:1133;left:14621;position:absolute;top:13522" filled="f">
                  <v:imagedata r:id="rId33" o:title=""/>
                </v:shape>
                <v:shape id="_x0000_s1100" type="#_x0000_t75" style="width:338;height:721;left:16821;position:absolute;top:12800" filled="f">
                  <v:imagedata r:id="rId50" o:title=""/>
                </v:shape>
                <v:shape id="_x0000_s1101" type="#_x0000_t75" style="width:338;height:702;left:16849;position:absolute;top:14633" filled="f">
                  <v:imagedata r:id="rId51" o:title=""/>
                </v:shape>
                <v:shapetype id="_x0000_t202" coordsize="21600,21600" o:spt="202" path="m,l,21600r21600,l21600,xe">
                  <v:stroke joinstyle="miter"/>
                  <v:path gradientshapeok="t" o:connecttype="rect"/>
                </v:shapetype>
                <v:shape id="_x0000_s1102" type="#_x0000_t202" style="width:3518;height:482;left:15259;position:absolute;top:5172;v-text-anchor:top" filled="f" fillcolor="this" stroked="f">
                  <v:textbox inset="0,0,0,0">
                    <w:txbxContent>
                      <w:p w:rsidR="00014D42">
                        <w:pPr>
                          <w:spacing w:line="200" w:lineRule="exact"/>
                          <w:rPr>
                            <w:sz w:val="20"/>
                          </w:rPr>
                        </w:pPr>
                        <w:r>
                          <w:rPr>
                            <w:sz w:val="20"/>
                          </w:rPr>
                          <w:t>数据安全事件</w:t>
                        </w:r>
                      </w:p>
                    </w:txbxContent>
                  </v:textbox>
                </v:shape>
                <v:shape id="_x0000_s1103" type="#_x0000_t202" style="width:2362;height:482;left:15820;position:absolute;top:9552;v-text-anchor:top" filled="f" fillcolor="this" stroked="f">
                  <v:textbox inset="0,0,0,0">
                    <w:txbxContent>
                      <w:p w:rsidR="00014D42">
                        <w:pPr>
                          <w:spacing w:line="200" w:lineRule="exact"/>
                          <w:rPr>
                            <w:sz w:val="20"/>
                          </w:rPr>
                        </w:pPr>
                        <w:r>
                          <w:rPr>
                            <w:sz w:val="20"/>
                          </w:rPr>
                          <w:t>情况判断</w:t>
                        </w:r>
                      </w:p>
                    </w:txbxContent>
                  </v:textbox>
                </v:shape>
                <v:shape id="_x0000_s1104" type="#_x0000_t202" style="width:440;height:321;left:19495;position:absolute;top:9640;v-text-anchor:top" filled="f" fillcolor="this" stroked="f">
                  <v:textbox inset="0,0,0,0">
                    <w:txbxContent>
                      <w:p w:rsidR="00014D42">
                        <w:pPr>
                          <w:spacing w:line="133" w:lineRule="exact"/>
                          <w:rPr>
                            <w:sz w:val="13"/>
                          </w:rPr>
                        </w:pPr>
                        <w:r>
                          <w:rPr>
                            <w:w w:val="103"/>
                            <w:sz w:val="13"/>
                          </w:rPr>
                          <w:t>否</w:t>
                        </w:r>
                      </w:p>
                    </w:txbxContent>
                  </v:textbox>
                </v:shape>
                <v:shape id="_x0000_s1105" type="#_x0000_t202" style="width:440;height:321;left:16781;position:absolute;top:10999;v-text-anchor:top" filled="f" fillcolor="this" stroked="f">
                  <v:textbox inset="0,0,0,0">
                    <w:txbxContent>
                      <w:p w:rsidR="00014D42">
                        <w:pPr>
                          <w:spacing w:line="133" w:lineRule="exact"/>
                          <w:rPr>
                            <w:sz w:val="13"/>
                          </w:rPr>
                        </w:pPr>
                        <w:r>
                          <w:rPr>
                            <w:w w:val="103"/>
                            <w:sz w:val="13"/>
                          </w:rPr>
                          <w:t>是</w:t>
                        </w:r>
                      </w:p>
                    </w:txbxContent>
                  </v:textbox>
                </v:shape>
                <v:shape id="_x0000_s1106" type="#_x0000_t202" style="width:3518;height:482;left:15299;position:absolute;top:15635;v-text-anchor:top" filled="f" fillcolor="this" stroked="f">
                  <v:textbox inset="0,0,0,0">
                    <w:txbxContent>
                      <w:p w:rsidR="00014D42">
                        <w:pPr>
                          <w:spacing w:line="200" w:lineRule="exact"/>
                          <w:rPr>
                            <w:sz w:val="20"/>
                          </w:rPr>
                        </w:pPr>
                        <w:r>
                          <w:rPr>
                            <w:sz w:val="20"/>
                          </w:rPr>
                          <w:t>应急响应处置</w:t>
                        </w:r>
                      </w:p>
                    </w:txbxContent>
                  </v:textbox>
                </v:shape>
                <v:shape id="_x0000_s1107" type="#_x0000_t202" style="width:2362;height:482;left:15820;position:absolute;top:17875;v-text-anchor:top" filled="f" fillcolor="this" stroked="f">
                  <v:textbox inset="0,0,0,0">
                    <w:txbxContent>
                      <w:p w:rsidR="00014D42">
                        <w:pPr>
                          <w:spacing w:line="200" w:lineRule="exact"/>
                          <w:rPr>
                            <w:sz w:val="20"/>
                          </w:rPr>
                        </w:pPr>
                        <w:r>
                          <w:rPr>
                            <w:sz w:val="20"/>
                          </w:rPr>
                          <w:t>事态控制</w:t>
                        </w:r>
                      </w:p>
                    </w:txbxContent>
                  </v:textbox>
                </v:shape>
                <v:shape id="_x0000_s1108" type="#_x0000_t202" style="width:440;height:321;left:19612;position:absolute;top:17968;v-text-anchor:top" filled="f" fillcolor="this" stroked="f">
                  <v:textbox inset="0,0,0,0">
                    <w:txbxContent>
                      <w:p w:rsidR="00014D42">
                        <w:pPr>
                          <w:spacing w:line="133" w:lineRule="exact"/>
                          <w:rPr>
                            <w:sz w:val="13"/>
                          </w:rPr>
                        </w:pPr>
                        <w:r>
                          <w:rPr>
                            <w:w w:val="103"/>
                            <w:sz w:val="13"/>
                          </w:rPr>
                          <w:t>否</w:t>
                        </w:r>
                      </w:p>
                    </w:txbxContent>
                  </v:textbox>
                </v:shape>
                <v:shape id="_x0000_s1109" type="#_x0000_t202" style="width:440;height:321;left:16781;position:absolute;top:19382;v-text-anchor:top" filled="f" fillcolor="this" stroked="f">
                  <v:textbox inset="0,0,0,0">
                    <w:txbxContent>
                      <w:p w:rsidR="00014D42">
                        <w:pPr>
                          <w:spacing w:line="133" w:lineRule="exact"/>
                          <w:rPr>
                            <w:sz w:val="13"/>
                          </w:rPr>
                        </w:pPr>
                        <w:r>
                          <w:rPr>
                            <w:w w:val="103"/>
                            <w:sz w:val="13"/>
                          </w:rPr>
                          <w:t>是</w:t>
                        </w:r>
                      </w:p>
                    </w:txbxContent>
                  </v:textbox>
                </v:shape>
                <v:shape id="_x0000_s1110" type="#_x0000_t202" style="width:3913;height:1133;left:20705;position:absolute;top:15335;v-text-anchor:top" filled="f" fillcolor="this" stroked="t" strokecolor="#404040" strokeweight="0.21pt">
                  <v:textbox inset="0,0,0,0">
                    <w:txbxContent>
                      <w:p w:rsidR="00014D42">
                        <w:pPr>
                          <w:spacing w:before="94"/>
                          <w:ind w:left="76"/>
                          <w:rPr>
                            <w:sz w:val="20"/>
                          </w:rPr>
                        </w:pPr>
                        <w:r>
                          <w:rPr>
                            <w:sz w:val="20"/>
                          </w:rPr>
                          <w:t>事件级别调整</w:t>
                        </w:r>
                      </w:p>
                    </w:txbxContent>
                  </v:textbox>
                </v:shape>
                <v:shape id="_x0000_s1111" type="#_x0000_t202" style="width:3395;height:1133;left:15276;position:absolute;top:6957;v-text-anchor:top" filled="f" fillcolor="this" stroked="t" strokecolor="#404040" strokeweight="0.21pt">
                  <v:textbox inset="0,0,0,0">
                    <w:txbxContent>
                      <w:p w:rsidR="00014D42">
                        <w:pPr>
                          <w:spacing w:before="94"/>
                          <w:ind w:left="187"/>
                          <w:rPr>
                            <w:sz w:val="20"/>
                          </w:rPr>
                        </w:pPr>
                        <w:r>
                          <w:rPr>
                            <w:sz w:val="20"/>
                          </w:rPr>
                          <w:t>事件监测</w:t>
                        </w:r>
                      </w:p>
                    </w:txbxContent>
                  </v:textbox>
                </v:shape>
                <v:shape id="_x0000_s1112" type="#_x0000_t202" style="width:3395;height:1133;left:15276;position:absolute;top:23778;v-text-anchor:top" filled="f" fillcolor="this" stroked="t" strokecolor="#404040" strokeweight="0.21pt">
                  <v:textbox inset="0,0,0,0">
                    <w:txbxContent>
                      <w:p w:rsidR="00014D42">
                        <w:pPr>
                          <w:spacing w:before="94"/>
                          <w:ind w:left="187"/>
                          <w:rPr>
                            <w:sz w:val="20"/>
                          </w:rPr>
                        </w:pPr>
                        <w:r>
                          <w:rPr>
                            <w:sz w:val="20"/>
                          </w:rPr>
                          <w:t>后续处置</w:t>
                        </w:r>
                      </w:p>
                    </w:txbxContent>
                  </v:textbox>
                </v:shape>
                <v:shape id="_x0000_s1113" type="#_x0000_t202" style="width:3395;height:1133;left:15276;position:absolute;top:21950;v-text-anchor:top" filled="f" fillcolor="this" stroked="t" strokecolor="#404040" strokeweight="0.21pt">
                  <v:textbox inset="0,0,0,0">
                    <w:txbxContent>
                      <w:p w:rsidR="00014D42">
                        <w:pPr>
                          <w:spacing w:before="94"/>
                          <w:ind w:left="187"/>
                          <w:rPr>
                            <w:sz w:val="20"/>
                          </w:rPr>
                        </w:pPr>
                        <w:r>
                          <w:rPr>
                            <w:sz w:val="20"/>
                          </w:rPr>
                          <w:t>结束响应</w:t>
                        </w:r>
                      </w:p>
                    </w:txbxContent>
                  </v:textbox>
                </v:shape>
                <v:shape id="_x0000_s1114" type="#_x0000_t202" style="width:3395;height:1133;left:15276;position:absolute;top:20127;v-text-anchor:top" filled="f" fillcolor="this" stroked="t" strokecolor="#404040" strokeweight="0.21pt">
                  <v:textbox inset="0,0,0,0">
                    <w:txbxContent>
                      <w:p w:rsidR="00014D42">
                        <w:pPr>
                          <w:spacing w:before="94"/>
                          <w:ind w:left="187"/>
                          <w:rPr>
                            <w:sz w:val="20"/>
                          </w:rPr>
                        </w:pPr>
                        <w:r>
                          <w:rPr>
                            <w:sz w:val="20"/>
                          </w:rPr>
                          <w:t>应急恢复</w:t>
                        </w:r>
                      </w:p>
                    </w:txbxContent>
                  </v:textbox>
                </v:shape>
                <v:shape id="_x0000_s1115" type="#_x0000_t202" style="width:3395;height:1133;left:20948;position:absolute;top:17587;v-text-anchor:top" filled="f" fillcolor="this" stroked="t" strokecolor="#404040" strokeweight="0.21pt">
                  <v:textbox inset="0,0,0,0">
                    <w:txbxContent>
                      <w:p w:rsidR="00014D42">
                        <w:pPr>
                          <w:spacing w:before="94"/>
                          <w:ind w:left="187"/>
                          <w:rPr>
                            <w:sz w:val="20"/>
                          </w:rPr>
                        </w:pPr>
                        <w:r>
                          <w:rPr>
                            <w:sz w:val="20"/>
                          </w:rPr>
                          <w:t>事件评估</w:t>
                        </w:r>
                      </w:p>
                    </w:txbxContent>
                  </v:textbox>
                </v:shape>
                <v:shape id="_x0000_s1116" type="#_x0000_t202" style="width:3395;height:1133;left:9848;position:absolute;top:17578;v-text-anchor:top" filled="f" fillcolor="this" stroked="t" strokecolor="#404040" strokeweight="0.21pt">
                  <v:textbox inset="0,0,0,0">
                    <w:txbxContent>
                      <w:p w:rsidR="00014D42">
                        <w:pPr>
                          <w:spacing w:before="94"/>
                          <w:ind w:left="187"/>
                          <w:rPr>
                            <w:sz w:val="20"/>
                          </w:rPr>
                        </w:pPr>
                        <w:r>
                          <w:rPr>
                            <w:sz w:val="20"/>
                          </w:rPr>
                          <w:t>媒体沟通</w:t>
                        </w:r>
                      </w:p>
                    </w:txbxContent>
                  </v:textbox>
                </v:shape>
                <v:shape id="_x0000_s1117" type="#_x0000_t202" style="width:4754;height:1133;left:14621;position:absolute;top:13522;v-text-anchor:top" filled="f" fillcolor="this" stroked="t" strokecolor="#404040" strokeweight="0.21pt">
                  <v:textbox inset="0,0,0,0">
                    <w:txbxContent>
                      <w:p w:rsidR="00014D42">
                        <w:pPr>
                          <w:spacing w:before="94"/>
                          <w:ind w:left="223"/>
                          <w:rPr>
                            <w:sz w:val="20"/>
                          </w:rPr>
                        </w:pPr>
                        <w:r>
                          <w:rPr>
                            <w:sz w:val="20"/>
                          </w:rPr>
                          <w:t>启动应急预案</w:t>
                        </w:r>
                      </w:p>
                    </w:txbxContent>
                  </v:textbox>
                </v:shape>
                <v:shape id="_x0000_s1118" type="#_x0000_t202" style="width:4754;height:1133;left:14598;position:absolute;top:11686;v-text-anchor:top" filled="f" fillcolor="this" stroked="t" strokecolor="#404040" strokeweight="0.21pt">
                  <v:textbox inset="0,0,0,0">
                    <w:txbxContent>
                      <w:p w:rsidR="00014D42">
                        <w:pPr>
                          <w:spacing w:before="94"/>
                          <w:ind w:left="425"/>
                          <w:rPr>
                            <w:sz w:val="20"/>
                          </w:rPr>
                        </w:pPr>
                        <w:r>
                          <w:rPr>
                            <w:sz w:val="20"/>
                          </w:rPr>
                          <w:t>预警分级</w:t>
                        </w:r>
                      </w:p>
                    </w:txbxContent>
                  </v:textbox>
                </v:shape>
                <v:shape id="_x0000_s1119" type="#_x0000_t202" style="width:3395;height:1133;left:20705;position:absolute;top:9252;v-text-anchor:top" filled="f" fillcolor="this" stroked="t" strokecolor="#404040" strokeweight="0.21pt">
                  <v:textbox inset="0,0,0,0">
                    <w:txbxContent>
                      <w:p w:rsidR="00014D42">
                        <w:pPr>
                          <w:spacing w:before="94"/>
                          <w:ind w:left="389"/>
                          <w:rPr>
                            <w:sz w:val="20"/>
                          </w:rPr>
                        </w:pPr>
                        <w:r>
                          <w:rPr>
                            <w:sz w:val="20"/>
                          </w:rPr>
                          <w:t>驳回</w:t>
                        </w:r>
                      </w:p>
                    </w:txbxContent>
                  </v:textbox>
                </v:shape>
                <v:shape id="_x0000_s1120" type="#_x0000_t202" style="width:3936;height:1133;left:9304;position:absolute;top:9252;v-text-anchor:top" filled="f" fillcolor="this" stroked="t" strokecolor="#404040" strokeweight="0.21pt">
                  <v:textbox inset="0,0,0,0">
                    <w:txbxContent>
                      <w:p w:rsidR="00014D42">
                        <w:pPr>
                          <w:spacing w:before="94"/>
                          <w:ind w:left="181"/>
                          <w:rPr>
                            <w:sz w:val="20"/>
                          </w:rPr>
                        </w:pPr>
                        <w:r>
                          <w:rPr>
                            <w:sz w:val="20"/>
                          </w:rPr>
                          <w:t>告警与通告</w:t>
                        </w:r>
                      </w:p>
                    </w:txbxContent>
                  </v:textbox>
                </v:shape>
                <v:shape id="_x0000_s1121" type="#_x0000_t202" style="width:3395;height:1133;left:20705;position:absolute;top:6957;v-text-anchor:top" filled="f" fillcolor="this" stroked="t" strokecolor="#404040" strokeweight="0.21pt">
                  <v:textbox inset="0,0,0,0">
                    <w:txbxContent>
                      <w:p w:rsidR="00014D42">
                        <w:pPr>
                          <w:spacing w:before="94"/>
                          <w:ind w:left="187"/>
                          <w:rPr>
                            <w:sz w:val="20"/>
                          </w:rPr>
                        </w:pPr>
                        <w:r>
                          <w:rPr>
                            <w:sz w:val="20"/>
                          </w:rPr>
                          <w:t>信息反馈</w:t>
                        </w:r>
                      </w:p>
                    </w:txbxContent>
                  </v:textbox>
                </v:shape>
              </v:group>
            </w:pict>
          </mc:Fallback>
        </mc:AlternateContent>
      </w:r>
    </w:p>
    <w:p w:rsidR="00014D42">
      <w:pPr>
        <w:spacing w:line="360" w:lineRule="auto"/>
        <w:ind w:firstLine="480" w:firstLineChars="200"/>
        <w:jc w:val="center"/>
        <w:rPr>
          <w:rFonts w:ascii="仿宋_GB2312" w:eastAsia="仿宋_GB2312" w:hAnsi="Arial"/>
          <w:sz w:val="24"/>
        </w:rPr>
      </w:pPr>
      <w:r>
        <w:rPr>
          <w:rFonts w:ascii="仿宋_GB2312" w:eastAsia="仿宋_GB2312" w:hAnsi="Arial" w:hint="eastAsia"/>
          <w:sz w:val="24"/>
        </w:rPr>
        <w:t>图</w:t>
      </w:r>
      <w:r>
        <w:rPr>
          <w:rFonts w:ascii="仿宋_GB2312" w:eastAsia="仿宋_GB2312" w:hAnsi="Arial" w:hint="eastAsia"/>
          <w:sz w:val="24"/>
        </w:rPr>
        <w:t>6-1</w:t>
      </w:r>
      <w:r>
        <w:rPr>
          <w:rFonts w:ascii="仿宋_GB2312" w:eastAsia="仿宋_GB2312" w:hAnsi="Arial" w:hint="eastAsia"/>
          <w:sz w:val="24"/>
        </w:rPr>
        <w:t>应急响应实施流程</w:t>
      </w:r>
    </w:p>
    <w:p w:rsidR="00014D42">
      <w:pPr>
        <w:spacing w:line="360" w:lineRule="auto"/>
        <w:ind w:firstLine="600" w:firstLineChars="200"/>
        <w:jc w:val="center"/>
        <w:rPr>
          <w:rFonts w:ascii="仿宋_GB2312" w:eastAsia="仿宋_GB2312" w:hAnsi="Arial"/>
          <w:sz w:val="30"/>
          <w:szCs w:val="30"/>
        </w:rPr>
      </w:pPr>
    </w:p>
    <w:p w:rsidR="00014D42">
      <w:pPr>
        <w:pStyle w:val="Heading2"/>
        <w:numPr>
          <w:ilvl w:val="0"/>
          <w:numId w:val="0"/>
        </w:numPr>
        <w:spacing w:before="0" w:after="0" w:line="560" w:lineRule="exact"/>
        <w:rPr>
          <w:rFonts w:ascii="楷体_GB2312" w:eastAsia="楷体_GB2312"/>
          <w:b w:val="0"/>
          <w:bCs w:val="0"/>
        </w:rPr>
      </w:pPr>
      <w:bookmarkStart w:id="62" w:name="_Toc18941459"/>
      <w:r>
        <w:rPr>
          <w:rFonts w:ascii="楷体_GB2312" w:eastAsia="楷体_GB2312" w:hint="eastAsia"/>
          <w:b w:val="0"/>
          <w:bCs w:val="0"/>
        </w:rPr>
        <w:t>6.1</w:t>
      </w:r>
      <w:r>
        <w:rPr>
          <w:rFonts w:ascii="楷体_GB2312" w:eastAsia="楷体_GB2312" w:hint="eastAsia"/>
          <w:b w:val="0"/>
          <w:bCs w:val="0"/>
        </w:rPr>
        <w:t>日常监测</w:t>
      </w:r>
      <w:bookmarkEnd w:id="62"/>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信息安全管理部统筹考虑，建立必要的数据安全保障平台，逐步实现对本单位数据业务相关平台系统运行和数据业务运营的安全监控和防护。</w:t>
      </w:r>
    </w:p>
    <w:p w:rsidR="00014D42">
      <w:pPr>
        <w:spacing w:line="560" w:lineRule="exact"/>
        <w:ind w:firstLine="600" w:firstLineChars="200"/>
        <w:rPr>
          <w:rFonts w:ascii="仿宋_GB2312" w:eastAsia="仿宋_GB2312" w:hAnsi="Arial"/>
          <w:sz w:val="30"/>
          <w:szCs w:val="30"/>
        </w:rPr>
        <w:sectPr>
          <w:headerReference w:type="default" r:id="rId52"/>
          <w:type w:val="nextPage"/>
          <w:pgSz w:w="11906" w:h="16838"/>
          <w:pgMar w:top="1440" w:right="1558" w:bottom="1440" w:left="1800" w:header="851" w:footer="992" w:gutter="0"/>
          <w:pgNumType w:start="21"/>
          <w:cols w:space="425"/>
          <w:titlePg w:val="0"/>
          <w:docGrid w:type="lines" w:linePitch="312"/>
        </w:sectPr>
      </w:pPr>
      <w:r>
        <w:rPr>
          <w:rFonts w:ascii="仿宋_GB2312" w:eastAsia="仿宋_GB2312" w:hAnsi="Arial" w:hint="eastAsia"/>
          <w:sz w:val="30"/>
          <w:szCs w:val="30"/>
        </w:rPr>
        <w:t>各级信息安全管理人员应认真落实数据安全日常监测机制，对可能引发数据安全事件的行为进行预警，并及时向数据安全管</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理责任部门上报。</w:t>
      </w:r>
    </w:p>
    <w:p w:rsidR="00014D42">
      <w:pPr>
        <w:pStyle w:val="Heading2"/>
        <w:numPr>
          <w:ilvl w:val="0"/>
          <w:numId w:val="0"/>
        </w:numPr>
        <w:spacing w:before="0" w:after="0" w:line="560" w:lineRule="exact"/>
        <w:rPr>
          <w:rFonts w:ascii="楷体_GB2312" w:eastAsia="楷体_GB2312"/>
          <w:b w:val="0"/>
          <w:bCs w:val="0"/>
        </w:rPr>
      </w:pPr>
      <w:bookmarkStart w:id="63" w:name="_Toc18941460"/>
      <w:r>
        <w:rPr>
          <w:rFonts w:ascii="楷体_GB2312" w:eastAsia="楷体_GB2312" w:hint="eastAsia"/>
          <w:b w:val="0"/>
          <w:bCs w:val="0"/>
        </w:rPr>
        <w:t>6.2</w:t>
      </w:r>
      <w:r>
        <w:rPr>
          <w:rFonts w:ascii="楷体_GB2312" w:eastAsia="楷体_GB2312" w:hint="eastAsia"/>
          <w:b w:val="0"/>
          <w:bCs w:val="0"/>
        </w:rPr>
        <w:t>事件监测</w:t>
      </w:r>
      <w:bookmarkEnd w:id="63"/>
    </w:p>
    <w:p w:rsidR="00014D42">
      <w:pPr>
        <w:pStyle w:val="Heading3"/>
        <w:numPr>
          <w:ilvl w:val="0"/>
          <w:numId w:val="0"/>
        </w:numPr>
        <w:spacing w:before="0" w:after="0" w:line="560" w:lineRule="exact"/>
        <w:rPr>
          <w:rFonts w:ascii="仿宋_GB2312" w:eastAsia="仿宋_GB2312"/>
        </w:rPr>
      </w:pPr>
      <w:bookmarkStart w:id="64" w:name="_Toc18941461"/>
      <w:r>
        <w:rPr>
          <w:rFonts w:ascii="仿宋_GB2312" w:eastAsia="仿宋_GB2312" w:hint="eastAsia"/>
        </w:rPr>
        <w:t>6.2.1</w:t>
      </w:r>
      <w:r>
        <w:rPr>
          <w:rFonts w:ascii="仿宋_GB2312" w:eastAsia="仿宋_GB2312" w:hint="eastAsia"/>
        </w:rPr>
        <w:t>信息通报</w:t>
      </w:r>
      <w:bookmarkEnd w:id="64"/>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在数据安全事件发生后，应通知省公司相关部门</w:t>
      </w:r>
      <w:r>
        <w:rPr>
          <w:rFonts w:ascii="仿宋_GB2312" w:eastAsia="仿宋_GB2312" w:hAnsi="Arial" w:hint="eastAsia"/>
          <w:sz w:val="30"/>
          <w:szCs w:val="30"/>
        </w:rPr>
        <w:t>/</w:t>
      </w:r>
      <w:r>
        <w:rPr>
          <w:rFonts w:ascii="仿宋_GB2312" w:eastAsia="仿宋_GB2312" w:hAnsi="Arial" w:hint="eastAsia"/>
          <w:sz w:val="30"/>
          <w:szCs w:val="30"/>
        </w:rPr>
        <w:t>中心及地市分公司，使其能够确定事态的严重程度和下一步将要采取的行动。在损害评估完成后，应通知应急保障领导办公室。可以通过各种方法完成通知，包括固定电话、</w:t>
      </w:r>
      <w:r>
        <w:rPr>
          <w:rFonts w:ascii="仿宋_GB2312" w:eastAsia="仿宋_GB2312" w:hAnsi="Arial" w:hint="eastAsia"/>
          <w:sz w:val="30"/>
          <w:szCs w:val="30"/>
        </w:rPr>
        <w:t>XXX</w:t>
      </w:r>
      <w:r>
        <w:rPr>
          <w:rFonts w:ascii="仿宋_GB2312" w:eastAsia="仿宋_GB2312" w:hAnsi="Arial" w:hint="eastAsia"/>
          <w:sz w:val="30"/>
          <w:szCs w:val="30"/>
        </w:rPr>
        <w:t>电话和电子邮件等。由于电子邮件无法确定能否得到有效回复，所以建议谨慎使用电子邮件发送通知。</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数据安全事件发生后，应将相关信息及时通报给受到负面影响的外部机构、互联的单位系统以及重要用户，同时根据应急响应的需要，应将相关信息准确通报给相关设备设施及服务提供商（包括电力等），以获得适当的应急</w:t>
      </w:r>
      <w:r>
        <w:rPr>
          <w:rFonts w:ascii="仿宋_GB2312" w:eastAsia="仿宋_GB2312" w:hAnsi="Arial" w:hint="eastAsia"/>
          <w:sz w:val="30"/>
          <w:szCs w:val="30"/>
        </w:rPr>
        <w:t>响应支持。对外信息通报应符合组织的对外信息发布策略。</w:t>
      </w:r>
    </w:p>
    <w:p w:rsidR="00014D42">
      <w:pPr>
        <w:pStyle w:val="Heading3"/>
        <w:numPr>
          <w:ilvl w:val="0"/>
          <w:numId w:val="0"/>
        </w:numPr>
        <w:spacing w:before="0" w:after="0" w:line="560" w:lineRule="exact"/>
        <w:rPr>
          <w:rFonts w:ascii="仿宋_GB2312" w:eastAsia="仿宋_GB2312"/>
        </w:rPr>
      </w:pPr>
      <w:bookmarkStart w:id="65" w:name="_Toc18941462"/>
      <w:r>
        <w:rPr>
          <w:rFonts w:ascii="仿宋_GB2312" w:eastAsia="仿宋_GB2312" w:hint="eastAsia"/>
        </w:rPr>
        <w:t>6.2.2</w:t>
      </w:r>
      <w:r>
        <w:rPr>
          <w:rFonts w:ascii="仿宋_GB2312" w:eastAsia="仿宋_GB2312" w:hint="eastAsia"/>
        </w:rPr>
        <w:t>信息上报</w:t>
      </w:r>
      <w:bookmarkEnd w:id="65"/>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数据安全事件发生后，应按照相关规定和要求，由应急保障领导办公室及时将情况上报相关主管或监管单位／部门。特别重大、重大数据安全事件，应立即报送上级有关单位或部门。</w:t>
      </w:r>
    </w:p>
    <w:p w:rsidR="00014D42">
      <w:pPr>
        <w:pStyle w:val="Heading3"/>
        <w:numPr>
          <w:ilvl w:val="0"/>
          <w:numId w:val="0"/>
        </w:numPr>
        <w:spacing w:before="0" w:after="0" w:line="560" w:lineRule="exact"/>
        <w:rPr>
          <w:rFonts w:ascii="仿宋_GB2312" w:eastAsia="仿宋_GB2312"/>
        </w:rPr>
      </w:pPr>
      <w:bookmarkStart w:id="66" w:name="_Toc18941463"/>
      <w:r>
        <w:rPr>
          <w:rFonts w:ascii="仿宋_GB2312" w:eastAsia="仿宋_GB2312" w:hint="eastAsia"/>
        </w:rPr>
        <w:t>6.2.3</w:t>
      </w:r>
      <w:r>
        <w:rPr>
          <w:rFonts w:ascii="仿宋_GB2312" w:eastAsia="仿宋_GB2312" w:hint="eastAsia"/>
        </w:rPr>
        <w:t>信息披露</w:t>
      </w:r>
      <w:bookmarkEnd w:id="66"/>
    </w:p>
    <w:p w:rsidR="00014D42">
      <w:pPr>
        <w:spacing w:line="560" w:lineRule="exact"/>
        <w:ind w:firstLine="600" w:firstLineChars="200"/>
        <w:rPr>
          <w:rFonts w:ascii="仿宋_GB2312" w:eastAsia="仿宋_GB2312" w:hAnsi="Arial"/>
          <w:sz w:val="30"/>
          <w:szCs w:val="30"/>
        </w:rPr>
        <w:sectPr>
          <w:headerReference w:type="default" r:id="rId53"/>
          <w:type w:val="nextPage"/>
          <w:pgSz w:w="11906" w:h="16838"/>
          <w:pgMar w:top="1440" w:right="1558" w:bottom="1440" w:left="1800" w:header="851" w:footer="992" w:gutter="0"/>
          <w:pgNumType w:start="22"/>
          <w:cols w:space="425"/>
          <w:titlePg w:val="0"/>
          <w:docGrid w:type="lines" w:linePitch="312"/>
        </w:sectPr>
      </w:pPr>
      <w:r>
        <w:rPr>
          <w:rFonts w:ascii="仿宋_GB2312" w:eastAsia="仿宋_GB2312" w:hAnsi="Arial" w:hint="eastAsia"/>
          <w:sz w:val="30"/>
          <w:szCs w:val="30"/>
        </w:rPr>
        <w:t>数据安全事件发生后，根据事件的严重程度，由应急保障领导办公室及时向新闻媒体发布相关信息，应急保障领导办公室应严格按照公司相关规定和要求对外发布信息，同时公司内其他部门或者个人不得随意接受新闻媒体采访或对外发表自己的看法。</w:t>
      </w:r>
    </w:p>
    <w:p w:rsidR="00014D42">
      <w:pPr>
        <w:pStyle w:val="Heading2"/>
        <w:numPr>
          <w:ilvl w:val="0"/>
          <w:numId w:val="0"/>
        </w:numPr>
        <w:spacing w:before="0" w:after="0" w:line="560" w:lineRule="exact"/>
        <w:rPr>
          <w:rFonts w:ascii="楷体_GB2312" w:eastAsia="楷体_GB2312"/>
          <w:b w:val="0"/>
          <w:bCs w:val="0"/>
        </w:rPr>
      </w:pPr>
      <w:bookmarkStart w:id="67" w:name="_Toc18941464"/>
      <w:r>
        <w:rPr>
          <w:rFonts w:ascii="楷体_GB2312" w:eastAsia="楷体_GB2312" w:hint="eastAsia"/>
          <w:b w:val="0"/>
          <w:bCs w:val="0"/>
        </w:rPr>
        <w:t>6.3</w:t>
      </w:r>
      <w:r>
        <w:rPr>
          <w:rFonts w:ascii="楷体_GB2312" w:eastAsia="楷体_GB2312" w:hint="eastAsia"/>
          <w:b w:val="0"/>
          <w:bCs w:val="0"/>
        </w:rPr>
        <w:t>预警分级</w:t>
      </w:r>
      <w:bookmarkEnd w:id="67"/>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建立数据安全突发事</w:t>
      </w:r>
      <w:r>
        <w:rPr>
          <w:rFonts w:ascii="仿宋_GB2312" w:eastAsia="仿宋_GB2312" w:hAnsi="Arial" w:hint="eastAsia"/>
          <w:sz w:val="30"/>
          <w:szCs w:val="30"/>
        </w:rPr>
        <w:t>件预警制度，数据安全事件发生后，应急响应实施小组对数据安全事件进行评估，按照紧急程度、发展态势和可能造成的危害程度，将数据安全事件预警等级分为四级：由高到低依次用红色、橙色、黄色和蓝色标示，分别对应可能发生特别重大、重大、较大和一般数据安全事件。</w:t>
      </w:r>
    </w:p>
    <w:p w:rsidR="00014D42">
      <w:pPr>
        <w:pStyle w:val="Heading2"/>
        <w:numPr>
          <w:ilvl w:val="0"/>
          <w:numId w:val="0"/>
        </w:numPr>
        <w:spacing w:before="0" w:after="0" w:line="560" w:lineRule="exact"/>
        <w:rPr>
          <w:rFonts w:ascii="楷体_GB2312" w:eastAsia="楷体_GB2312"/>
          <w:b w:val="0"/>
          <w:bCs w:val="0"/>
        </w:rPr>
      </w:pPr>
      <w:bookmarkStart w:id="68" w:name="_Toc18941465"/>
      <w:r>
        <w:rPr>
          <w:rFonts w:ascii="楷体_GB2312" w:eastAsia="楷体_GB2312" w:hint="eastAsia"/>
          <w:b w:val="0"/>
          <w:bCs w:val="0"/>
        </w:rPr>
        <w:t>6.4</w:t>
      </w:r>
      <w:r>
        <w:rPr>
          <w:rFonts w:ascii="楷体_GB2312" w:eastAsia="楷体_GB2312" w:hint="eastAsia"/>
          <w:b w:val="0"/>
          <w:bCs w:val="0"/>
        </w:rPr>
        <w:t>应急启动</w:t>
      </w:r>
      <w:bookmarkEnd w:id="68"/>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应急启动具体操作遵循如下规则：</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1.</w:t>
      </w:r>
      <w:r>
        <w:rPr>
          <w:rFonts w:ascii="仿宋_GB2312" w:eastAsia="仿宋_GB2312" w:hAnsi="Arial" w:hint="eastAsia"/>
          <w:sz w:val="30"/>
          <w:szCs w:val="30"/>
        </w:rPr>
        <w:t>启动原则</w:t>
      </w:r>
      <w:r>
        <w:rPr>
          <w:rFonts w:ascii="仿宋_GB2312" w:eastAsia="仿宋_GB2312" w:hAnsi="Arial" w:hint="eastAsia"/>
          <w:sz w:val="30"/>
          <w:szCs w:val="30"/>
        </w:rPr>
        <w:t>--</w:t>
      </w:r>
      <w:r>
        <w:rPr>
          <w:rFonts w:ascii="仿宋_GB2312" w:eastAsia="仿宋_GB2312" w:hAnsi="Arial" w:hint="eastAsia"/>
          <w:sz w:val="30"/>
          <w:szCs w:val="30"/>
        </w:rPr>
        <w:t>数据安全事件应急工作应在响应时限要求内快速、有序启动。响应时限指的是数据安全事件单从提交到“处理中”经过的时间，不同优先级的事件具有不同的响应时限要求，应该优先处理优先级较高的事件：</w:t>
      </w:r>
    </w:p>
    <w:tbl>
      <w:tblPr>
        <w:tblStyle w:val="TableNormal00"/>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19"/>
        <w:gridCol w:w="4779"/>
      </w:tblGrid>
      <w:tr>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67"/>
        </w:trPr>
        <w:tc>
          <w:tcPr>
            <w:tcW w:w="3519" w:type="dxa"/>
            <w:shd w:val="clear" w:color="auto" w:fill="F1F1F1"/>
            <w:vAlign w:val="center"/>
          </w:tcPr>
          <w:p w:rsidR="00014D42">
            <w:pPr>
              <w:pStyle w:val="TableParagraph"/>
              <w:spacing w:before="171" w:line="277" w:lineRule="exact"/>
              <w:ind w:right="860"/>
              <w:jc w:val="center"/>
              <w:rPr>
                <w:rFonts w:ascii="仿宋_GB2312" w:eastAsia="仿宋_GB2312"/>
                <w:sz w:val="24"/>
                <w:szCs w:val="24"/>
              </w:rPr>
            </w:pPr>
            <w:r>
              <w:rPr>
                <w:rFonts w:ascii="仿宋_GB2312" w:eastAsia="仿宋_GB2312" w:hint="eastAsia"/>
                <w:sz w:val="24"/>
                <w:szCs w:val="24"/>
              </w:rPr>
              <w:t>安全事件级别</w:t>
            </w:r>
          </w:p>
        </w:tc>
        <w:tc>
          <w:tcPr>
            <w:tcW w:w="4779" w:type="dxa"/>
            <w:shd w:val="clear" w:color="auto" w:fill="F1F1F1"/>
            <w:vAlign w:val="center"/>
          </w:tcPr>
          <w:p w:rsidR="00014D42">
            <w:pPr>
              <w:pStyle w:val="TableParagraph"/>
              <w:spacing w:before="171" w:line="277" w:lineRule="exact"/>
              <w:ind w:right="1488"/>
              <w:jc w:val="center"/>
              <w:rPr>
                <w:rFonts w:ascii="仿宋_GB2312" w:eastAsia="仿宋_GB2312"/>
                <w:sz w:val="24"/>
                <w:szCs w:val="24"/>
              </w:rPr>
            </w:pPr>
            <w:r>
              <w:rPr>
                <w:rFonts w:ascii="仿宋_GB2312" w:eastAsia="仿宋_GB2312" w:hint="eastAsia"/>
                <w:sz w:val="24"/>
                <w:szCs w:val="24"/>
              </w:rPr>
              <w:t>响应时限要求</w:t>
            </w:r>
          </w:p>
        </w:tc>
      </w:tr>
      <w:tr>
        <w:tblPrEx>
          <w:tblW w:w="0" w:type="auto"/>
          <w:tblInd w:w="125" w:type="dxa"/>
          <w:tblLayout w:type="fixed"/>
          <w:tblLook w:val="04A0"/>
        </w:tblPrEx>
        <w:trPr>
          <w:trHeight w:val="467"/>
        </w:trPr>
        <w:tc>
          <w:tcPr>
            <w:tcW w:w="3519" w:type="dxa"/>
            <w:vAlign w:val="center"/>
          </w:tcPr>
          <w:p w:rsidR="00014D42">
            <w:pPr>
              <w:pStyle w:val="TableParagraph"/>
              <w:spacing w:before="171" w:line="277" w:lineRule="exact"/>
              <w:ind w:right="857"/>
              <w:jc w:val="center"/>
              <w:rPr>
                <w:rFonts w:ascii="仿宋_GB2312" w:eastAsia="仿宋_GB2312"/>
                <w:sz w:val="24"/>
                <w:szCs w:val="24"/>
              </w:rPr>
            </w:pPr>
            <w:r>
              <w:rPr>
                <w:rFonts w:ascii="仿宋_GB2312" w:eastAsia="仿宋_GB2312" w:hint="eastAsia"/>
                <w:sz w:val="24"/>
                <w:szCs w:val="24"/>
              </w:rPr>
              <w:t>一级</w:t>
            </w:r>
          </w:p>
        </w:tc>
        <w:tc>
          <w:tcPr>
            <w:tcW w:w="4779" w:type="dxa"/>
            <w:vAlign w:val="center"/>
          </w:tcPr>
          <w:p w:rsidR="00014D42">
            <w:pPr>
              <w:pStyle w:val="TableParagraph"/>
              <w:spacing w:before="171" w:line="277" w:lineRule="exact"/>
              <w:ind w:right="1488"/>
              <w:jc w:val="center"/>
              <w:rPr>
                <w:rFonts w:ascii="仿宋_GB2312" w:eastAsia="仿宋_GB2312"/>
                <w:sz w:val="24"/>
                <w:szCs w:val="24"/>
              </w:rPr>
            </w:pPr>
            <w:r>
              <w:rPr>
                <w:rFonts w:ascii="仿宋_GB2312" w:eastAsia="仿宋_GB2312" w:hint="eastAsia"/>
                <w:sz w:val="24"/>
                <w:szCs w:val="24"/>
              </w:rPr>
              <w:t>15</w:t>
            </w:r>
            <w:r>
              <w:rPr>
                <w:rFonts w:ascii="仿宋_GB2312" w:eastAsia="仿宋_GB2312" w:hint="eastAsia"/>
                <w:sz w:val="24"/>
                <w:szCs w:val="24"/>
              </w:rPr>
              <w:t>分钟</w:t>
            </w:r>
          </w:p>
        </w:tc>
      </w:tr>
      <w:tr>
        <w:tblPrEx>
          <w:tblW w:w="0" w:type="auto"/>
          <w:tblInd w:w="125" w:type="dxa"/>
          <w:tblLayout w:type="fixed"/>
          <w:tblLook w:val="04A0"/>
        </w:tblPrEx>
        <w:trPr>
          <w:trHeight w:val="467"/>
        </w:trPr>
        <w:tc>
          <w:tcPr>
            <w:tcW w:w="3519" w:type="dxa"/>
            <w:vAlign w:val="center"/>
          </w:tcPr>
          <w:p w:rsidR="00014D42">
            <w:pPr>
              <w:pStyle w:val="TableParagraph"/>
              <w:spacing w:before="171" w:line="277" w:lineRule="exact"/>
              <w:ind w:right="857"/>
              <w:jc w:val="center"/>
              <w:rPr>
                <w:rFonts w:ascii="仿宋_GB2312" w:eastAsia="仿宋_GB2312"/>
                <w:sz w:val="24"/>
                <w:szCs w:val="24"/>
              </w:rPr>
            </w:pPr>
            <w:r>
              <w:rPr>
                <w:rFonts w:ascii="仿宋_GB2312" w:eastAsia="仿宋_GB2312" w:hint="eastAsia"/>
                <w:sz w:val="24"/>
                <w:szCs w:val="24"/>
              </w:rPr>
              <w:t>二级</w:t>
            </w:r>
          </w:p>
        </w:tc>
        <w:tc>
          <w:tcPr>
            <w:tcW w:w="4779" w:type="dxa"/>
            <w:vAlign w:val="center"/>
          </w:tcPr>
          <w:p w:rsidR="00014D42">
            <w:pPr>
              <w:pStyle w:val="TableParagraph"/>
              <w:spacing w:before="171" w:line="277" w:lineRule="exact"/>
              <w:ind w:right="1488"/>
              <w:jc w:val="center"/>
              <w:rPr>
                <w:rFonts w:ascii="仿宋_GB2312" w:eastAsia="仿宋_GB2312"/>
                <w:sz w:val="24"/>
                <w:szCs w:val="24"/>
              </w:rPr>
            </w:pPr>
            <w:r>
              <w:rPr>
                <w:rFonts w:ascii="仿宋_GB2312" w:eastAsia="仿宋_GB2312" w:hint="eastAsia"/>
                <w:sz w:val="24"/>
                <w:szCs w:val="24"/>
              </w:rPr>
              <w:t>20</w:t>
            </w:r>
            <w:r>
              <w:rPr>
                <w:rFonts w:ascii="仿宋_GB2312" w:eastAsia="仿宋_GB2312" w:hint="eastAsia"/>
                <w:sz w:val="24"/>
                <w:szCs w:val="24"/>
              </w:rPr>
              <w:t>分钟</w:t>
            </w:r>
          </w:p>
        </w:tc>
      </w:tr>
      <w:tr>
        <w:tblPrEx>
          <w:tblW w:w="0" w:type="auto"/>
          <w:tblInd w:w="125" w:type="dxa"/>
          <w:tblLayout w:type="fixed"/>
          <w:tblLook w:val="04A0"/>
        </w:tblPrEx>
        <w:trPr>
          <w:trHeight w:val="470"/>
        </w:trPr>
        <w:tc>
          <w:tcPr>
            <w:tcW w:w="3519" w:type="dxa"/>
            <w:vAlign w:val="center"/>
          </w:tcPr>
          <w:p w:rsidR="00014D42">
            <w:pPr>
              <w:pStyle w:val="TableParagraph"/>
              <w:spacing w:before="173" w:line="277" w:lineRule="exact"/>
              <w:ind w:right="857"/>
              <w:jc w:val="center"/>
              <w:rPr>
                <w:rFonts w:ascii="仿宋_GB2312" w:eastAsia="仿宋_GB2312"/>
                <w:sz w:val="24"/>
                <w:szCs w:val="24"/>
              </w:rPr>
            </w:pPr>
            <w:r>
              <w:rPr>
                <w:rFonts w:ascii="仿宋_GB2312" w:eastAsia="仿宋_GB2312" w:hint="eastAsia"/>
                <w:sz w:val="24"/>
                <w:szCs w:val="24"/>
              </w:rPr>
              <w:t>三级</w:t>
            </w:r>
          </w:p>
        </w:tc>
        <w:tc>
          <w:tcPr>
            <w:tcW w:w="4779" w:type="dxa"/>
            <w:vAlign w:val="center"/>
          </w:tcPr>
          <w:p w:rsidR="00014D42">
            <w:pPr>
              <w:pStyle w:val="TableParagraph"/>
              <w:spacing w:before="173" w:line="277" w:lineRule="exact"/>
              <w:ind w:right="1488"/>
              <w:jc w:val="center"/>
              <w:rPr>
                <w:rFonts w:ascii="仿宋_GB2312" w:eastAsia="仿宋_GB2312"/>
                <w:sz w:val="24"/>
                <w:szCs w:val="24"/>
              </w:rPr>
            </w:pPr>
            <w:r>
              <w:rPr>
                <w:rFonts w:ascii="仿宋_GB2312" w:eastAsia="仿宋_GB2312" w:hint="eastAsia"/>
                <w:sz w:val="24"/>
                <w:szCs w:val="24"/>
              </w:rPr>
              <w:t>30</w:t>
            </w:r>
            <w:r>
              <w:rPr>
                <w:rFonts w:ascii="仿宋_GB2312" w:eastAsia="仿宋_GB2312" w:hint="eastAsia"/>
                <w:sz w:val="24"/>
                <w:szCs w:val="24"/>
              </w:rPr>
              <w:t>分钟</w:t>
            </w:r>
          </w:p>
        </w:tc>
      </w:tr>
      <w:tr>
        <w:tblPrEx>
          <w:tblW w:w="0" w:type="auto"/>
          <w:tblInd w:w="125" w:type="dxa"/>
          <w:tblLayout w:type="fixed"/>
          <w:tblLook w:val="04A0"/>
        </w:tblPrEx>
        <w:trPr>
          <w:trHeight w:val="467"/>
        </w:trPr>
        <w:tc>
          <w:tcPr>
            <w:tcW w:w="3519" w:type="dxa"/>
            <w:vAlign w:val="center"/>
          </w:tcPr>
          <w:p w:rsidR="00014D42">
            <w:pPr>
              <w:pStyle w:val="TableParagraph"/>
              <w:spacing w:before="171" w:line="277" w:lineRule="exact"/>
              <w:ind w:right="857"/>
              <w:jc w:val="center"/>
              <w:rPr>
                <w:rFonts w:ascii="仿宋_GB2312" w:eastAsia="仿宋_GB2312"/>
                <w:sz w:val="24"/>
                <w:szCs w:val="24"/>
              </w:rPr>
            </w:pPr>
            <w:r>
              <w:rPr>
                <w:rFonts w:ascii="仿宋_GB2312" w:eastAsia="仿宋_GB2312" w:hint="eastAsia"/>
                <w:sz w:val="24"/>
                <w:szCs w:val="24"/>
              </w:rPr>
              <w:t>四级</w:t>
            </w:r>
          </w:p>
        </w:tc>
        <w:tc>
          <w:tcPr>
            <w:tcW w:w="4779" w:type="dxa"/>
            <w:vAlign w:val="center"/>
          </w:tcPr>
          <w:p w:rsidR="00014D42">
            <w:pPr>
              <w:pStyle w:val="TableParagraph"/>
              <w:spacing w:before="171" w:line="277" w:lineRule="exact"/>
              <w:ind w:right="1488"/>
              <w:jc w:val="center"/>
              <w:rPr>
                <w:rFonts w:ascii="仿宋_GB2312" w:eastAsia="仿宋_GB2312"/>
                <w:sz w:val="24"/>
                <w:szCs w:val="24"/>
              </w:rPr>
            </w:pPr>
            <w:r>
              <w:rPr>
                <w:rFonts w:ascii="仿宋_GB2312" w:eastAsia="仿宋_GB2312" w:hint="eastAsia"/>
                <w:sz w:val="24"/>
                <w:szCs w:val="24"/>
              </w:rPr>
              <w:t>1</w:t>
            </w:r>
            <w:r>
              <w:rPr>
                <w:rFonts w:ascii="仿宋_GB2312" w:eastAsia="仿宋_GB2312" w:hint="eastAsia"/>
                <w:sz w:val="24"/>
                <w:szCs w:val="24"/>
              </w:rPr>
              <w:t>小时</w:t>
            </w:r>
          </w:p>
        </w:tc>
      </w:tr>
    </w:tbl>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2.</w:t>
      </w:r>
      <w:r>
        <w:rPr>
          <w:rFonts w:ascii="仿宋_GB2312" w:eastAsia="仿宋_GB2312" w:hAnsi="Arial" w:hint="eastAsia"/>
          <w:sz w:val="30"/>
          <w:szCs w:val="30"/>
        </w:rPr>
        <w:t>启动依据</w:t>
      </w:r>
      <w:r>
        <w:rPr>
          <w:rFonts w:ascii="仿宋_GB2312" w:eastAsia="仿宋_GB2312" w:hAnsi="Arial" w:hint="eastAsia"/>
          <w:sz w:val="30"/>
          <w:szCs w:val="30"/>
        </w:rPr>
        <w:t>--</w:t>
      </w:r>
      <w:r>
        <w:rPr>
          <w:rFonts w:ascii="仿宋_GB2312" w:eastAsia="仿宋_GB2312" w:hAnsi="Arial" w:hint="eastAsia"/>
          <w:sz w:val="30"/>
          <w:szCs w:val="30"/>
        </w:rPr>
        <w:t>一般而言，对于导致大数据相关业务中断、重要数据损毁、丢失、泄露等重大数据安全突发事件的应立即启动应急。</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启动条件可以基于以下方面考虑：数据损毁</w:t>
      </w:r>
      <w:r>
        <w:rPr>
          <w:rFonts w:ascii="仿宋_GB2312" w:eastAsia="仿宋_GB2312" w:hAnsi="Arial" w:hint="eastAsia"/>
          <w:sz w:val="30"/>
          <w:szCs w:val="30"/>
        </w:rPr>
        <w:t>/</w:t>
      </w:r>
      <w:r>
        <w:rPr>
          <w:rFonts w:ascii="仿宋_GB2312" w:eastAsia="仿宋_GB2312" w:hAnsi="Arial" w:hint="eastAsia"/>
          <w:sz w:val="30"/>
          <w:szCs w:val="30"/>
        </w:rPr>
        <w:t>泄露的程度；数据的重要程度；数据业务相关平台系统损失的程度预期的中断持续时间等。只有</w:t>
      </w:r>
      <w:r>
        <w:rPr>
          <w:rFonts w:ascii="仿宋_GB2312" w:eastAsia="仿宋_GB2312" w:hAnsi="Arial" w:hint="eastAsia"/>
          <w:sz w:val="30"/>
          <w:szCs w:val="30"/>
        </w:rPr>
        <w:t>当损害</w:t>
      </w:r>
      <w:r>
        <w:rPr>
          <w:rFonts w:ascii="仿宋_GB2312" w:eastAsia="仿宋_GB2312" w:hAnsi="Arial" w:hint="eastAsia"/>
          <w:sz w:val="30"/>
          <w:szCs w:val="30"/>
        </w:rPr>
        <w:t>评估的结果显示一个或多个启动条件被满足时，应急预案才应被启动。</w:t>
      </w:r>
    </w:p>
    <w:p w:rsidR="00014D42">
      <w:pPr>
        <w:spacing w:line="560" w:lineRule="exact"/>
        <w:ind w:firstLine="600" w:firstLineChars="200"/>
        <w:rPr>
          <w:rFonts w:ascii="仿宋_GB2312" w:eastAsia="仿宋_GB2312" w:hAnsi="Arial"/>
          <w:sz w:val="30"/>
          <w:szCs w:val="30"/>
        </w:rPr>
        <w:sectPr>
          <w:headerReference w:type="default" r:id="rId54"/>
          <w:type w:val="nextPage"/>
          <w:pgSz w:w="11906" w:h="16838"/>
          <w:pgMar w:top="1440" w:right="1558" w:bottom="1440" w:left="1800" w:header="851" w:footer="992" w:gutter="0"/>
          <w:pgNumType w:start="23"/>
          <w:cols w:space="425"/>
          <w:titlePg w:val="0"/>
          <w:docGrid w:type="lines" w:linePitch="312"/>
        </w:sectPr>
      </w:pPr>
      <w:r>
        <w:rPr>
          <w:rFonts w:ascii="仿宋_GB2312" w:eastAsia="仿宋_GB2312" w:hAnsi="Arial" w:hint="eastAsia"/>
          <w:sz w:val="30"/>
          <w:szCs w:val="30"/>
        </w:rPr>
        <w:t>3.</w:t>
      </w:r>
      <w:r>
        <w:rPr>
          <w:rFonts w:ascii="仿宋_GB2312" w:eastAsia="仿宋_GB2312" w:hAnsi="Arial" w:hint="eastAsia"/>
          <w:sz w:val="30"/>
          <w:szCs w:val="30"/>
        </w:rPr>
        <w:t>启动方法——由应急保障领导小组发布应急响应启动令。</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应急响应启动后，应急保障领导小组要对人力、财力、物力等的到位情况实施检查与督察，并记录实际发生的情况。</w:t>
      </w:r>
    </w:p>
    <w:p w:rsidR="00014D42">
      <w:pPr>
        <w:pStyle w:val="Heading2"/>
        <w:numPr>
          <w:ilvl w:val="0"/>
          <w:numId w:val="0"/>
        </w:numPr>
        <w:spacing w:before="0" w:after="0" w:line="560" w:lineRule="exact"/>
        <w:rPr>
          <w:rFonts w:ascii="楷体_GB2312" w:eastAsia="楷体_GB2312"/>
          <w:b w:val="0"/>
          <w:bCs w:val="0"/>
        </w:rPr>
      </w:pPr>
      <w:bookmarkStart w:id="69" w:name="_Toc18941466"/>
      <w:r>
        <w:rPr>
          <w:rFonts w:ascii="楷体_GB2312" w:eastAsia="楷体_GB2312" w:hint="eastAsia"/>
          <w:b w:val="0"/>
          <w:bCs w:val="0"/>
        </w:rPr>
        <w:t>6.5</w:t>
      </w:r>
      <w:r>
        <w:rPr>
          <w:rFonts w:ascii="楷体_GB2312" w:eastAsia="楷体_GB2312" w:hint="eastAsia"/>
          <w:b w:val="0"/>
          <w:bCs w:val="0"/>
        </w:rPr>
        <w:t>应急处置</w:t>
      </w:r>
      <w:bookmarkEnd w:id="69"/>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启动应急预案后，应急响应实施部门应立即采取相关措施抑制数据安全事件的影响，避免造成更大损失。应急处置包括应急响应和恢复操作。</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数据安全事件应急响应级别分为四级：一级、二级、三级、四级，分别对应已经发生的特别重大、重大、较大、一般数据安发事件。</w:t>
      </w:r>
    </w:p>
    <w:p w:rsidR="00014D42">
      <w:pPr>
        <w:pStyle w:val="Heading3"/>
        <w:numPr>
          <w:ilvl w:val="0"/>
          <w:numId w:val="0"/>
        </w:numPr>
        <w:spacing w:before="0" w:after="0" w:line="560" w:lineRule="exact"/>
        <w:rPr>
          <w:rFonts w:ascii="仿宋_GB2312" w:eastAsia="仿宋_GB2312"/>
        </w:rPr>
      </w:pPr>
      <w:bookmarkStart w:id="70" w:name="_Toc18941467"/>
      <w:r>
        <w:rPr>
          <w:rFonts w:ascii="仿宋_GB2312" w:eastAsia="仿宋_GB2312" w:hint="eastAsia"/>
        </w:rPr>
        <w:t>6.5.1</w:t>
      </w:r>
      <w:r>
        <w:rPr>
          <w:rFonts w:ascii="仿宋_GB2312" w:eastAsia="仿宋_GB2312" w:hint="eastAsia"/>
        </w:rPr>
        <w:t>一级应急响应</w:t>
      </w:r>
      <w:bookmarkEnd w:id="70"/>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属特别</w:t>
      </w:r>
      <w:r>
        <w:rPr>
          <w:rFonts w:ascii="仿宋_GB2312" w:eastAsia="仿宋_GB2312" w:hAnsi="Arial" w:hint="eastAsia"/>
          <w:sz w:val="30"/>
          <w:szCs w:val="30"/>
        </w:rPr>
        <w:t>重大数据安全事件的，及时启动一级应急响应。应急保障领导小组履行应急处置工作的统一领导、指挥、协调职责。</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w:t>
      </w:r>
      <w:r>
        <w:rPr>
          <w:rFonts w:ascii="仿宋_GB2312" w:eastAsia="仿宋_GB2312" w:hAnsi="Arial" w:hint="eastAsia"/>
          <w:sz w:val="30"/>
          <w:szCs w:val="30"/>
        </w:rPr>
        <w:t>1</w:t>
      </w:r>
      <w:r>
        <w:rPr>
          <w:rFonts w:ascii="仿宋_GB2312" w:eastAsia="仿宋_GB2312" w:hAnsi="Arial" w:hint="eastAsia"/>
          <w:sz w:val="30"/>
          <w:szCs w:val="30"/>
        </w:rPr>
        <w:t>）应急响应</w:t>
      </w:r>
      <w:r>
        <w:rPr>
          <w:rFonts w:ascii="仿宋_GB2312" w:eastAsia="仿宋_GB2312" w:hAnsi="Arial" w:hint="eastAsia"/>
          <w:sz w:val="30"/>
          <w:szCs w:val="30"/>
        </w:rPr>
        <w:t>实施小组</w:t>
      </w:r>
      <w:r>
        <w:rPr>
          <w:rFonts w:ascii="仿宋_GB2312" w:eastAsia="仿宋_GB2312" w:hAnsi="Arial" w:hint="eastAsia"/>
          <w:sz w:val="30"/>
          <w:szCs w:val="30"/>
        </w:rPr>
        <w:t>24</w:t>
      </w:r>
      <w:r>
        <w:rPr>
          <w:rFonts w:ascii="仿宋_GB2312" w:eastAsia="仿宋_GB2312" w:hAnsi="Arial" w:hint="eastAsia"/>
          <w:sz w:val="30"/>
          <w:szCs w:val="30"/>
        </w:rPr>
        <w:t>小时值班。</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w:t>
      </w:r>
      <w:r>
        <w:rPr>
          <w:rFonts w:ascii="仿宋_GB2312" w:eastAsia="仿宋_GB2312" w:hAnsi="Arial" w:hint="eastAsia"/>
          <w:sz w:val="30"/>
          <w:szCs w:val="30"/>
        </w:rPr>
        <w:t>2</w:t>
      </w:r>
      <w:r>
        <w:rPr>
          <w:rFonts w:ascii="仿宋_GB2312" w:eastAsia="仿宋_GB2312" w:hAnsi="Arial" w:hint="eastAsia"/>
          <w:sz w:val="30"/>
          <w:szCs w:val="30"/>
        </w:rPr>
        <w:t>）应急响应实施小组进入应急状态，在应急保障领导办公室按照应急保障领导小组要求，统一领导、指挥、协调下，负责应急处置工作，</w:t>
      </w:r>
      <w:r>
        <w:rPr>
          <w:rFonts w:ascii="仿宋_GB2312" w:eastAsia="仿宋_GB2312" w:hAnsi="Arial" w:hint="eastAsia"/>
          <w:sz w:val="30"/>
          <w:szCs w:val="30"/>
        </w:rPr>
        <w:t>24</w:t>
      </w:r>
      <w:r>
        <w:rPr>
          <w:rFonts w:ascii="仿宋_GB2312" w:eastAsia="仿宋_GB2312" w:hAnsi="Arial" w:hint="eastAsia"/>
          <w:sz w:val="30"/>
          <w:szCs w:val="30"/>
        </w:rPr>
        <w:t>小时值班。应急响应技术保障部门负责支援保障工作。</w:t>
      </w:r>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w:t>
      </w:r>
      <w:r>
        <w:rPr>
          <w:rFonts w:ascii="仿宋_GB2312" w:eastAsia="仿宋_GB2312" w:hAnsi="Arial" w:hint="eastAsia"/>
          <w:sz w:val="30"/>
          <w:szCs w:val="30"/>
        </w:rPr>
        <w:t>3</w:t>
      </w:r>
      <w:r>
        <w:rPr>
          <w:rFonts w:ascii="仿宋_GB2312" w:eastAsia="仿宋_GB2312" w:hAnsi="Arial" w:hint="eastAsia"/>
          <w:sz w:val="30"/>
          <w:szCs w:val="30"/>
        </w:rPr>
        <w:t>）应急响应实施小组跟踪事态发展，检查影响范围，及时将事态发展变化情况、处置进展情况报应急保障领导办公室。由应急保障领导办公室上报应急保障领导小组对决策部署，由应应急响应实施小组负责组织实施。</w:t>
      </w:r>
    </w:p>
    <w:p w:rsidR="00014D42">
      <w:pPr>
        <w:pStyle w:val="Heading3"/>
        <w:numPr>
          <w:ilvl w:val="0"/>
          <w:numId w:val="0"/>
        </w:numPr>
        <w:spacing w:before="0" w:after="0" w:line="560" w:lineRule="exact"/>
        <w:rPr>
          <w:rFonts w:ascii="仿宋_GB2312" w:eastAsia="仿宋_GB2312"/>
        </w:rPr>
      </w:pPr>
      <w:bookmarkStart w:id="71" w:name="_Toc18941468"/>
      <w:r>
        <w:rPr>
          <w:rFonts w:ascii="仿宋_GB2312" w:eastAsia="仿宋_GB2312" w:hint="eastAsia"/>
        </w:rPr>
        <w:t>6.5.2</w:t>
      </w:r>
      <w:r>
        <w:rPr>
          <w:rFonts w:ascii="仿宋_GB2312" w:eastAsia="仿宋_GB2312" w:hint="eastAsia"/>
        </w:rPr>
        <w:t>二</w:t>
      </w:r>
      <w:r>
        <w:rPr>
          <w:rFonts w:ascii="仿宋_GB2312" w:eastAsia="仿宋_GB2312" w:hint="eastAsia"/>
        </w:rPr>
        <w:t>级应急响应</w:t>
      </w:r>
      <w:bookmarkEnd w:id="71"/>
    </w:p>
    <w:p w:rsidR="00014D42">
      <w:pPr>
        <w:spacing w:line="560" w:lineRule="exact"/>
        <w:ind w:firstLine="600" w:firstLineChars="200"/>
        <w:rPr>
          <w:rFonts w:ascii="仿宋_GB2312" w:eastAsia="仿宋_GB2312" w:hAnsi="Arial"/>
          <w:sz w:val="30"/>
          <w:szCs w:val="30"/>
        </w:rPr>
      </w:pPr>
      <w:r>
        <w:rPr>
          <w:rFonts w:ascii="仿宋_GB2312" w:eastAsia="仿宋_GB2312" w:hAnsi="Arial" w:hint="eastAsia"/>
          <w:sz w:val="30"/>
          <w:szCs w:val="30"/>
        </w:rPr>
        <w:t>属重大数据安全事件的，及时启动二级应急响应。应急保障领导小组履行应急处置工作的统一领导、指</w:t>
      </w:r>
      <w:r>
        <w:rPr>
          <w:rFonts w:ascii="仿宋_GB2312" w:eastAsia="仿宋_GB2312" w:hAnsi="Arial" w:hint="eastAsia"/>
          <w:sz w:val="30"/>
          <w:szCs w:val="30"/>
        </w:rPr>
        <w:t>挥、协调职责。</w:t>
      </w:r>
      <w:r>
        <w:rPr>
          <w:rFonts w:ascii="仿宋_GB2312" w:eastAsia="仿宋_GB2312" w:hAnsi="Arial"/>
          <w:sz w:val="30"/>
          <w:szCs w:val="30"/>
        </w:rPr>
        <w:br/>
      </w:r>
      <w:r>
        <w:rPr>
          <w:rFonts w:ascii="仿宋_GB2312" w:eastAsia="仿宋_GB2312" w:hAnsi="Arial"/>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5" w:history="1">
        <w:r>
          <w:rPr>
            <w:rFonts w:ascii="SimSun" w:eastAsia="SimSun" w:hAnsi="SimSun" w:cs="SimSun"/>
            <w:b/>
            <w:bCs/>
            <w:color w:val="0000EE"/>
            <w:kern w:val="0"/>
            <w:sz w:val="30"/>
            <w:szCs w:val="30"/>
            <w:u w:val="single" w:color="0000EE"/>
          </w:rPr>
          <w:t>https://d.book118.com/677153141162006036</w:t>
        </w:r>
      </w:hyperlink>
    </w:p>
    <w:p w:rsidR="00014D42">
      <w:pPr>
        <w:spacing w:line="560" w:lineRule="exact"/>
        <w:ind w:firstLine="600" w:firstLineChars="200"/>
        <w:rPr>
          <w:rFonts w:ascii="仿宋_GB2312" w:eastAsia="仿宋_GB2312" w:hAnsi="Arial"/>
          <w:sz w:val="30"/>
          <w:szCs w:val="30"/>
        </w:rPr>
      </w:pPr>
    </w:p>
    <w:sectPr>
      <w:headerReference w:type="default" r:id="rId56"/>
      <w:type w:val="nextPage"/>
      <w:pgSz w:w="11906" w:h="16838"/>
      <w:pgMar w:top="1440" w:right="1558"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Abadi MT Condensed Light">
    <w:altName w:val="Segoe Print"/>
    <w:charset w:val="00"/>
    <w:family w:val="auto"/>
    <w:pitch w:val="default"/>
    <w:sig w:usb0="00000000"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A0000287" w:usb1="28CF3C52" w:usb2="00000016" w:usb3="00000000" w:csb0="0004001F" w:csb1="00000000"/>
  </w:font>
  <w:font w:name="仿宋_GB2312">
    <w:altName w:val="仿宋"/>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D42">
    <w:pPr>
      <w:pStyle w:val="Header"/>
      <w:jc w:val="right"/>
      <w:rPr>
        <w:sz w:val="20"/>
      </w:rPr>
    </w:pPr>
    <w:r>
      <w:rPr>
        <w:rFonts w:hint="eastAsia"/>
        <w:sz w:val="20"/>
      </w:rPr>
      <w:t>数据安全应急预案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1E3DEE"/>
    <w:multiLevelType w:val="multilevel"/>
    <w:tmpl w:val="3B1E3DEE"/>
    <w:lvl w:ilvl="0">
      <w:start w:val="1"/>
      <w:numFmt w:val="decimal"/>
      <w:pStyle w:val="Heading1"/>
      <w:lvlText w:val="%1"/>
      <w:lvlJc w:val="left"/>
      <w:pPr>
        <w:ind w:left="0" w:firstLine="0"/>
      </w:pPr>
      <w:rPr>
        <w:rFonts w:hint="eastAsia"/>
      </w:rPr>
    </w:lvl>
    <w:lvl w:ilvl="1">
      <w:start w:val="1"/>
      <w:numFmt w:val="decimal"/>
      <w:pStyle w:val="Heading2"/>
      <w:lvlText w:val="%1.%2"/>
      <w:lvlJc w:val="left"/>
      <w:pPr>
        <w:ind w:left="0" w:firstLine="0"/>
      </w:pPr>
      <w:rPr>
        <w:rFonts w:hint="eastAsia"/>
      </w:rPr>
    </w:lvl>
    <w:lvl w:ilvl="2">
      <w:start w:val="1"/>
      <w:numFmt w:val="decimal"/>
      <w:pStyle w:val="Heading3"/>
      <w:lvlText w:val="%1.%2.%3"/>
      <w:lvlJc w:val="left"/>
      <w:pPr>
        <w:ind w:left="0" w:firstLine="0"/>
      </w:pPr>
      <w:rPr>
        <w:rFonts w:hint="eastAsia"/>
      </w:rPr>
    </w:lvl>
    <w:lvl w:ilvl="3">
      <w:start w:val="1"/>
      <w:numFmt w:val="decimal"/>
      <w:pStyle w:val="Heading4"/>
      <w:lvlText w:val="%1.%2.%3.%4"/>
      <w:lvlJc w:val="left"/>
      <w:pPr>
        <w:ind w:left="0" w:firstLine="0"/>
      </w:pPr>
      <w:rPr>
        <w:rFonts w:hint="eastAsia"/>
      </w:rPr>
    </w:lvl>
    <w:lvl w:ilvl="4">
      <w:start w:val="1"/>
      <w:numFmt w:val="decimal"/>
      <w:pStyle w:val="Heading5"/>
      <w:lvlText w:val="%1.%2.%3.%4.%5"/>
      <w:lvlJc w:val="left"/>
      <w:pPr>
        <w:ind w:left="0" w:firstLine="0"/>
      </w:pPr>
      <w:rPr>
        <w:rFonts w:hint="eastAsia"/>
      </w:rPr>
    </w:lvl>
    <w:lvl w:ilvl="5">
      <w:start w:val="1"/>
      <w:numFmt w:val="decimal"/>
      <w:pStyle w:val="Heading6"/>
      <w:lvlText w:val="%1.%2.%3.%4.%5.%6"/>
      <w:lvlJc w:val="left"/>
      <w:pPr>
        <w:ind w:left="0" w:firstLine="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632"/>
    <w:rsid w:val="0000117D"/>
    <w:rsid w:val="0000501F"/>
    <w:rsid w:val="000059A3"/>
    <w:rsid w:val="00014D42"/>
    <w:rsid w:val="00022491"/>
    <w:rsid w:val="00022F16"/>
    <w:rsid w:val="00024773"/>
    <w:rsid w:val="00024A71"/>
    <w:rsid w:val="000313CE"/>
    <w:rsid w:val="000336BF"/>
    <w:rsid w:val="00042194"/>
    <w:rsid w:val="0004696D"/>
    <w:rsid w:val="00050F2E"/>
    <w:rsid w:val="000514A0"/>
    <w:rsid w:val="000571B9"/>
    <w:rsid w:val="000636B3"/>
    <w:rsid w:val="00065C93"/>
    <w:rsid w:val="00066523"/>
    <w:rsid w:val="00070C88"/>
    <w:rsid w:val="00070E38"/>
    <w:rsid w:val="00071230"/>
    <w:rsid w:val="0007139B"/>
    <w:rsid w:val="00071855"/>
    <w:rsid w:val="000825F3"/>
    <w:rsid w:val="00085B2E"/>
    <w:rsid w:val="000942F0"/>
    <w:rsid w:val="00096977"/>
    <w:rsid w:val="000B28D8"/>
    <w:rsid w:val="000B5110"/>
    <w:rsid w:val="000C1F69"/>
    <w:rsid w:val="000C235B"/>
    <w:rsid w:val="000C72A1"/>
    <w:rsid w:val="000D4222"/>
    <w:rsid w:val="000D7C5A"/>
    <w:rsid w:val="000E1E98"/>
    <w:rsid w:val="000E29B5"/>
    <w:rsid w:val="000E4127"/>
    <w:rsid w:val="000F144D"/>
    <w:rsid w:val="00101700"/>
    <w:rsid w:val="0011314A"/>
    <w:rsid w:val="0012336E"/>
    <w:rsid w:val="00130DB5"/>
    <w:rsid w:val="00132246"/>
    <w:rsid w:val="001324EC"/>
    <w:rsid w:val="0013303C"/>
    <w:rsid w:val="001372EE"/>
    <w:rsid w:val="0014423F"/>
    <w:rsid w:val="00144917"/>
    <w:rsid w:val="00144D70"/>
    <w:rsid w:val="001458B5"/>
    <w:rsid w:val="00147019"/>
    <w:rsid w:val="001527F8"/>
    <w:rsid w:val="00152841"/>
    <w:rsid w:val="00156767"/>
    <w:rsid w:val="00157F7B"/>
    <w:rsid w:val="00163AC6"/>
    <w:rsid w:val="00164D91"/>
    <w:rsid w:val="00165D15"/>
    <w:rsid w:val="00166470"/>
    <w:rsid w:val="00166E07"/>
    <w:rsid w:val="0016786F"/>
    <w:rsid w:val="001734BB"/>
    <w:rsid w:val="001829D8"/>
    <w:rsid w:val="00187485"/>
    <w:rsid w:val="00187BF9"/>
    <w:rsid w:val="001910B0"/>
    <w:rsid w:val="00191AFD"/>
    <w:rsid w:val="00192891"/>
    <w:rsid w:val="00195CDB"/>
    <w:rsid w:val="001B0A27"/>
    <w:rsid w:val="001B0E9E"/>
    <w:rsid w:val="001B3DF3"/>
    <w:rsid w:val="001C18AC"/>
    <w:rsid w:val="001C22FC"/>
    <w:rsid w:val="001D0AEB"/>
    <w:rsid w:val="001D446C"/>
    <w:rsid w:val="001D4AB8"/>
    <w:rsid w:val="001E360F"/>
    <w:rsid w:val="001E5452"/>
    <w:rsid w:val="001F2C9D"/>
    <w:rsid w:val="0021059A"/>
    <w:rsid w:val="00216B04"/>
    <w:rsid w:val="002278A5"/>
    <w:rsid w:val="00233ACA"/>
    <w:rsid w:val="0024266A"/>
    <w:rsid w:val="002458C1"/>
    <w:rsid w:val="0025104C"/>
    <w:rsid w:val="00251C79"/>
    <w:rsid w:val="00251EA2"/>
    <w:rsid w:val="00261005"/>
    <w:rsid w:val="002640C9"/>
    <w:rsid w:val="002669F5"/>
    <w:rsid w:val="0027493C"/>
    <w:rsid w:val="00281904"/>
    <w:rsid w:val="002823CD"/>
    <w:rsid w:val="00284A63"/>
    <w:rsid w:val="00286D59"/>
    <w:rsid w:val="0029512D"/>
    <w:rsid w:val="00295655"/>
    <w:rsid w:val="002A3B78"/>
    <w:rsid w:val="002B0635"/>
    <w:rsid w:val="002B3D30"/>
    <w:rsid w:val="002B3E0F"/>
    <w:rsid w:val="002B3F32"/>
    <w:rsid w:val="002C0045"/>
    <w:rsid w:val="002C10E5"/>
    <w:rsid w:val="002C1D10"/>
    <w:rsid w:val="002C6F5B"/>
    <w:rsid w:val="002D0EA0"/>
    <w:rsid w:val="002D118F"/>
    <w:rsid w:val="002D3356"/>
    <w:rsid w:val="002E00B5"/>
    <w:rsid w:val="002E0821"/>
    <w:rsid w:val="002E5741"/>
    <w:rsid w:val="002E5DAA"/>
    <w:rsid w:val="002F061C"/>
    <w:rsid w:val="002F2B0C"/>
    <w:rsid w:val="002F2F49"/>
    <w:rsid w:val="002F333B"/>
    <w:rsid w:val="002F39CF"/>
    <w:rsid w:val="0030645C"/>
    <w:rsid w:val="00306F3A"/>
    <w:rsid w:val="00310CAD"/>
    <w:rsid w:val="00321F1F"/>
    <w:rsid w:val="003244F4"/>
    <w:rsid w:val="00326F4E"/>
    <w:rsid w:val="00330BBF"/>
    <w:rsid w:val="00331901"/>
    <w:rsid w:val="0033391C"/>
    <w:rsid w:val="003368D3"/>
    <w:rsid w:val="00336BC2"/>
    <w:rsid w:val="0034065A"/>
    <w:rsid w:val="00350FEA"/>
    <w:rsid w:val="00355D35"/>
    <w:rsid w:val="003603D7"/>
    <w:rsid w:val="00367DF0"/>
    <w:rsid w:val="00374484"/>
    <w:rsid w:val="003A0695"/>
    <w:rsid w:val="003A7318"/>
    <w:rsid w:val="003A781C"/>
    <w:rsid w:val="003B08E6"/>
    <w:rsid w:val="003B2A92"/>
    <w:rsid w:val="003B35BC"/>
    <w:rsid w:val="003B5E83"/>
    <w:rsid w:val="003C649C"/>
    <w:rsid w:val="003C7389"/>
    <w:rsid w:val="003D14B0"/>
    <w:rsid w:val="003E19E5"/>
    <w:rsid w:val="003E2515"/>
    <w:rsid w:val="003E3544"/>
    <w:rsid w:val="003E6042"/>
    <w:rsid w:val="003E799B"/>
    <w:rsid w:val="003F34A8"/>
    <w:rsid w:val="00405880"/>
    <w:rsid w:val="00422A61"/>
    <w:rsid w:val="00434E57"/>
    <w:rsid w:val="0043555A"/>
    <w:rsid w:val="0044158F"/>
    <w:rsid w:val="00442D7D"/>
    <w:rsid w:val="00444903"/>
    <w:rsid w:val="00444FFB"/>
    <w:rsid w:val="004634E5"/>
    <w:rsid w:val="00463A36"/>
    <w:rsid w:val="00465FBF"/>
    <w:rsid w:val="004671DD"/>
    <w:rsid w:val="004705F0"/>
    <w:rsid w:val="00492579"/>
    <w:rsid w:val="00496B55"/>
    <w:rsid w:val="00497034"/>
    <w:rsid w:val="004A0861"/>
    <w:rsid w:val="004A3160"/>
    <w:rsid w:val="004B2658"/>
    <w:rsid w:val="004B58F7"/>
    <w:rsid w:val="004B70F3"/>
    <w:rsid w:val="004C09F8"/>
    <w:rsid w:val="004C12C0"/>
    <w:rsid w:val="004C5C1A"/>
    <w:rsid w:val="004D2694"/>
    <w:rsid w:val="004D39BA"/>
    <w:rsid w:val="004D7438"/>
    <w:rsid w:val="004E34E2"/>
    <w:rsid w:val="004F0E85"/>
    <w:rsid w:val="004F522A"/>
    <w:rsid w:val="004F5718"/>
    <w:rsid w:val="004F711C"/>
    <w:rsid w:val="004F73BA"/>
    <w:rsid w:val="005014EF"/>
    <w:rsid w:val="00502C0E"/>
    <w:rsid w:val="00506B28"/>
    <w:rsid w:val="0051360F"/>
    <w:rsid w:val="00517A79"/>
    <w:rsid w:val="005206B5"/>
    <w:rsid w:val="0053139F"/>
    <w:rsid w:val="00534194"/>
    <w:rsid w:val="00534CA6"/>
    <w:rsid w:val="00544471"/>
    <w:rsid w:val="005534F8"/>
    <w:rsid w:val="005537FB"/>
    <w:rsid w:val="00562F90"/>
    <w:rsid w:val="00563BE5"/>
    <w:rsid w:val="00574822"/>
    <w:rsid w:val="00575F14"/>
    <w:rsid w:val="0058488D"/>
    <w:rsid w:val="00586099"/>
    <w:rsid w:val="0058652D"/>
    <w:rsid w:val="00587652"/>
    <w:rsid w:val="00591C4A"/>
    <w:rsid w:val="005A17CA"/>
    <w:rsid w:val="005A1EDD"/>
    <w:rsid w:val="005A2F54"/>
    <w:rsid w:val="005A421D"/>
    <w:rsid w:val="005B3A4C"/>
    <w:rsid w:val="005B4604"/>
    <w:rsid w:val="005B5F9A"/>
    <w:rsid w:val="005B6748"/>
    <w:rsid w:val="005D4757"/>
    <w:rsid w:val="005D577F"/>
    <w:rsid w:val="005E1D42"/>
    <w:rsid w:val="005E1F80"/>
    <w:rsid w:val="005E6102"/>
    <w:rsid w:val="005E7097"/>
    <w:rsid w:val="005E70D4"/>
    <w:rsid w:val="005F3266"/>
    <w:rsid w:val="005F56DA"/>
    <w:rsid w:val="005F67C2"/>
    <w:rsid w:val="00600A1E"/>
    <w:rsid w:val="006020B4"/>
    <w:rsid w:val="006053DF"/>
    <w:rsid w:val="0061636D"/>
    <w:rsid w:val="00630CFA"/>
    <w:rsid w:val="006346B5"/>
    <w:rsid w:val="006361B6"/>
    <w:rsid w:val="006375FF"/>
    <w:rsid w:val="0064347E"/>
    <w:rsid w:val="006449AF"/>
    <w:rsid w:val="00647871"/>
    <w:rsid w:val="0066114A"/>
    <w:rsid w:val="006674BF"/>
    <w:rsid w:val="006760DC"/>
    <w:rsid w:val="00680299"/>
    <w:rsid w:val="006806A4"/>
    <w:rsid w:val="006814A4"/>
    <w:rsid w:val="00681F8A"/>
    <w:rsid w:val="00682DD2"/>
    <w:rsid w:val="00690975"/>
    <w:rsid w:val="0069585A"/>
    <w:rsid w:val="006B5839"/>
    <w:rsid w:val="006C21FC"/>
    <w:rsid w:val="006C2A90"/>
    <w:rsid w:val="006C71E6"/>
    <w:rsid w:val="006C7B44"/>
    <w:rsid w:val="006D1953"/>
    <w:rsid w:val="006D25BE"/>
    <w:rsid w:val="006D5E95"/>
    <w:rsid w:val="006E63C2"/>
    <w:rsid w:val="006F5C94"/>
    <w:rsid w:val="006F6EF5"/>
    <w:rsid w:val="006F712A"/>
    <w:rsid w:val="007053D6"/>
    <w:rsid w:val="00707EE9"/>
    <w:rsid w:val="00720703"/>
    <w:rsid w:val="0073062E"/>
    <w:rsid w:val="0073346B"/>
    <w:rsid w:val="00734341"/>
    <w:rsid w:val="0074508C"/>
    <w:rsid w:val="007451CF"/>
    <w:rsid w:val="007633CA"/>
    <w:rsid w:val="0076415E"/>
    <w:rsid w:val="00765754"/>
    <w:rsid w:val="00765D40"/>
    <w:rsid w:val="00766785"/>
    <w:rsid w:val="00775214"/>
    <w:rsid w:val="00777463"/>
    <w:rsid w:val="00786958"/>
    <w:rsid w:val="007925BE"/>
    <w:rsid w:val="007928B8"/>
    <w:rsid w:val="00797E34"/>
    <w:rsid w:val="007A3137"/>
    <w:rsid w:val="007A42A7"/>
    <w:rsid w:val="007A59AD"/>
    <w:rsid w:val="007A6EC8"/>
    <w:rsid w:val="007A77DE"/>
    <w:rsid w:val="007A7B1C"/>
    <w:rsid w:val="007C363D"/>
    <w:rsid w:val="007C7F87"/>
    <w:rsid w:val="007E2327"/>
    <w:rsid w:val="007E398B"/>
    <w:rsid w:val="007E6B80"/>
    <w:rsid w:val="007E7390"/>
    <w:rsid w:val="007F07E8"/>
    <w:rsid w:val="007F5829"/>
    <w:rsid w:val="007F6331"/>
    <w:rsid w:val="007F7840"/>
    <w:rsid w:val="00802EF9"/>
    <w:rsid w:val="0080307E"/>
    <w:rsid w:val="0080462E"/>
    <w:rsid w:val="0080611B"/>
    <w:rsid w:val="00812D26"/>
    <w:rsid w:val="00815A88"/>
    <w:rsid w:val="00815F02"/>
    <w:rsid w:val="008238A6"/>
    <w:rsid w:val="008257CF"/>
    <w:rsid w:val="00836882"/>
    <w:rsid w:val="008375A8"/>
    <w:rsid w:val="0084479D"/>
    <w:rsid w:val="008500C0"/>
    <w:rsid w:val="00856ED2"/>
    <w:rsid w:val="008618F3"/>
    <w:rsid w:val="008670EF"/>
    <w:rsid w:val="008758AC"/>
    <w:rsid w:val="0088082B"/>
    <w:rsid w:val="00886502"/>
    <w:rsid w:val="008903FC"/>
    <w:rsid w:val="00894AB0"/>
    <w:rsid w:val="00894F16"/>
    <w:rsid w:val="008A507C"/>
    <w:rsid w:val="008A6626"/>
    <w:rsid w:val="008B0965"/>
    <w:rsid w:val="008C11EA"/>
    <w:rsid w:val="008C3A9B"/>
    <w:rsid w:val="008C3E5C"/>
    <w:rsid w:val="008C53D2"/>
    <w:rsid w:val="008C585B"/>
    <w:rsid w:val="008C73B7"/>
    <w:rsid w:val="008D4973"/>
    <w:rsid w:val="008D790C"/>
    <w:rsid w:val="008E5DEC"/>
    <w:rsid w:val="008F2CE6"/>
    <w:rsid w:val="00900D28"/>
    <w:rsid w:val="00902023"/>
    <w:rsid w:val="00902094"/>
    <w:rsid w:val="009035DC"/>
    <w:rsid w:val="009250A5"/>
    <w:rsid w:val="00931510"/>
    <w:rsid w:val="0093251A"/>
    <w:rsid w:val="00933ACD"/>
    <w:rsid w:val="00940668"/>
    <w:rsid w:val="00945A4A"/>
    <w:rsid w:val="00946436"/>
    <w:rsid w:val="009472C0"/>
    <w:rsid w:val="00954B1F"/>
    <w:rsid w:val="00954DE8"/>
    <w:rsid w:val="00976C70"/>
    <w:rsid w:val="00983160"/>
    <w:rsid w:val="0099663A"/>
    <w:rsid w:val="009A0AF3"/>
    <w:rsid w:val="009A48EF"/>
    <w:rsid w:val="009A6567"/>
    <w:rsid w:val="009B0287"/>
    <w:rsid w:val="009B0D1E"/>
    <w:rsid w:val="009B541A"/>
    <w:rsid w:val="009B72E4"/>
    <w:rsid w:val="009B78EC"/>
    <w:rsid w:val="009D7D5C"/>
    <w:rsid w:val="009E4BF1"/>
    <w:rsid w:val="009F1B13"/>
    <w:rsid w:val="00A013EA"/>
    <w:rsid w:val="00A03BE6"/>
    <w:rsid w:val="00A055B3"/>
    <w:rsid w:val="00A06AE9"/>
    <w:rsid w:val="00A159F4"/>
    <w:rsid w:val="00A2269B"/>
    <w:rsid w:val="00A33808"/>
    <w:rsid w:val="00A407B5"/>
    <w:rsid w:val="00A41092"/>
    <w:rsid w:val="00A42876"/>
    <w:rsid w:val="00A47DF3"/>
    <w:rsid w:val="00A549D2"/>
    <w:rsid w:val="00A55ED5"/>
    <w:rsid w:val="00A6204B"/>
    <w:rsid w:val="00A66CE3"/>
    <w:rsid w:val="00A72F21"/>
    <w:rsid w:val="00A841C7"/>
    <w:rsid w:val="00A90166"/>
    <w:rsid w:val="00A92181"/>
    <w:rsid w:val="00AA36E2"/>
    <w:rsid w:val="00AA5126"/>
    <w:rsid w:val="00AA63F2"/>
    <w:rsid w:val="00AB1E80"/>
    <w:rsid w:val="00AB392D"/>
    <w:rsid w:val="00AC06DD"/>
    <w:rsid w:val="00AC2AA2"/>
    <w:rsid w:val="00AC71C1"/>
    <w:rsid w:val="00AD394A"/>
    <w:rsid w:val="00AD3A19"/>
    <w:rsid w:val="00AD56CD"/>
    <w:rsid w:val="00AE2B09"/>
    <w:rsid w:val="00AE329E"/>
    <w:rsid w:val="00AE5DB6"/>
    <w:rsid w:val="00B01030"/>
    <w:rsid w:val="00B0423E"/>
    <w:rsid w:val="00B05346"/>
    <w:rsid w:val="00B12E15"/>
    <w:rsid w:val="00B15ADD"/>
    <w:rsid w:val="00B21208"/>
    <w:rsid w:val="00B27FB2"/>
    <w:rsid w:val="00B32E4F"/>
    <w:rsid w:val="00B33297"/>
    <w:rsid w:val="00B33E06"/>
    <w:rsid w:val="00B343F1"/>
    <w:rsid w:val="00B50C76"/>
    <w:rsid w:val="00B51057"/>
    <w:rsid w:val="00B527D1"/>
    <w:rsid w:val="00B65D32"/>
    <w:rsid w:val="00B74AE9"/>
    <w:rsid w:val="00B874AC"/>
    <w:rsid w:val="00B87FCE"/>
    <w:rsid w:val="00B9600C"/>
    <w:rsid w:val="00B97192"/>
    <w:rsid w:val="00B97E56"/>
    <w:rsid w:val="00BA1BD9"/>
    <w:rsid w:val="00BA1EAA"/>
    <w:rsid w:val="00BA7816"/>
    <w:rsid w:val="00BA7849"/>
    <w:rsid w:val="00BA78B8"/>
    <w:rsid w:val="00BA79F0"/>
    <w:rsid w:val="00BC0E1A"/>
    <w:rsid w:val="00BC435C"/>
    <w:rsid w:val="00BC4CE9"/>
    <w:rsid w:val="00BD3632"/>
    <w:rsid w:val="00BD52E0"/>
    <w:rsid w:val="00BD62B0"/>
    <w:rsid w:val="00BF00CD"/>
    <w:rsid w:val="00BF1B72"/>
    <w:rsid w:val="00BF2213"/>
    <w:rsid w:val="00C0464B"/>
    <w:rsid w:val="00C071AD"/>
    <w:rsid w:val="00C1029D"/>
    <w:rsid w:val="00C142D2"/>
    <w:rsid w:val="00C16D67"/>
    <w:rsid w:val="00C20DE0"/>
    <w:rsid w:val="00C22FDF"/>
    <w:rsid w:val="00C252F5"/>
    <w:rsid w:val="00C27178"/>
    <w:rsid w:val="00C27AA0"/>
    <w:rsid w:val="00C33957"/>
    <w:rsid w:val="00C36A21"/>
    <w:rsid w:val="00C42E50"/>
    <w:rsid w:val="00C43572"/>
    <w:rsid w:val="00C51EAD"/>
    <w:rsid w:val="00C5318C"/>
    <w:rsid w:val="00C540CA"/>
    <w:rsid w:val="00C67A5D"/>
    <w:rsid w:val="00C70917"/>
    <w:rsid w:val="00C72940"/>
    <w:rsid w:val="00C7789D"/>
    <w:rsid w:val="00C838AB"/>
    <w:rsid w:val="00C9311A"/>
    <w:rsid w:val="00CA4A60"/>
    <w:rsid w:val="00CA4BDF"/>
    <w:rsid w:val="00CB48EA"/>
    <w:rsid w:val="00CC453C"/>
    <w:rsid w:val="00CD0415"/>
    <w:rsid w:val="00CD4241"/>
    <w:rsid w:val="00CE5B2F"/>
    <w:rsid w:val="00CE6E4D"/>
    <w:rsid w:val="00CF2017"/>
    <w:rsid w:val="00CF40A8"/>
    <w:rsid w:val="00CF5CF9"/>
    <w:rsid w:val="00D0164A"/>
    <w:rsid w:val="00D0173A"/>
    <w:rsid w:val="00D02C68"/>
    <w:rsid w:val="00D03FE9"/>
    <w:rsid w:val="00D0723C"/>
    <w:rsid w:val="00D2082F"/>
    <w:rsid w:val="00D2095B"/>
    <w:rsid w:val="00D21D1F"/>
    <w:rsid w:val="00D21F0B"/>
    <w:rsid w:val="00D2206E"/>
    <w:rsid w:val="00D2302F"/>
    <w:rsid w:val="00D23627"/>
    <w:rsid w:val="00D25C9D"/>
    <w:rsid w:val="00D27874"/>
    <w:rsid w:val="00D334FD"/>
    <w:rsid w:val="00D41F98"/>
    <w:rsid w:val="00D42036"/>
    <w:rsid w:val="00D4325C"/>
    <w:rsid w:val="00D4359A"/>
    <w:rsid w:val="00D45518"/>
    <w:rsid w:val="00D52029"/>
    <w:rsid w:val="00D63FA1"/>
    <w:rsid w:val="00D67015"/>
    <w:rsid w:val="00D87CFD"/>
    <w:rsid w:val="00D87F2B"/>
    <w:rsid w:val="00D92B55"/>
    <w:rsid w:val="00D92E16"/>
    <w:rsid w:val="00D95329"/>
    <w:rsid w:val="00D975A4"/>
    <w:rsid w:val="00DA5C7B"/>
    <w:rsid w:val="00DC0324"/>
    <w:rsid w:val="00DC040E"/>
    <w:rsid w:val="00DC144E"/>
    <w:rsid w:val="00DC14DD"/>
    <w:rsid w:val="00DC39C6"/>
    <w:rsid w:val="00DD7165"/>
    <w:rsid w:val="00DD7DA3"/>
    <w:rsid w:val="00DE7AB0"/>
    <w:rsid w:val="00DF0BD1"/>
    <w:rsid w:val="00DF43BB"/>
    <w:rsid w:val="00DF5CCB"/>
    <w:rsid w:val="00E07FA3"/>
    <w:rsid w:val="00E1080A"/>
    <w:rsid w:val="00E177C6"/>
    <w:rsid w:val="00E2010A"/>
    <w:rsid w:val="00E214C5"/>
    <w:rsid w:val="00E23EAB"/>
    <w:rsid w:val="00E25499"/>
    <w:rsid w:val="00E260BD"/>
    <w:rsid w:val="00E327AA"/>
    <w:rsid w:val="00E33A55"/>
    <w:rsid w:val="00E4100C"/>
    <w:rsid w:val="00E41332"/>
    <w:rsid w:val="00E44D19"/>
    <w:rsid w:val="00E46ED6"/>
    <w:rsid w:val="00E473E0"/>
    <w:rsid w:val="00E62A24"/>
    <w:rsid w:val="00E6587D"/>
    <w:rsid w:val="00E7216A"/>
    <w:rsid w:val="00E77DD0"/>
    <w:rsid w:val="00E8076F"/>
    <w:rsid w:val="00E81689"/>
    <w:rsid w:val="00E857F0"/>
    <w:rsid w:val="00E905FB"/>
    <w:rsid w:val="00E92FAC"/>
    <w:rsid w:val="00EA378C"/>
    <w:rsid w:val="00EA4882"/>
    <w:rsid w:val="00EA4D31"/>
    <w:rsid w:val="00EA63E2"/>
    <w:rsid w:val="00EC1CA4"/>
    <w:rsid w:val="00ED1760"/>
    <w:rsid w:val="00ED7ECE"/>
    <w:rsid w:val="00EE12AF"/>
    <w:rsid w:val="00EE7B70"/>
    <w:rsid w:val="00EF4B5D"/>
    <w:rsid w:val="00F03F63"/>
    <w:rsid w:val="00F0495F"/>
    <w:rsid w:val="00F07DEF"/>
    <w:rsid w:val="00F1414C"/>
    <w:rsid w:val="00F14DCF"/>
    <w:rsid w:val="00F16EFB"/>
    <w:rsid w:val="00F17094"/>
    <w:rsid w:val="00F17633"/>
    <w:rsid w:val="00F17C8B"/>
    <w:rsid w:val="00F2373B"/>
    <w:rsid w:val="00F25F11"/>
    <w:rsid w:val="00F260E0"/>
    <w:rsid w:val="00F273DF"/>
    <w:rsid w:val="00F329C8"/>
    <w:rsid w:val="00F3553F"/>
    <w:rsid w:val="00F41106"/>
    <w:rsid w:val="00F45DD4"/>
    <w:rsid w:val="00F4691B"/>
    <w:rsid w:val="00F472B2"/>
    <w:rsid w:val="00F64C27"/>
    <w:rsid w:val="00F65939"/>
    <w:rsid w:val="00F72856"/>
    <w:rsid w:val="00F72A8D"/>
    <w:rsid w:val="00F73602"/>
    <w:rsid w:val="00F8043E"/>
    <w:rsid w:val="00F81C9D"/>
    <w:rsid w:val="00F8493B"/>
    <w:rsid w:val="00F864DE"/>
    <w:rsid w:val="00F90390"/>
    <w:rsid w:val="00F93D61"/>
    <w:rsid w:val="00F944FF"/>
    <w:rsid w:val="00F957FD"/>
    <w:rsid w:val="00F96988"/>
    <w:rsid w:val="00FA11F7"/>
    <w:rsid w:val="00FA2AE9"/>
    <w:rsid w:val="00FA347E"/>
    <w:rsid w:val="00FB001C"/>
    <w:rsid w:val="00FB3D88"/>
    <w:rsid w:val="00FB54C7"/>
    <w:rsid w:val="00FC2EE4"/>
    <w:rsid w:val="00FC517D"/>
    <w:rsid w:val="00FD40EA"/>
    <w:rsid w:val="00FD5F4D"/>
    <w:rsid w:val="00FD760A"/>
    <w:rsid w:val="00FE221E"/>
    <w:rsid w:val="00FE51BD"/>
    <w:rsid w:val="00FF035E"/>
    <w:rsid w:val="00FF16E3"/>
    <w:rsid w:val="00FF462E"/>
    <w:rsid w:val="00FF4D25"/>
    <w:rsid w:val="0DA6580F"/>
    <w:rsid w:val="0F690E86"/>
    <w:rsid w:val="1B2E78B6"/>
    <w:rsid w:val="61FF2BF9"/>
  </w:rsids>
  <w:docVars>
    <w:docVar w:name="commondata" w:val="eyJoZGlkIjoiNGJkZDE1MjA1NmQ5YThlMmJjMTNmYTg4NWJlNDllYm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uiPriority="0" w:qFormat="1"/>
    <w:lsdException w:name="index 2" w:uiPriority="0" w:qFormat="1"/>
    <w:lsdException w:name="index 3" w:uiPriority="0" w:qFormat="1"/>
    <w:lsdException w:name="index 4" w:uiPriority="0"/>
    <w:lsdException w:name="index 5" w:uiPriority="0"/>
    <w:lsdException w:name="index 6" w:uiPriority="0"/>
    <w:lsdException w:name="index 7" w:uiPriority="0"/>
    <w:lsdException w:name="index 8" w:uiPriority="0"/>
    <w:lsdException w:name="index 9" w:uiPriority="0" w:qFormat="1"/>
    <w:lsdException w:name="toc 1" w:semiHidden="0" w:uiPriority="39" w:qFormat="1"/>
    <w:lsdException w:name="toc 2" w:semiHidden="0" w:uiPriority="39"/>
    <w:lsdException w:name="toc 3" w:semiHidden="0" w:uiPriority="39"/>
    <w:lsdException w:name="toc 4" w:uiPriority="0" w:qFormat="1"/>
    <w:lsdException w:name="toc 5" w:uiPriority="0"/>
    <w:lsdException w:name="toc 6" w:uiPriority="0"/>
    <w:lsdException w:name="toc 7" w:uiPriority="0" w:qFormat="1"/>
    <w:lsdException w:name="toc 8" w:uiPriority="0" w:qFormat="1"/>
    <w:lsdException w:name="toc 9" w:uiPriority="0" w:qFormat="1"/>
    <w:lsdException w:name="Normal Indent" w:unhideWhenUsed="1"/>
    <w:lsdException w:name="footnote text" w:unhideWhenUsed="1"/>
    <w:lsdException w:name="annotation text" w:unhideWhenUsed="1"/>
    <w:lsdException w:name="header" w:semiHidden="0" w:uiPriority="0" w:qFormat="1"/>
    <w:lsdException w:name="footer" w:semiHidden="0" w:uiPriority="0" w:qFormat="1"/>
    <w:lsdException w:name="index heading" w:uiPriority="0"/>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qFormat="1"/>
    <w:lsdException w:name="Body Text"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semiHidden="0" w:uiPriority="0"/>
    <w:lsdException w:name="Body Text Indent 2" w:unhideWhenUsed="1"/>
    <w:lsdException w:name="Body Text Indent 3" w:semiHidden="0" w:uiPriority="0"/>
    <w:lsdException w:name="Block Text" w:unhideWhenUsed="1"/>
    <w:lsdException w:name="Hyperlink" w:semiHidden="0" w:qFormat="1"/>
    <w:lsdException w:name="FollowedHyperlink" w:unhideWhenUsed="1"/>
    <w:lsdException w:name="Strong" w:semiHidden="0" w:uiPriority="22" w:qFormat="1"/>
    <w:lsdException w:name="Emphasis" w:semiHidden="0" w:uiPriority="20" w:qFormat="1"/>
    <w:lsdException w:name="Document Map" w:semiHidden="0" w:uiPriority="0"/>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qFormat="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Placeholder Text" w:unhideWhenUsed="1"/>
    <w:lsdException w:name="No Spacing" w:unhideWhenUsed="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nhideWhenUsed="1"/>
    <w:lsdException w:name="List Paragraph" w:semiHidden="0" w:uiPriority="34" w:qFormat="1"/>
    <w:lsdException w:name="Quote" w:unhideWhenUsed="1"/>
    <w:lsdException w:name="Intense Quote" w:unhideWhenUsed="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next w:val="Heading1"/>
    <w:qFormat/>
    <w:pPr>
      <w:widowControl w:val="0"/>
      <w:jc w:val="both"/>
    </w:pPr>
    <w:rPr>
      <w:rFonts w:ascii="Times New Roman" w:eastAsia="宋体" w:hAnsi="Times New Roman" w:cs="Times New Roman"/>
      <w:kern w:val="2"/>
      <w:sz w:val="21"/>
      <w:szCs w:val="24"/>
    </w:rPr>
  </w:style>
  <w:style w:type="paragraph" w:styleId="Heading1">
    <w:name w:val="heading 1"/>
    <w:basedOn w:val="Normal"/>
    <w:next w:val="Normal"/>
    <w:link w:val="1Char1"/>
    <w:autoRedefine/>
    <w:qFormat/>
    <w:pPr>
      <w:keepNext/>
      <w:widowControl/>
      <w:numPr>
        <w:numId w:val="1"/>
      </w:numPr>
      <w:spacing w:before="240" w:after="60"/>
      <w:jc w:val="left"/>
      <w:outlineLvl w:val="0"/>
    </w:pPr>
    <w:rPr>
      <w:rFonts w:ascii="Arial" w:eastAsia="黑体" w:hAnsi="Arial" w:cs="Arial"/>
      <w:b/>
      <w:bCs/>
      <w:kern w:val="32"/>
      <w:sz w:val="32"/>
      <w:szCs w:val="32"/>
      <w:lang w:val="en-GB" w:eastAsia="en-US"/>
    </w:rPr>
  </w:style>
  <w:style w:type="paragraph" w:styleId="Heading2">
    <w:name w:val="heading 2"/>
    <w:basedOn w:val="Normal"/>
    <w:next w:val="Normal"/>
    <w:link w:val="2Char1"/>
    <w:autoRedefine/>
    <w:qFormat/>
    <w:pPr>
      <w:keepNext/>
      <w:keepLines/>
      <w:numPr>
        <w:ilvl w:val="1"/>
        <w:numId w:val="1"/>
      </w:numPr>
      <w:spacing w:before="260" w:after="260" w:line="416" w:lineRule="auto"/>
      <w:outlineLvl w:val="1"/>
    </w:pPr>
    <w:rPr>
      <w:rFonts w:ascii="Arial" w:eastAsia="黑体" w:hAnsi="Arial"/>
      <w:b/>
      <w:bCs/>
      <w:sz w:val="32"/>
      <w:szCs w:val="32"/>
    </w:rPr>
  </w:style>
  <w:style w:type="paragraph" w:styleId="Heading3">
    <w:name w:val="heading 3"/>
    <w:basedOn w:val="Normal"/>
    <w:next w:val="Normal"/>
    <w:link w:val="3Char"/>
    <w:autoRedefine/>
    <w:qFormat/>
    <w:pPr>
      <w:keepNext/>
      <w:keepLines/>
      <w:numPr>
        <w:ilvl w:val="2"/>
        <w:numId w:val="1"/>
      </w:numPr>
      <w:spacing w:before="260" w:after="260" w:line="416" w:lineRule="auto"/>
      <w:outlineLvl w:val="2"/>
    </w:pPr>
    <w:rPr>
      <w:b/>
      <w:bCs/>
      <w:sz w:val="32"/>
      <w:szCs w:val="32"/>
    </w:rPr>
  </w:style>
  <w:style w:type="paragraph" w:styleId="Heading4">
    <w:name w:val="heading 4"/>
    <w:basedOn w:val="Normal"/>
    <w:next w:val="Normal"/>
    <w:link w:val="4Char"/>
    <w:autoRedefine/>
    <w:qFormat/>
    <w:pPr>
      <w:keepNext/>
      <w:keepLines/>
      <w:numPr>
        <w:ilvl w:val="3"/>
        <w:numId w:val="1"/>
      </w:numPr>
      <w:spacing w:before="280" w:after="290" w:line="376" w:lineRule="auto"/>
      <w:outlineLvl w:val="3"/>
    </w:pPr>
    <w:rPr>
      <w:rFonts w:ascii="Arial" w:eastAsia="黑体" w:hAnsi="Arial"/>
      <w:b/>
      <w:bCs/>
      <w:sz w:val="28"/>
      <w:szCs w:val="28"/>
    </w:rPr>
  </w:style>
  <w:style w:type="paragraph" w:styleId="Heading5">
    <w:name w:val="heading 5"/>
    <w:basedOn w:val="Normal"/>
    <w:next w:val="Normal"/>
    <w:link w:val="5Char"/>
    <w:autoRedefine/>
    <w:qFormat/>
    <w:pPr>
      <w:keepNext/>
      <w:keepLines/>
      <w:numPr>
        <w:ilvl w:val="4"/>
        <w:numId w:val="1"/>
      </w:numPr>
      <w:tabs>
        <w:tab w:val="left" w:pos="1008"/>
      </w:tabs>
      <w:spacing w:before="280" w:after="290" w:line="376" w:lineRule="auto"/>
      <w:outlineLvl w:val="4"/>
    </w:pPr>
    <w:rPr>
      <w:b/>
      <w:bCs/>
      <w:sz w:val="28"/>
      <w:szCs w:val="28"/>
    </w:rPr>
  </w:style>
  <w:style w:type="paragraph" w:styleId="Heading6">
    <w:name w:val="heading 6"/>
    <w:basedOn w:val="Normal"/>
    <w:next w:val="Normal"/>
    <w:link w:val="6Char"/>
    <w:autoRedefine/>
    <w:qFormat/>
    <w:pPr>
      <w:keepNext/>
      <w:keepLines/>
      <w:numPr>
        <w:ilvl w:val="5"/>
        <w:numId w:val="1"/>
      </w:numPr>
      <w:tabs>
        <w:tab w:val="left" w:pos="1152"/>
      </w:tabs>
      <w:spacing w:before="240" w:after="64" w:line="320" w:lineRule="auto"/>
      <w:outlineLvl w:val="5"/>
    </w:pPr>
    <w:rPr>
      <w:rFonts w:ascii="Arial" w:eastAsia="黑体" w:hAnsi="Arial"/>
      <w:b/>
      <w:bCs/>
      <w:sz w:val="24"/>
    </w:rPr>
  </w:style>
  <w:style w:type="paragraph" w:styleId="Heading7">
    <w:name w:val="heading 7"/>
    <w:basedOn w:val="Normal"/>
    <w:next w:val="Normal"/>
    <w:link w:val="7Char"/>
    <w:autoRedefine/>
    <w:qFormat/>
    <w:pPr>
      <w:keepNext/>
      <w:keepLines/>
      <w:tabs>
        <w:tab w:val="left" w:pos="1296"/>
      </w:tabs>
      <w:spacing w:before="240" w:after="64" w:line="320" w:lineRule="auto"/>
      <w:ind w:left="1296" w:hanging="1296"/>
      <w:outlineLvl w:val="6"/>
    </w:pPr>
    <w:rPr>
      <w:b/>
      <w:bCs/>
      <w:sz w:val="24"/>
    </w:rPr>
  </w:style>
  <w:style w:type="paragraph" w:styleId="Heading8">
    <w:name w:val="heading 8"/>
    <w:basedOn w:val="Normal"/>
    <w:next w:val="Normal"/>
    <w:link w:val="8Char"/>
    <w:autoRedefine/>
    <w:qFormat/>
    <w:pPr>
      <w:keepNext/>
      <w:keepLines/>
      <w:tabs>
        <w:tab w:val="left" w:pos="1440"/>
      </w:tabs>
      <w:spacing w:before="240" w:after="64" w:line="320" w:lineRule="auto"/>
      <w:ind w:left="1440" w:hanging="1440"/>
      <w:outlineLvl w:val="7"/>
    </w:pPr>
    <w:rPr>
      <w:rFonts w:ascii="Arial" w:eastAsia="黑体" w:hAnsi="Arial"/>
      <w:sz w:val="24"/>
    </w:rPr>
  </w:style>
  <w:style w:type="paragraph" w:styleId="Heading9">
    <w:name w:val="heading 9"/>
    <w:basedOn w:val="Normal"/>
    <w:next w:val="Normal"/>
    <w:link w:val="9Char"/>
    <w:autoRedefine/>
    <w:qFormat/>
    <w:pPr>
      <w:keepNext/>
      <w:keepLines/>
      <w:tabs>
        <w:tab w:val="left" w:pos="1584"/>
      </w:tabs>
      <w:spacing w:before="240" w:after="64" w:line="320" w:lineRule="auto"/>
      <w:ind w:left="1584" w:hanging="1584"/>
      <w:outlineLvl w:val="8"/>
    </w:pPr>
    <w:rPr>
      <w:rFonts w:ascii="Arial" w:eastAsia="黑体" w:hAnsi="Arial"/>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autoRedefine/>
    <w:semiHidden/>
    <w:qFormat/>
    <w:pPr>
      <w:ind w:left="1260"/>
      <w:jc w:val="left"/>
    </w:pPr>
    <w:rPr>
      <w:sz w:val="18"/>
      <w:szCs w:val="18"/>
    </w:rPr>
  </w:style>
  <w:style w:type="paragraph" w:styleId="Index8">
    <w:name w:val="index 8"/>
    <w:basedOn w:val="Normal"/>
    <w:next w:val="Normal"/>
    <w:autoRedefine/>
    <w:semiHidden/>
    <w:pPr>
      <w:ind w:left="1680" w:hanging="210"/>
      <w:jc w:val="left"/>
    </w:pPr>
    <w:rPr>
      <w:szCs w:val="21"/>
    </w:rPr>
  </w:style>
  <w:style w:type="paragraph" w:styleId="Index5">
    <w:name w:val="index 5"/>
    <w:basedOn w:val="Normal"/>
    <w:next w:val="Normal"/>
    <w:autoRedefine/>
    <w:semiHidden/>
    <w:pPr>
      <w:ind w:left="1050" w:hanging="210"/>
      <w:jc w:val="left"/>
    </w:pPr>
    <w:rPr>
      <w:szCs w:val="21"/>
    </w:rPr>
  </w:style>
  <w:style w:type="paragraph" w:styleId="DocumentMap">
    <w:name w:val="Document Map"/>
    <w:basedOn w:val="Normal"/>
    <w:link w:val="Char3"/>
    <w:rPr>
      <w:rFonts w:ascii="宋体"/>
      <w:sz w:val="18"/>
      <w:szCs w:val="18"/>
    </w:rPr>
  </w:style>
  <w:style w:type="paragraph" w:styleId="Index6">
    <w:name w:val="index 6"/>
    <w:basedOn w:val="Normal"/>
    <w:next w:val="Normal"/>
    <w:autoRedefine/>
    <w:semiHidden/>
    <w:pPr>
      <w:ind w:left="1260" w:hanging="210"/>
      <w:jc w:val="left"/>
    </w:pPr>
    <w:rPr>
      <w:szCs w:val="21"/>
    </w:rPr>
  </w:style>
  <w:style w:type="paragraph" w:styleId="BodyText3">
    <w:name w:val="Body Text 3"/>
    <w:basedOn w:val="Normal"/>
    <w:link w:val="3Char1"/>
    <w:pPr>
      <w:spacing w:after="120"/>
    </w:pPr>
    <w:rPr>
      <w:sz w:val="16"/>
      <w:szCs w:val="16"/>
    </w:rPr>
  </w:style>
  <w:style w:type="paragraph" w:styleId="BodyText">
    <w:name w:val="Body Text"/>
    <w:basedOn w:val="Normal"/>
    <w:link w:val="Char1"/>
    <w:pPr>
      <w:spacing w:after="120"/>
    </w:pPr>
  </w:style>
  <w:style w:type="paragraph" w:styleId="Index4">
    <w:name w:val="index 4"/>
    <w:basedOn w:val="Normal"/>
    <w:next w:val="Normal"/>
    <w:autoRedefine/>
    <w:semiHidden/>
    <w:pPr>
      <w:ind w:left="840" w:hanging="210"/>
      <w:jc w:val="left"/>
    </w:pPr>
    <w:rPr>
      <w:szCs w:val="21"/>
    </w:rPr>
  </w:style>
  <w:style w:type="paragraph" w:styleId="TOC5">
    <w:name w:val="toc 5"/>
    <w:basedOn w:val="Normal"/>
    <w:next w:val="Normal"/>
    <w:autoRedefine/>
    <w:semiHidden/>
    <w:pPr>
      <w:ind w:left="840"/>
      <w:jc w:val="left"/>
    </w:pPr>
    <w:rPr>
      <w:sz w:val="18"/>
      <w:szCs w:val="18"/>
    </w:rPr>
  </w:style>
  <w:style w:type="paragraph" w:styleId="TOC3">
    <w:name w:val="toc 3"/>
    <w:basedOn w:val="Normal"/>
    <w:next w:val="Normal"/>
    <w:autoRedefine/>
    <w:uiPriority w:val="39"/>
    <w:pPr>
      <w:ind w:left="420"/>
      <w:jc w:val="left"/>
    </w:pPr>
    <w:rPr>
      <w:i/>
      <w:iCs/>
      <w:sz w:val="20"/>
      <w:szCs w:val="20"/>
    </w:rPr>
  </w:style>
  <w:style w:type="paragraph" w:styleId="TOC8">
    <w:name w:val="toc 8"/>
    <w:basedOn w:val="Normal"/>
    <w:next w:val="Normal"/>
    <w:autoRedefine/>
    <w:semiHidden/>
    <w:qFormat/>
    <w:pPr>
      <w:ind w:left="1470"/>
      <w:jc w:val="left"/>
    </w:pPr>
    <w:rPr>
      <w:sz w:val="18"/>
      <w:szCs w:val="18"/>
    </w:rPr>
  </w:style>
  <w:style w:type="paragraph" w:styleId="Index3">
    <w:name w:val="index 3"/>
    <w:basedOn w:val="Normal"/>
    <w:next w:val="Normal"/>
    <w:autoRedefine/>
    <w:semiHidden/>
    <w:qFormat/>
    <w:pPr>
      <w:ind w:left="630" w:hanging="210"/>
      <w:jc w:val="left"/>
    </w:pPr>
    <w:rPr>
      <w:szCs w:val="21"/>
    </w:rPr>
  </w:style>
  <w:style w:type="paragraph" w:styleId="BalloonText">
    <w:name w:val="Balloon Text"/>
    <w:basedOn w:val="Normal"/>
    <w:link w:val="Char4"/>
    <w:uiPriority w:val="99"/>
    <w:semiHidden/>
    <w:unhideWhenUsed/>
    <w:rPr>
      <w:sz w:val="18"/>
      <w:szCs w:val="18"/>
    </w:rPr>
  </w:style>
  <w:style w:type="paragraph" w:styleId="Footer">
    <w:name w:val="footer"/>
    <w:basedOn w:val="Normal"/>
    <w:link w:val="Char0"/>
    <w:autoRedefine/>
    <w:qFormat/>
    <w:pPr>
      <w:tabs>
        <w:tab w:val="center" w:pos="4153"/>
        <w:tab w:val="right" w:pos="8306"/>
      </w:tabs>
      <w:snapToGrid w:val="0"/>
      <w:jc w:val="left"/>
    </w:pPr>
    <w:rPr>
      <w:sz w:val="18"/>
      <w:szCs w:val="18"/>
    </w:rPr>
  </w:style>
  <w:style w:type="paragraph" w:styleId="Header">
    <w:name w:val="header"/>
    <w:basedOn w:val="Normal"/>
    <w:link w:val="Char"/>
    <w:autoRedefine/>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qFormat/>
    <w:pPr>
      <w:tabs>
        <w:tab w:val="left" w:pos="420"/>
        <w:tab w:val="right" w:leader="dot" w:pos="8302"/>
      </w:tabs>
      <w:spacing w:before="120" w:after="120"/>
      <w:jc w:val="left"/>
    </w:pPr>
    <w:rPr>
      <w:b/>
      <w:bCs/>
      <w:caps/>
      <w:sz w:val="20"/>
      <w:szCs w:val="20"/>
    </w:rPr>
  </w:style>
  <w:style w:type="paragraph" w:styleId="TOC4">
    <w:name w:val="toc 4"/>
    <w:basedOn w:val="Normal"/>
    <w:next w:val="Normal"/>
    <w:autoRedefine/>
    <w:semiHidden/>
    <w:qFormat/>
    <w:pPr>
      <w:ind w:left="630"/>
      <w:jc w:val="left"/>
    </w:pPr>
    <w:rPr>
      <w:sz w:val="18"/>
      <w:szCs w:val="18"/>
    </w:rPr>
  </w:style>
  <w:style w:type="paragraph" w:styleId="IndexHeading">
    <w:name w:val="index heading"/>
    <w:basedOn w:val="Normal"/>
    <w:next w:val="Index1"/>
    <w:autoRedefine/>
    <w:semiHidden/>
    <w:pPr>
      <w:pBdr>
        <w:top w:val="double" w:sz="6" w:space="0" w:color="auto"/>
        <w:left w:val="double" w:sz="6" w:space="0" w:color="auto"/>
        <w:bottom w:val="double" w:sz="6" w:space="0" w:color="auto"/>
        <w:right w:val="double" w:sz="6" w:space="0" w:color="auto"/>
      </w:pBdr>
      <w:spacing w:before="240" w:after="120"/>
      <w:jc w:val="center"/>
    </w:pPr>
    <w:rPr>
      <w:rFonts w:ascii="Arial" w:hAnsi="Arial"/>
      <w:b/>
      <w:bCs/>
      <w:szCs w:val="26"/>
    </w:rPr>
  </w:style>
  <w:style w:type="paragraph" w:styleId="Index1">
    <w:name w:val="index 1"/>
    <w:basedOn w:val="Normal"/>
    <w:next w:val="Normal"/>
    <w:autoRedefine/>
    <w:semiHidden/>
    <w:qFormat/>
    <w:pPr>
      <w:ind w:left="210" w:hanging="210"/>
      <w:jc w:val="left"/>
    </w:pPr>
    <w:rPr>
      <w:szCs w:val="21"/>
    </w:rPr>
  </w:style>
  <w:style w:type="paragraph" w:styleId="TOC6">
    <w:name w:val="toc 6"/>
    <w:basedOn w:val="Normal"/>
    <w:next w:val="Normal"/>
    <w:autoRedefine/>
    <w:semiHidden/>
    <w:pPr>
      <w:ind w:left="1050"/>
      <w:jc w:val="left"/>
    </w:pPr>
    <w:rPr>
      <w:sz w:val="18"/>
      <w:szCs w:val="18"/>
    </w:rPr>
  </w:style>
  <w:style w:type="paragraph" w:styleId="BodyTextIndent3">
    <w:name w:val="Body Text Indent 3"/>
    <w:basedOn w:val="Normal"/>
    <w:link w:val="3Char0"/>
    <w:pPr>
      <w:widowControl/>
      <w:spacing w:line="360" w:lineRule="auto"/>
      <w:ind w:left="420"/>
      <w:jc w:val="left"/>
    </w:pPr>
    <w:rPr>
      <w:rFonts w:ascii="宋体" w:hAnsi="宋体"/>
      <w:kern w:val="0"/>
      <w:sz w:val="24"/>
      <w:szCs w:val="21"/>
      <w:lang w:val="en-GB"/>
    </w:rPr>
  </w:style>
  <w:style w:type="paragraph" w:styleId="Index7">
    <w:name w:val="index 7"/>
    <w:basedOn w:val="Normal"/>
    <w:next w:val="Normal"/>
    <w:autoRedefine/>
    <w:semiHidden/>
    <w:pPr>
      <w:ind w:left="1470" w:hanging="210"/>
      <w:jc w:val="left"/>
    </w:pPr>
    <w:rPr>
      <w:szCs w:val="21"/>
    </w:rPr>
  </w:style>
  <w:style w:type="paragraph" w:styleId="Index9">
    <w:name w:val="index 9"/>
    <w:basedOn w:val="Normal"/>
    <w:next w:val="Normal"/>
    <w:autoRedefine/>
    <w:semiHidden/>
    <w:qFormat/>
    <w:pPr>
      <w:ind w:left="1890" w:hanging="210"/>
      <w:jc w:val="left"/>
    </w:pPr>
    <w:rPr>
      <w:szCs w:val="21"/>
    </w:rPr>
  </w:style>
  <w:style w:type="paragraph" w:styleId="TOC2">
    <w:name w:val="toc 2"/>
    <w:basedOn w:val="Normal"/>
    <w:next w:val="Normal"/>
    <w:autoRedefine/>
    <w:uiPriority w:val="39"/>
    <w:pPr>
      <w:ind w:left="210"/>
      <w:jc w:val="left"/>
    </w:pPr>
    <w:rPr>
      <w:smallCaps/>
      <w:sz w:val="20"/>
      <w:szCs w:val="20"/>
    </w:rPr>
  </w:style>
  <w:style w:type="paragraph" w:styleId="TOC9">
    <w:name w:val="toc 9"/>
    <w:basedOn w:val="Normal"/>
    <w:next w:val="Normal"/>
    <w:autoRedefine/>
    <w:semiHidden/>
    <w:qFormat/>
    <w:pPr>
      <w:ind w:left="1680"/>
      <w:jc w:val="left"/>
    </w:pPr>
    <w:rPr>
      <w:sz w:val="18"/>
      <w:szCs w:val="18"/>
    </w:rPr>
  </w:style>
  <w:style w:type="paragraph" w:styleId="NormalWeb">
    <w:name w:val="Normal (Web)"/>
    <w:basedOn w:val="Normal"/>
    <w:uiPriority w:val="99"/>
    <w:semiHidden/>
    <w:unhideWhenUsed/>
    <w:pPr>
      <w:widowControl/>
      <w:spacing w:before="100" w:beforeAutospacing="1" w:after="100" w:afterAutospacing="1"/>
      <w:jc w:val="left"/>
    </w:pPr>
    <w:rPr>
      <w:rFonts w:ascii="宋体" w:hAnsi="宋体" w:cs="宋体"/>
      <w:kern w:val="0"/>
      <w:sz w:val="24"/>
    </w:rPr>
  </w:style>
  <w:style w:type="paragraph" w:styleId="Index2">
    <w:name w:val="index 2"/>
    <w:basedOn w:val="Normal"/>
    <w:next w:val="Normal"/>
    <w:autoRedefine/>
    <w:semiHidden/>
    <w:qFormat/>
    <w:pPr>
      <w:ind w:left="420" w:hanging="210"/>
      <w:jc w:val="left"/>
    </w:pPr>
    <w:rPr>
      <w:szCs w:val="21"/>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autoRedefine/>
    <w:uiPriority w:val="99"/>
    <w:qFormat/>
    <w:rPr>
      <w:color w:val="0000FF"/>
      <w:u w:val="single"/>
    </w:rPr>
  </w:style>
  <w:style w:type="character" w:customStyle="1" w:styleId="1Char1">
    <w:name w:val="标题 1 Char1"/>
    <w:basedOn w:val="DefaultParagraphFont"/>
    <w:link w:val="Heading1"/>
    <w:rPr>
      <w:rFonts w:ascii="Arial" w:eastAsia="黑体" w:hAnsi="Arial" w:cs="Arial"/>
      <w:b/>
      <w:bCs/>
      <w:kern w:val="32"/>
      <w:sz w:val="32"/>
      <w:szCs w:val="32"/>
      <w:lang w:val="en-GB" w:eastAsia="en-US"/>
    </w:rPr>
  </w:style>
  <w:style w:type="character" w:customStyle="1" w:styleId="2Char1">
    <w:name w:val="标题 2 Char1"/>
    <w:basedOn w:val="DefaultParagraphFont"/>
    <w:link w:val="Heading2"/>
    <w:rPr>
      <w:rFonts w:ascii="Arial" w:eastAsia="黑体" w:hAnsi="Arial" w:cs="Times New Roman"/>
      <w:b/>
      <w:bCs/>
      <w:sz w:val="32"/>
      <w:szCs w:val="32"/>
    </w:rPr>
  </w:style>
  <w:style w:type="character" w:customStyle="1" w:styleId="3Char">
    <w:name w:val="标题 3 Char"/>
    <w:basedOn w:val="DefaultParagraphFont"/>
    <w:link w:val="Heading3"/>
    <w:rPr>
      <w:rFonts w:ascii="Times New Roman" w:eastAsia="宋体" w:hAnsi="Times New Roman" w:cs="Times New Roman"/>
      <w:b/>
      <w:bCs/>
      <w:sz w:val="32"/>
      <w:szCs w:val="32"/>
    </w:rPr>
  </w:style>
  <w:style w:type="character" w:customStyle="1" w:styleId="4Char">
    <w:name w:val="标题 4 Char"/>
    <w:basedOn w:val="DefaultParagraphFont"/>
    <w:link w:val="Heading4"/>
    <w:rPr>
      <w:rFonts w:ascii="Arial" w:eastAsia="黑体" w:hAnsi="Arial" w:cs="Times New Roman"/>
      <w:b/>
      <w:bCs/>
      <w:sz w:val="28"/>
      <w:szCs w:val="28"/>
    </w:rPr>
  </w:style>
  <w:style w:type="character" w:customStyle="1" w:styleId="5Char">
    <w:name w:val="标题 5 Char"/>
    <w:basedOn w:val="DefaultParagraphFont"/>
    <w:link w:val="Heading5"/>
    <w:rPr>
      <w:rFonts w:ascii="Times New Roman" w:eastAsia="宋体" w:hAnsi="Times New Roman" w:cs="Times New Roman"/>
      <w:b/>
      <w:bCs/>
      <w:sz w:val="28"/>
      <w:szCs w:val="28"/>
    </w:rPr>
  </w:style>
  <w:style w:type="character" w:customStyle="1" w:styleId="6Char">
    <w:name w:val="标题 6 Char"/>
    <w:basedOn w:val="DefaultParagraphFont"/>
    <w:link w:val="Heading6"/>
    <w:rPr>
      <w:rFonts w:ascii="Arial" w:eastAsia="黑体" w:hAnsi="Arial" w:cs="Times New Roman"/>
      <w:b/>
      <w:bCs/>
      <w:sz w:val="24"/>
      <w:szCs w:val="24"/>
    </w:rPr>
  </w:style>
  <w:style w:type="character" w:customStyle="1" w:styleId="7Char">
    <w:name w:val="标题 7 Char"/>
    <w:basedOn w:val="DefaultParagraphFont"/>
    <w:link w:val="Heading7"/>
    <w:autoRedefine/>
    <w:qFormat/>
    <w:rPr>
      <w:rFonts w:ascii="Times New Roman" w:eastAsia="宋体" w:hAnsi="Times New Roman" w:cs="Times New Roman"/>
      <w:b/>
      <w:bCs/>
      <w:sz w:val="24"/>
      <w:szCs w:val="24"/>
    </w:rPr>
  </w:style>
  <w:style w:type="character" w:customStyle="1" w:styleId="8Char">
    <w:name w:val="标题 8 Char"/>
    <w:basedOn w:val="DefaultParagraphFont"/>
    <w:link w:val="Heading8"/>
    <w:rPr>
      <w:rFonts w:ascii="Arial" w:eastAsia="黑体" w:hAnsi="Arial" w:cs="Times New Roman"/>
      <w:sz w:val="24"/>
      <w:szCs w:val="24"/>
    </w:rPr>
  </w:style>
  <w:style w:type="character" w:customStyle="1" w:styleId="9Char">
    <w:name w:val="标题 9 Char"/>
    <w:basedOn w:val="DefaultParagraphFont"/>
    <w:link w:val="Heading9"/>
    <w:rPr>
      <w:rFonts w:ascii="Arial" w:eastAsia="黑体" w:hAnsi="Arial" w:cs="Times New Roman"/>
      <w:szCs w:val="21"/>
    </w:rPr>
  </w:style>
  <w:style w:type="paragraph" w:customStyle="1" w:styleId="ParaCharCharCharCharCharCharCharCharCharChar">
    <w:name w:val="默认段落字体 Para Char Char Char Char Char Char Char Char Char Char"/>
    <w:basedOn w:val="Normal"/>
  </w:style>
  <w:style w:type="character" w:customStyle="1" w:styleId="Char">
    <w:name w:val="页眉 Char"/>
    <w:basedOn w:val="DefaultParagraphFont"/>
    <w:link w:val="Header"/>
    <w:rPr>
      <w:rFonts w:ascii="Times New Roman" w:eastAsia="宋体" w:hAnsi="Times New Roman" w:cs="Times New Roman"/>
      <w:sz w:val="18"/>
      <w:szCs w:val="18"/>
    </w:rPr>
  </w:style>
  <w:style w:type="character" w:customStyle="1" w:styleId="Char0">
    <w:name w:val="页脚 Char"/>
    <w:basedOn w:val="DefaultParagraphFont"/>
    <w:link w:val="Footer"/>
    <w:rPr>
      <w:rFonts w:ascii="Times New Roman" w:eastAsia="宋体" w:hAnsi="Times New Roman" w:cs="Times New Roman"/>
      <w:sz w:val="18"/>
      <w:szCs w:val="18"/>
    </w:rPr>
  </w:style>
  <w:style w:type="character" w:customStyle="1" w:styleId="3Char0">
    <w:name w:val="正文文本缩进 3 Char"/>
    <w:basedOn w:val="DefaultParagraphFont"/>
    <w:link w:val="BodyTextIndent3"/>
    <w:rPr>
      <w:rFonts w:ascii="宋体" w:eastAsia="宋体" w:hAnsi="宋体" w:cs="Times New Roman"/>
      <w:kern w:val="0"/>
      <w:sz w:val="24"/>
      <w:szCs w:val="21"/>
      <w:lang w:val="en-GB"/>
    </w:rPr>
  </w:style>
  <w:style w:type="character" w:customStyle="1" w:styleId="Char1">
    <w:name w:val="正文文本 Char"/>
    <w:basedOn w:val="DefaultParagraphFont"/>
    <w:link w:val="BodyText"/>
    <w:rPr>
      <w:rFonts w:ascii="Times New Roman" w:eastAsia="宋体" w:hAnsi="Times New Roman" w:cs="Times New Roman"/>
      <w:szCs w:val="24"/>
    </w:rPr>
  </w:style>
  <w:style w:type="paragraph" w:customStyle="1" w:styleId="Char2">
    <w:name w:val="Char"/>
    <w:basedOn w:val="Normal"/>
    <w:next w:val="Normal"/>
    <w:autoRedefine/>
    <w:qFormat/>
    <w:pPr>
      <w:widowControl/>
      <w:spacing w:after="160" w:line="360" w:lineRule="auto"/>
      <w:jc w:val="left"/>
    </w:pPr>
    <w:rPr>
      <w:rFonts w:ascii="Verdana" w:hAnsi="Verdana"/>
      <w:kern w:val="0"/>
      <w:sz w:val="24"/>
      <w:szCs w:val="20"/>
      <w:lang w:eastAsia="en-US"/>
    </w:rPr>
  </w:style>
  <w:style w:type="paragraph" w:customStyle="1" w:styleId="Char10">
    <w:name w:val="Char1"/>
    <w:basedOn w:val="Normal"/>
    <w:next w:val="Normal"/>
    <w:autoRedefine/>
    <w:qFormat/>
    <w:pPr>
      <w:widowControl/>
      <w:spacing w:after="160" w:line="360" w:lineRule="auto"/>
      <w:jc w:val="left"/>
    </w:pPr>
    <w:rPr>
      <w:rFonts w:ascii="Verdana" w:hAnsi="Verdana"/>
      <w:kern w:val="0"/>
      <w:sz w:val="24"/>
      <w:szCs w:val="20"/>
      <w:lang w:eastAsia="en-US"/>
    </w:rPr>
  </w:style>
  <w:style w:type="character" w:customStyle="1" w:styleId="3Char1">
    <w:name w:val="正文文本 3 Char"/>
    <w:basedOn w:val="DefaultParagraphFont"/>
    <w:link w:val="BodyText3"/>
    <w:rPr>
      <w:rFonts w:ascii="Times New Roman" w:eastAsia="宋体" w:hAnsi="Times New Roman" w:cs="Times New Roman"/>
      <w:sz w:val="16"/>
      <w:szCs w:val="16"/>
    </w:rPr>
  </w:style>
  <w:style w:type="paragraph" w:customStyle="1" w:styleId="a">
    <w:name w:val="表格题注"/>
    <w:basedOn w:val="Normal"/>
    <w:pPr>
      <w:keepLines/>
      <w:autoSpaceDE w:val="0"/>
      <w:autoSpaceDN w:val="0"/>
      <w:adjustRightInd w:val="0"/>
      <w:spacing w:before="80" w:after="80"/>
      <w:jc w:val="center"/>
    </w:pPr>
    <w:rPr>
      <w:rFonts w:ascii="Arial" w:hAnsi="Arial"/>
      <w:kern w:val="0"/>
      <w:sz w:val="18"/>
      <w:szCs w:val="18"/>
    </w:rPr>
  </w:style>
  <w:style w:type="paragraph" w:customStyle="1" w:styleId="tytytyty">
    <w:name w:val="tytytyty"/>
    <w:basedOn w:val="Normal"/>
    <w:pPr>
      <w:spacing w:line="360" w:lineRule="auto"/>
      <w:ind w:left="359" w:firstLine="480" w:leftChars="171" w:firstLineChars="200"/>
    </w:pPr>
    <w:rPr>
      <w:sz w:val="24"/>
    </w:rPr>
  </w:style>
  <w:style w:type="paragraph" w:customStyle="1" w:styleId="CharChar1CharCharCharCharCharCharCharChar">
    <w:name w:val="Char Char1 Char Char Char Char Char Char Char Char"/>
    <w:basedOn w:val="Normal"/>
    <w:autoRedefine/>
    <w:pPr>
      <w:widowControl/>
      <w:spacing w:line="240" w:lineRule="exact"/>
      <w:jc w:val="left"/>
    </w:pPr>
    <w:rPr>
      <w:rFonts w:ascii="Verdana" w:hAnsi="Verdana"/>
      <w:kern w:val="0"/>
      <w:sz w:val="20"/>
      <w:szCs w:val="20"/>
      <w:lang w:eastAsia="en-US"/>
    </w:rPr>
  </w:style>
  <w:style w:type="character" w:customStyle="1" w:styleId="Char3">
    <w:name w:val="文档结构图 Char"/>
    <w:basedOn w:val="DefaultParagraphFont"/>
    <w:link w:val="DocumentMap"/>
    <w:rPr>
      <w:rFonts w:ascii="宋体" w:eastAsia="宋体" w:hAnsi="Times New Roman" w:cs="Times New Roman"/>
      <w:sz w:val="18"/>
      <w:szCs w:val="18"/>
    </w:rPr>
  </w:style>
  <w:style w:type="paragraph" w:customStyle="1" w:styleId="CharChar1CharCharCharCharCharCharCharCharCharCharChar">
    <w:name w:val="Char Char1 Char Char Char Char Char Char Char Char Char Char Char"/>
    <w:basedOn w:val="Normal"/>
    <w:autoRedefine/>
    <w:pPr>
      <w:widowControl/>
      <w:spacing w:line="240" w:lineRule="exact"/>
      <w:jc w:val="left"/>
    </w:pPr>
    <w:rPr>
      <w:rFonts w:ascii="Verdana" w:hAnsi="Verdana"/>
      <w:kern w:val="0"/>
      <w:sz w:val="20"/>
      <w:szCs w:val="20"/>
      <w:lang w:eastAsia="en-US"/>
    </w:rPr>
  </w:style>
  <w:style w:type="paragraph" w:customStyle="1" w:styleId="biaoti2">
    <w:name w:val="biaoti2"/>
    <w:basedOn w:val="Heading2"/>
    <w:pPr>
      <w:tabs>
        <w:tab w:val="left" w:pos="576"/>
      </w:tabs>
      <w:spacing w:line="360" w:lineRule="auto"/>
      <w:ind w:left="576" w:hanging="576"/>
    </w:pPr>
  </w:style>
  <w:style w:type="paragraph" w:customStyle="1" w:styleId="biaoti1">
    <w:name w:val="biaoti1"/>
    <w:basedOn w:val="Heading1"/>
    <w:autoRedefine/>
    <w:qFormat/>
    <w:pPr>
      <w:keepLines/>
      <w:widowControl w:val="0"/>
      <w:tabs>
        <w:tab w:val="left" w:pos="432"/>
      </w:tabs>
      <w:spacing w:before="340" w:after="330" w:line="360" w:lineRule="auto"/>
      <w:ind w:left="432" w:hanging="432"/>
      <w:jc w:val="both"/>
    </w:pPr>
    <w:rPr>
      <w:rFonts w:ascii="Times New Roman" w:hAnsi="Times New Roman" w:cs="Times New Roman"/>
      <w:kern w:val="44"/>
      <w:sz w:val="44"/>
      <w:szCs w:val="44"/>
      <w:lang w:val="en-US" w:eastAsia="zh-CN"/>
    </w:rPr>
  </w:style>
  <w:style w:type="paragraph" w:customStyle="1" w:styleId="11">
    <w:name w:val="标题 1（1）"/>
    <w:basedOn w:val="Heading1"/>
    <w:next w:val="Normal"/>
    <w:autoRedefine/>
    <w:qFormat/>
    <w:pPr>
      <w:keepLines/>
      <w:widowControl w:val="0"/>
      <w:spacing w:before="360" w:after="120" w:line="360" w:lineRule="auto"/>
    </w:pPr>
    <w:rPr>
      <w:rFonts w:cs="Times New Roman"/>
      <w:kern w:val="44"/>
      <w:szCs w:val="44"/>
    </w:rPr>
  </w:style>
  <w:style w:type="paragraph" w:customStyle="1" w:styleId="21">
    <w:name w:val="标题 2（1）"/>
    <w:basedOn w:val="Heading2"/>
    <w:next w:val="Normal"/>
    <w:autoRedefine/>
    <w:qFormat/>
    <w:pPr>
      <w:spacing w:before="200" w:after="200" w:line="360" w:lineRule="auto"/>
      <w:jc w:val="left"/>
    </w:pPr>
    <w:rPr>
      <w:bCs w:val="0"/>
      <w:sz w:val="28"/>
    </w:rPr>
  </w:style>
  <w:style w:type="paragraph" w:customStyle="1" w:styleId="31">
    <w:name w:val="标题 3（1）"/>
    <w:basedOn w:val="Heading3"/>
    <w:next w:val="Normal"/>
    <w:autoRedefine/>
    <w:qFormat/>
    <w:pPr>
      <w:tabs>
        <w:tab w:val="left" w:pos="960"/>
      </w:tabs>
      <w:spacing w:before="0" w:after="0" w:line="360" w:lineRule="auto"/>
      <w:jc w:val="left"/>
    </w:pPr>
    <w:rPr>
      <w:rFonts w:ascii="Arial" w:eastAsia="黑体" w:hAnsi="Arial"/>
      <w:bCs w:val="0"/>
      <w:kern w:val="0"/>
      <w:sz w:val="24"/>
      <w:szCs w:val="30"/>
    </w:rPr>
  </w:style>
  <w:style w:type="paragraph" w:customStyle="1" w:styleId="41">
    <w:name w:val="标题 4（1）"/>
    <w:basedOn w:val="Heading4"/>
    <w:next w:val="Normal"/>
    <w:autoRedefine/>
    <w:qFormat/>
    <w:pPr>
      <w:widowControl/>
      <w:spacing w:after="156"/>
      <w:jc w:val="left"/>
    </w:pPr>
    <w:rPr>
      <w:bCs w:val="0"/>
      <w:kern w:val="0"/>
    </w:rPr>
  </w:style>
  <w:style w:type="paragraph" w:customStyle="1" w:styleId="51">
    <w:name w:val="标题 5（有编号）（1）"/>
    <w:basedOn w:val="Normal"/>
    <w:next w:val="Normal"/>
    <w:autoRedefine/>
    <w:qFormat/>
    <w:pPr>
      <w:keepNext/>
      <w:keepLines/>
      <w:spacing w:before="280" w:after="156" w:line="377" w:lineRule="auto"/>
      <w:jc w:val="left"/>
      <w:outlineLvl w:val="4"/>
    </w:pPr>
    <w:rPr>
      <w:rFonts w:ascii="Arial" w:eastAsia="黑体" w:hAnsi="Arial"/>
      <w:b/>
      <w:kern w:val="0"/>
      <w:sz w:val="24"/>
      <w:szCs w:val="28"/>
    </w:rPr>
  </w:style>
  <w:style w:type="paragraph" w:customStyle="1" w:styleId="61">
    <w:name w:val="标题 6（有编号）（1）"/>
    <w:basedOn w:val="Normal"/>
    <w:next w:val="Normal"/>
    <w:qFormat/>
    <w:pPr>
      <w:keepNext/>
      <w:keepLines/>
      <w:spacing w:before="240" w:after="64" w:line="319" w:lineRule="auto"/>
      <w:jc w:val="left"/>
      <w:outlineLvl w:val="5"/>
    </w:pPr>
    <w:rPr>
      <w:rFonts w:ascii="Arial" w:eastAsia="黑体" w:hAnsi="Arial"/>
      <w:b/>
      <w:kern w:val="0"/>
    </w:rPr>
  </w:style>
  <w:style w:type="paragraph" w:customStyle="1" w:styleId="a0">
    <w:name w:val="插图标注（绿盟科技）"/>
    <w:next w:val="Normal"/>
    <w:autoRedefine/>
    <w:qFormat/>
    <w:pPr>
      <w:spacing w:after="156"/>
      <w:jc w:val="center"/>
    </w:pPr>
    <w:rPr>
      <w:rFonts w:ascii="Arial" w:eastAsia="宋体" w:hAnsi="Arial" w:cs="Times New Roman"/>
      <w:sz w:val="21"/>
      <w:szCs w:val="21"/>
    </w:rPr>
  </w:style>
  <w:style w:type="paragraph" w:customStyle="1" w:styleId="a1">
    <w:name w:val="表格标注（绿盟科技）"/>
    <w:basedOn w:val="a0"/>
    <w:next w:val="Normal"/>
    <w:autoRedefine/>
    <w:qFormat/>
  </w:style>
  <w:style w:type="paragraph" w:styleId="ListParagraph">
    <w:name w:val="List Paragraph"/>
    <w:basedOn w:val="Normal"/>
    <w:autoRedefine/>
    <w:uiPriority w:val="34"/>
    <w:qFormat/>
    <w:pPr>
      <w:ind w:firstLine="420" w:firstLineChars="200"/>
    </w:pPr>
  </w:style>
  <w:style w:type="paragraph" w:customStyle="1" w:styleId="QB">
    <w:name w:val="QB前言正文"/>
    <w:basedOn w:val="Normal"/>
    <w:pPr>
      <w:widowControl/>
      <w:autoSpaceDE w:val="0"/>
      <w:autoSpaceDN w:val="0"/>
      <w:spacing w:line="360" w:lineRule="auto"/>
      <w:ind w:firstLine="200" w:firstLineChars="200"/>
    </w:pPr>
    <w:rPr>
      <w:rFonts w:ascii="宋体"/>
      <w:kern w:val="0"/>
      <w:sz w:val="24"/>
    </w:rPr>
  </w:style>
  <w:style w:type="character" w:customStyle="1" w:styleId="1Char">
    <w:name w:val="标题 1 Char"/>
    <w:basedOn w:val="DefaultParagraphFont"/>
    <w:rPr>
      <w:rFonts w:eastAsia="宋体"/>
      <w:b/>
      <w:bCs/>
      <w:kern w:val="44"/>
      <w:sz w:val="44"/>
      <w:szCs w:val="44"/>
      <w:lang w:val="en-US" w:eastAsia="zh-CN" w:bidi="ar-SA"/>
    </w:rPr>
  </w:style>
  <w:style w:type="character" w:customStyle="1" w:styleId="2Char">
    <w:name w:val="标题 2 Char"/>
    <w:basedOn w:val="DefaultParagraphFont"/>
    <w:rPr>
      <w:rFonts w:ascii="Arial" w:eastAsia="黑体" w:hAnsi="Arial"/>
      <w:b/>
      <w:bCs/>
      <w:kern w:val="2"/>
      <w:sz w:val="32"/>
      <w:szCs w:val="32"/>
      <w:lang w:val="en-US" w:eastAsia="zh-CN" w:bidi="ar-SA"/>
    </w:rPr>
  </w:style>
  <w:style w:type="paragraph" w:customStyle="1" w:styleId="1">
    <w:name w:val="修订1"/>
    <w:hidden/>
    <w:uiPriority w:val="99"/>
    <w:semiHidden/>
    <w:rPr>
      <w:rFonts w:ascii="Times New Roman" w:eastAsia="宋体" w:hAnsi="Times New Roman" w:cs="Times New Roman"/>
      <w:kern w:val="2"/>
      <w:sz w:val="21"/>
      <w:szCs w:val="24"/>
    </w:rPr>
  </w:style>
  <w:style w:type="table" w:customStyle="1" w:styleId="TableNormal0">
    <w:name w:val="Table Normal_0"/>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autoSpaceDE w:val="0"/>
      <w:autoSpaceDN w:val="0"/>
      <w:jc w:val="left"/>
    </w:pPr>
    <w:rPr>
      <w:rFonts w:ascii="仿宋" w:eastAsia="仿宋" w:hAnsi="仿宋" w:cs="仿宋"/>
      <w:kern w:val="0"/>
      <w:sz w:val="22"/>
      <w:szCs w:val="22"/>
      <w:lang w:eastAsia="en-US"/>
    </w:rPr>
  </w:style>
  <w:style w:type="character" w:customStyle="1" w:styleId="Char4">
    <w:name w:val="批注框文本 Char"/>
    <w:basedOn w:val="DefaultParagraphFont"/>
    <w:link w:val="BalloonText"/>
    <w:uiPriority w:val="99"/>
    <w:semiHidden/>
    <w:rPr>
      <w:rFonts w:ascii="Times New Roman" w:eastAsia="宋体" w:hAnsi="Times New Roman" w:cs="Times New Roman"/>
      <w:sz w:val="18"/>
      <w:szCs w:val="18"/>
    </w:rPr>
  </w:style>
  <w:style w:type="table" w:customStyle="1" w:styleId="10">
    <w:name w:val="浅色底纹1"/>
    <w:basedOn w:val="TableNormal"/>
    <w:uiPriority w:val="60"/>
    <w:rPr>
      <w:rFonts w:ascii="Calibri" w:eastAsia="宋体" w:hAnsi="Calibri" w:cs="Times New Roman"/>
      <w:color w:val="000000"/>
    </w:rPr>
    <w:tblPr>
      <w:tblInd w:w="0" w:type="dxa"/>
      <w:tblBorders>
        <w:top w:val="single" w:sz="12" w:space="0" w:color="000000"/>
        <w:bottom w:val="single" w:sz="12" w:space="0" w:color="000000"/>
        <w:insideH w:val="single" w:sz="4" w:space="0" w:color="000000"/>
        <w:insideV w:val="single" w:sz="4"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rFonts w:ascii="Calibri" w:eastAsia="宋体" w:hAnsi="Calibri" w:cs="Calibri" w:hint="default"/>
        <w:b/>
        <w:bCs/>
        <w:sz w:val="21"/>
        <w:szCs w:val="21"/>
      </w:rPr>
      <w:tblPr/>
      <w:tcPr>
        <w:tcBorders>
          <w:top w:val="single" w:sz="12" w:space="0" w:color="000000"/>
          <w:left w:val="nil"/>
          <w:bottom w:val="single" w:sz="8" w:space="0" w:color="000000"/>
          <w:right w:val="nil"/>
          <w:insideH w:val="nil"/>
          <w:insideV w:val="single" w:sz="4" w:space="0" w:color="auto"/>
        </w:tcBorders>
      </w:tcPr>
    </w:tblStylePr>
    <w:tblStylePr w:type="lastRow">
      <w:pPr>
        <w:spacing w:beforeLines="0" w:beforeAutospacing="0" w:afterLines="0" w:afterAutospacing="0" w:line="240" w:lineRule="auto"/>
      </w:pPr>
      <w:rPr>
        <w:rFonts w:ascii="宋体" w:eastAsia="宋体" w:hAnsi="宋体" w:hint="eastAsia"/>
        <w:b w:val="0"/>
        <w:bCs/>
        <w:sz w:val="21"/>
        <w:szCs w:val="21"/>
      </w:rPr>
      <w:tblPr/>
      <w:tcPr>
        <w:tcBorders>
          <w:top w:val="single" w:sz="8" w:space="0" w:color="000000"/>
          <w:left w:val="nil"/>
          <w:bottom w:val="single" w:sz="12" w:space="0" w:color="000000"/>
          <w:right w:val="nil"/>
          <w:insideH w:val="nil"/>
          <w:insideV w:val="single" w:sz="4" w:space="0" w:color="auto"/>
        </w:tcBorders>
      </w:tcPr>
    </w:tblStylePr>
    <w:tblStylePr w:type="firstCol">
      <w:rPr>
        <w:rFonts w:ascii="Calibri" w:eastAsia="宋体" w:hAnsi="Calibri" w:cs="Calibri" w:hint="default"/>
        <w:b w:val="0"/>
        <w:bCs/>
        <w:sz w:val="21"/>
        <w:szCs w:val="21"/>
      </w:rPr>
    </w:tblStylePr>
    <w:tblStylePr w:type="lastCol">
      <w:rPr>
        <w:b/>
        <w:bCs/>
      </w:rPr>
    </w:tblStylePr>
  </w:style>
  <w:style w:type="table" w:customStyle="1" w:styleId="100">
    <w:name w:val="浅色底纹1_0"/>
    <w:basedOn w:val="TableNormal"/>
    <w:uiPriority w:val="60"/>
    <w:rPr>
      <w:rFonts w:ascii="Calibri" w:eastAsia="宋体" w:hAnsi="Calibri" w:cs="Times New Roman"/>
      <w:color w:val="000000"/>
    </w:rPr>
    <w:tblPr>
      <w:tblBorders>
        <w:top w:val="single" w:sz="12" w:space="0" w:color="000000"/>
        <w:bottom w:val="single" w:sz="12" w:space="0" w:color="000000"/>
        <w:insideH w:val="single" w:sz="4" w:space="0" w:color="000000"/>
        <w:insideV w:val="single" w:sz="4" w:space="0" w:color="000000"/>
      </w:tblBorders>
    </w:tblPr>
    <w:tblStylePr w:type="firstRow">
      <w:pPr>
        <w:spacing w:beforeLines="0" w:beforeAutospacing="0" w:afterLines="0" w:afterAutospacing="0" w:line="240" w:lineRule="auto"/>
      </w:pPr>
      <w:rPr>
        <w:rFonts w:ascii="Calibri" w:eastAsia="宋体" w:hAnsi="Calibri" w:cs="Calibri" w:hint="default"/>
        <w:b/>
        <w:bCs/>
        <w:sz w:val="21"/>
        <w:szCs w:val="21"/>
      </w:rPr>
      <w:tblPr/>
      <w:tcPr>
        <w:tcBorders>
          <w:top w:val="single" w:sz="12" w:space="0" w:color="000000"/>
          <w:left w:val="nil"/>
          <w:bottom w:val="single" w:sz="8" w:space="0" w:color="000000"/>
          <w:right w:val="nil"/>
          <w:insideH w:val="nil"/>
          <w:insideV w:val="single" w:sz="4" w:space="0" w:color="auto"/>
        </w:tcBorders>
      </w:tcPr>
    </w:tblStylePr>
    <w:tblStylePr w:type="lastRow">
      <w:pPr>
        <w:spacing w:beforeLines="0" w:beforeAutospacing="0" w:afterLines="0" w:afterAutospacing="0" w:line="240" w:lineRule="auto"/>
      </w:pPr>
      <w:rPr>
        <w:rFonts w:ascii="宋体" w:eastAsia="宋体" w:hAnsi="宋体" w:hint="eastAsia"/>
        <w:b w:val="0"/>
        <w:bCs/>
        <w:sz w:val="21"/>
        <w:szCs w:val="21"/>
      </w:rPr>
      <w:tblPr/>
      <w:tcPr>
        <w:tcBorders>
          <w:top w:val="single" w:sz="8" w:space="0" w:color="000000"/>
          <w:left w:val="nil"/>
          <w:bottom w:val="single" w:sz="12" w:space="0" w:color="000000"/>
          <w:right w:val="nil"/>
          <w:insideH w:val="nil"/>
          <w:insideV w:val="single" w:sz="4" w:space="0" w:color="auto"/>
        </w:tcBorders>
      </w:tcPr>
    </w:tblStylePr>
    <w:tblStylePr w:type="firstCol">
      <w:rPr>
        <w:rFonts w:ascii="Calibri" w:eastAsia="宋体" w:hAnsi="Calibri" w:cs="Calibri" w:hint="default"/>
        <w:b w:val="0"/>
        <w:bCs/>
        <w:sz w:val="21"/>
        <w:szCs w:val="21"/>
      </w:rPr>
    </w:tblStylePr>
    <w:tblStylePr w:type="lastCol">
      <w:rPr>
        <w:b/>
        <w:bCs/>
      </w:rPr>
    </w:tblStylePr>
  </w:style>
  <w:style w:type="table" w:customStyle="1" w:styleId="TableNormal00">
    <w:name w:val="Table Normal_0_0"/>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image" Target="media/image1.png"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header" Target="header12.xml" /><Relationship Id="rId19" Type="http://schemas.openxmlformats.org/officeDocument/2006/relationships/header" Target="header13.xml" /><Relationship Id="rId2" Type="http://schemas.openxmlformats.org/officeDocument/2006/relationships/webSettings" Target="webSettings.xml" /><Relationship Id="rId20" Type="http://schemas.openxmlformats.org/officeDocument/2006/relationships/header" Target="header14.xml" /><Relationship Id="rId21" Type="http://schemas.openxmlformats.org/officeDocument/2006/relationships/header" Target="header15.xml" /><Relationship Id="rId22" Type="http://schemas.openxmlformats.org/officeDocument/2006/relationships/header" Target="header16.xml" /><Relationship Id="rId23" Type="http://schemas.openxmlformats.org/officeDocument/2006/relationships/header" Target="header17.xml" /><Relationship Id="rId24" Type="http://schemas.openxmlformats.org/officeDocument/2006/relationships/header" Target="header18.xml" /><Relationship Id="rId25" Type="http://schemas.openxmlformats.org/officeDocument/2006/relationships/header" Target="header19.xml" /><Relationship Id="rId26" Type="http://schemas.openxmlformats.org/officeDocument/2006/relationships/header" Target="header20.xml" /><Relationship Id="rId27" Type="http://schemas.openxmlformats.org/officeDocument/2006/relationships/image" Target="media/image2.png" /><Relationship Id="rId28" Type="http://schemas.openxmlformats.org/officeDocument/2006/relationships/image" Target="media/image3.png" /><Relationship Id="rId29" Type="http://schemas.openxmlformats.org/officeDocument/2006/relationships/image" Target="media/image4.png" /><Relationship Id="rId3" Type="http://schemas.openxmlformats.org/officeDocument/2006/relationships/fontTable" Target="fontTable.xml" /><Relationship Id="rId30" Type="http://schemas.openxmlformats.org/officeDocument/2006/relationships/image" Target="media/image5.png" /><Relationship Id="rId31" Type="http://schemas.openxmlformats.org/officeDocument/2006/relationships/image" Target="media/image6.png" /><Relationship Id="rId32" Type="http://schemas.openxmlformats.org/officeDocument/2006/relationships/image" Target="media/image7.png" /><Relationship Id="rId33" Type="http://schemas.openxmlformats.org/officeDocument/2006/relationships/image" Target="media/image8.png" /><Relationship Id="rId34" Type="http://schemas.openxmlformats.org/officeDocument/2006/relationships/image" Target="media/image9.png" /><Relationship Id="rId35" Type="http://schemas.openxmlformats.org/officeDocument/2006/relationships/image" Target="media/image10.png" /><Relationship Id="rId36" Type="http://schemas.openxmlformats.org/officeDocument/2006/relationships/image" Target="media/image11.png" /><Relationship Id="rId37" Type="http://schemas.openxmlformats.org/officeDocument/2006/relationships/image" Target="media/image12.png" /><Relationship Id="rId38" Type="http://schemas.openxmlformats.org/officeDocument/2006/relationships/image" Target="media/image13.png" /><Relationship Id="rId39" Type="http://schemas.openxmlformats.org/officeDocument/2006/relationships/image" Target="media/image14.png" /><Relationship Id="rId4" Type="http://schemas.openxmlformats.org/officeDocument/2006/relationships/customXml" Target="../customXml/item1.xml" /><Relationship Id="rId40" Type="http://schemas.openxmlformats.org/officeDocument/2006/relationships/image" Target="media/image15.png" /><Relationship Id="rId41" Type="http://schemas.openxmlformats.org/officeDocument/2006/relationships/image" Target="media/image16.png" /><Relationship Id="rId42" Type="http://schemas.openxmlformats.org/officeDocument/2006/relationships/image" Target="media/image17.png" /><Relationship Id="rId43" Type="http://schemas.openxmlformats.org/officeDocument/2006/relationships/image" Target="media/image18.png" /><Relationship Id="rId44" Type="http://schemas.openxmlformats.org/officeDocument/2006/relationships/image" Target="media/image19.png" /><Relationship Id="rId45" Type="http://schemas.openxmlformats.org/officeDocument/2006/relationships/image" Target="media/image20.png" /><Relationship Id="rId46" Type="http://schemas.openxmlformats.org/officeDocument/2006/relationships/image" Target="media/image21.png" /><Relationship Id="rId47" Type="http://schemas.openxmlformats.org/officeDocument/2006/relationships/image" Target="media/image22.png" /><Relationship Id="rId48" Type="http://schemas.openxmlformats.org/officeDocument/2006/relationships/image" Target="media/image23.png" /><Relationship Id="rId49" Type="http://schemas.openxmlformats.org/officeDocument/2006/relationships/image" Target="media/image24.png" /><Relationship Id="rId5" Type="http://schemas.openxmlformats.org/officeDocument/2006/relationships/customXml" Target="../customXml/item2.xml" /><Relationship Id="rId50" Type="http://schemas.openxmlformats.org/officeDocument/2006/relationships/image" Target="media/image25.png" /><Relationship Id="rId51" Type="http://schemas.openxmlformats.org/officeDocument/2006/relationships/image" Target="media/image26.png" /><Relationship Id="rId52" Type="http://schemas.openxmlformats.org/officeDocument/2006/relationships/header" Target="header21.xml" /><Relationship Id="rId53" Type="http://schemas.openxmlformats.org/officeDocument/2006/relationships/header" Target="header22.xml" /><Relationship Id="rId54" Type="http://schemas.openxmlformats.org/officeDocument/2006/relationships/header" Target="header23.xml" /><Relationship Id="rId55" Type="http://schemas.openxmlformats.org/officeDocument/2006/relationships/hyperlink" Target="https://d.book118.com/677153141162006036" TargetMode="External" /><Relationship Id="rId56" Type="http://schemas.openxmlformats.org/officeDocument/2006/relationships/header" Target="header24.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27F922-1A7E-48AD-996E-52D36BBB8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25</Pages>
  <Words>4553</Words>
  <Characters>25953</Characters>
  <Application>Microsoft Office Word</Application>
  <DocSecurity>0</DocSecurity>
  <Lines>216</Lines>
  <Paragraphs>60</Paragraphs>
  <ScaleCrop>false</ScaleCrop>
  <Company/>
  <LinksUpToDate>false</LinksUpToDate>
  <CharactersWithSpaces>30446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ewen zeng</dc:creator>
  <cp:lastModifiedBy>think</cp:lastModifiedBy>
  <cp:revision>4</cp:revision>
  <dcterms:created xsi:type="dcterms:W3CDTF">2021-11-14T09:16:00Z</dcterms:created>
  <dcterms:modified xsi:type="dcterms:W3CDTF">2024-02-04T14:42:00Z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4269AFD4A58E4B35A7DB1DD88E1B8E1B_12</vt:lpwstr>
  </property>
  <property fmtid="{D5CDD505-2E9C-101B-9397-08002B2CF9AE}" pid="3" name="KSOProductBuildVer">
    <vt:lpwstr>2052-12.1.0.16120</vt:lpwstr>
  </property>
</Properties>
</file>