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7E" w:rsidP="006E217E">
      <w:pPr>
        <w:spacing w:line="480" w:lineRule="auto"/>
        <w:jc w:val="center"/>
        <w:rPr>
          <w:rFonts w:eastAsia="黑体" w:hint="eastAsia"/>
          <w:b/>
          <w:bCs/>
          <w:sz w:val="120"/>
        </w:rPr>
      </w:pPr>
      <w:r>
        <w:rPr>
          <w:rFonts w:eastAsia="黑体" w:hint="eastAsia"/>
          <w:b/>
          <w:bCs/>
          <w:sz w:val="120"/>
        </w:rPr>
        <w:t>实习报告</w:t>
      </w:r>
    </w:p>
    <w:p w:rsidR="006E217E" w:rsidP="006E217E">
      <w:pPr>
        <w:spacing w:line="600" w:lineRule="auto"/>
        <w:ind w:firstLine="1674" w:firstLineChars="523"/>
        <w:rPr>
          <w:rFonts w:eastAsia="仿宋_GB2312" w:hint="eastAsia"/>
          <w:b/>
          <w:bCs/>
          <w:sz w:val="32"/>
          <w:u w:val="single"/>
        </w:rPr>
      </w:pPr>
      <w:r>
        <w:rPr>
          <w:rFonts w:eastAsia="仿宋_GB2312" w:hint="eastAsia"/>
          <w:b/>
          <w:bCs/>
          <w:sz w:val="32"/>
        </w:rPr>
        <w:t>实习名称：</w:t>
      </w:r>
      <w:r>
        <w:rPr>
          <w:rFonts w:ascii="宋体" w:hAnsi="宋体" w:hint="eastAsia"/>
          <w:sz w:val="32"/>
          <w:u w:val="single"/>
        </w:rPr>
        <w:t xml:space="preserve">平安评价课程设计   </w:t>
      </w:r>
    </w:p>
    <w:p w:rsidR="006E217E" w:rsidP="006E217E">
      <w:pPr>
        <w:spacing w:line="600" w:lineRule="auto"/>
        <w:ind w:firstLine="1674" w:firstLineChars="523"/>
        <w:rPr>
          <w:rFonts w:eastAsia="仿宋_GB2312" w:hint="eastAsia"/>
          <w:b/>
          <w:bCs/>
          <w:sz w:val="32"/>
          <w:u w:val="single"/>
        </w:rPr>
      </w:pPr>
      <w:r>
        <w:rPr>
          <w:rFonts w:eastAsia="仿宋_GB2312" w:hint="eastAsia"/>
          <w:b/>
          <w:bCs/>
          <w:sz w:val="32"/>
        </w:rPr>
        <w:t>学生姓名：</w:t>
      </w:r>
      <w:r>
        <w:rPr>
          <w:rFonts w:eastAsia="仿宋_GB2312" w:hint="eastAsia"/>
          <w:sz w:val="32"/>
          <w:u w:val="single"/>
        </w:rPr>
        <w:t xml:space="preserve">          卢洪伟         </w:t>
      </w:r>
    </w:p>
    <w:p w:rsidR="006E217E" w:rsidP="006E217E">
      <w:pPr>
        <w:spacing w:line="600" w:lineRule="auto"/>
        <w:ind w:firstLine="1674" w:firstLineChars="523"/>
        <w:rPr>
          <w:rFonts w:eastAsia="仿宋_GB2312" w:hint="eastAsia"/>
          <w:b/>
          <w:bCs/>
          <w:sz w:val="32"/>
          <w:u w:val="single"/>
        </w:rPr>
      </w:pPr>
      <w:r>
        <w:rPr>
          <w:rFonts w:eastAsia="仿宋_GB2312" w:hint="eastAsia"/>
          <w:b/>
          <w:bCs/>
          <w:sz w:val="32"/>
        </w:rPr>
        <w:t>专业班级：</w:t>
      </w:r>
      <w:r>
        <w:rPr>
          <w:rFonts w:eastAsia="仿宋_GB2312" w:hint="eastAsia"/>
          <w:sz w:val="32"/>
          <w:u w:val="single"/>
        </w:rPr>
        <w:t xml:space="preserve">         平安</w:t>
      </w:r>
      <w:r>
        <w:rPr>
          <w:rFonts w:ascii="宋体" w:hAnsi="宋体" w:hint="eastAsia"/>
          <w:sz w:val="32"/>
          <w:u w:val="single"/>
        </w:rPr>
        <w:t xml:space="preserve">141     </w:t>
      </w:r>
    </w:p>
    <w:p w:rsidR="006E217E" w:rsidP="006E217E">
      <w:pPr>
        <w:spacing w:line="600" w:lineRule="auto"/>
        <w:ind w:firstLine="1674" w:firstLineChars="523"/>
        <w:rPr>
          <w:rFonts w:eastAsia="仿宋_GB2312" w:hint="eastAsia"/>
          <w:b/>
          <w:bCs/>
          <w:sz w:val="32"/>
          <w:u w:val="single"/>
        </w:rPr>
      </w:pPr>
      <w:r>
        <w:rPr>
          <w:rFonts w:eastAsia="仿宋_GB2312" w:hint="eastAsia"/>
          <w:b/>
          <w:bCs/>
          <w:sz w:val="32"/>
        </w:rPr>
        <w:t>指导教师：</w:t>
      </w:r>
      <w:r>
        <w:rPr>
          <w:rFonts w:ascii="宋体" w:hAnsi="宋体" w:hint="eastAsia"/>
          <w:sz w:val="32"/>
          <w:u w:val="single"/>
        </w:rPr>
        <w:t xml:space="preserve"> 张永琴、何杨 </w:t>
      </w:r>
    </w:p>
    <w:p w:rsidR="006E217E" w:rsidP="006E217E">
      <w:pPr>
        <w:spacing w:line="600" w:lineRule="auto"/>
        <w:ind w:firstLine="1674" w:firstLineChars="523"/>
        <w:rPr>
          <w:rFonts w:eastAsia="仿宋_GB2312" w:hint="eastAsia"/>
          <w:b/>
          <w:bCs/>
          <w:sz w:val="32"/>
          <w:u w:val="single"/>
        </w:rPr>
      </w:pPr>
      <w:r>
        <w:rPr>
          <w:rFonts w:eastAsia="仿宋_GB2312" w:hint="eastAsia"/>
          <w:b/>
          <w:bCs/>
          <w:sz w:val="32"/>
        </w:rPr>
        <w:t>实习时间：</w:t>
      </w:r>
      <w:r>
        <w:rPr>
          <w:rFonts w:eastAsia="仿宋_GB2312" w:hint="eastAsia"/>
          <w:sz w:val="32"/>
          <w:u w:val="single"/>
        </w:rPr>
        <w:t xml:space="preserve">   2023.12.14~2023.12.27   </w:t>
      </w:r>
    </w:p>
    <w:p w:rsidR="006E217E" w:rsidP="006E217E">
      <w:pPr>
        <w:spacing w:line="600" w:lineRule="auto"/>
        <w:ind w:firstLine="1674" w:firstLineChars="523"/>
        <w:rPr>
          <w:rFonts w:eastAsia="仿宋_GB2312" w:hint="eastAsia"/>
          <w:sz w:val="32"/>
          <w:u w:val="single"/>
        </w:rPr>
      </w:pPr>
      <w:r>
        <w:rPr>
          <w:rFonts w:eastAsia="仿宋_GB2312" w:hint="eastAsia"/>
          <w:b/>
          <w:bCs/>
          <w:sz w:val="32"/>
        </w:rPr>
        <w:t>实习地点：</w:t>
      </w:r>
      <w:r>
        <w:rPr>
          <w:rFonts w:ascii="宋体" w:hAnsi="宋体" w:hint="eastAsia"/>
          <w:sz w:val="32"/>
          <w:u w:val="single"/>
        </w:rPr>
        <w:t>校内</w:t>
      </w:r>
    </w:p>
    <w:p w:rsidR="006E217E" w:rsidP="006E217E">
      <w:pPr>
        <w:spacing w:line="1200" w:lineRule="auto"/>
        <w:jc w:val="center"/>
        <w:rPr>
          <w:rFonts w:eastAsia="黑体" w:hint="eastAsia"/>
          <w:b/>
          <w:bCs/>
          <w:sz w:val="48"/>
        </w:rPr>
      </w:pPr>
      <w:r>
        <w:rPr>
          <w:rFonts w:eastAsia="黑体" w:hint="eastAsia"/>
          <w:b/>
          <w:bCs/>
          <w:sz w:val="48"/>
        </w:rPr>
        <w:t>重庆工程职业技术学院</w:t>
      </w:r>
    </w:p>
    <w:p w:rsidR="006E217E" w:rsidP="006E217E">
      <w:pPr>
        <w:spacing w:line="300" w:lineRule="auto"/>
        <w:jc w:val="center"/>
        <w:rPr>
          <w:rFonts w:eastAsia="黑体" w:hint="eastAsia"/>
          <w:b/>
          <w:bCs/>
          <w:sz w:val="48"/>
        </w:rPr>
      </w:pPr>
      <w:r>
        <w:rPr>
          <w:rFonts w:eastAsia="黑体" w:hint="eastAsia"/>
          <w:b/>
          <w:bCs/>
          <w:sz w:val="30"/>
          <w:szCs w:val="30"/>
        </w:rPr>
        <w:t>目录</w:t>
      </w:r>
    </w:p>
    <w:p w:rsidR="006E217E" w:rsidP="006E217E">
      <w:pPr>
        <w:pStyle w:val="TOC1"/>
        <w:tabs>
          <w:tab w:val="right" w:leader="dot" w:pos="8306"/>
        </w:tabs>
        <w:rPr>
          <w:rFonts w:ascii="宋体" w:hAnsi="宋体" w:cs="宋体" w:hint="eastAsia"/>
          <w:sz w:val="24"/>
        </w:rPr>
      </w:pPr>
      <w:r>
        <w:rPr>
          <w:rFonts w:ascii="宋体" w:hAnsi="宋体" w:cs="宋体" w:hint="eastAsia"/>
          <w:b/>
          <w:bCs/>
          <w:sz w:val="24"/>
        </w:rPr>
        <w:fldChar w:fldCharType="begin" w:dirty="1"/>
      </w:r>
      <w:r>
        <w:rPr>
          <w:rFonts w:ascii="宋体" w:hAnsi="宋体" w:cs="宋体" w:hint="eastAsia"/>
          <w:b/>
          <w:bCs/>
          <w:sz w:val="24"/>
        </w:rPr>
        <w:instrText xml:space="preserve">TOC \o "1-3" \h \u </w:instrText>
      </w:r>
      <w:r>
        <w:rPr>
          <w:rFonts w:ascii="宋体" w:hAnsi="宋体" w:cs="宋体" w:hint="eastAsia"/>
          <w:b/>
          <w:bCs/>
          <w:sz w:val="24"/>
        </w:rPr>
        <w:fldChar w:fldCharType="separate"/>
      </w:r>
      <w:hyperlink w:anchor="_Toc29891" w:history="1">
        <w:r>
          <w:rPr>
            <w:rFonts w:ascii="宋体" w:hAnsi="宋体" w:cs="宋体" w:hint="eastAsia"/>
            <w:sz w:val="24"/>
          </w:rPr>
          <w:t>前言</w:t>
          <w:tab/>
        </w:r>
        <w:r>
          <w:rPr>
            <w:rFonts w:ascii="宋体" w:hAnsi="宋体" w:cs="宋体" w:hint="eastAsia"/>
            <w:sz w:val="24"/>
          </w:rPr>
          <w:fldChar w:fldCharType="begin" w:dirty="1"/>
        </w:r>
        <w:r>
          <w:rPr>
            <w:rFonts w:ascii="宋体" w:hAnsi="宋体" w:cs="宋体" w:hint="eastAsia"/>
            <w:sz w:val="24"/>
          </w:rPr>
          <w:instrText xml:space="preserve"> PAGEREF _Toc29891 </w:instrText>
        </w:r>
        <w:r>
          <w:rPr>
            <w:rFonts w:ascii="宋体" w:hAnsi="宋体" w:cs="宋体" w:hint="eastAsia"/>
            <w:sz w:val="24"/>
          </w:rPr>
          <w:fldChar w:fldCharType="separate"/>
        </w:r>
        <w:r>
          <w:rPr>
            <w:rFonts w:ascii="宋体" w:hAnsi="宋体" w:cs="宋体" w:hint="eastAsia"/>
            <w:sz w:val="24"/>
          </w:rPr>
          <w:t>1</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1174" w:history="1">
        <w:r>
          <w:rPr>
            <w:rFonts w:ascii="宋体" w:hAnsi="宋体" w:cs="宋体" w:hint="eastAsia"/>
            <w:sz w:val="24"/>
          </w:rPr>
          <w:t>1  总那么</w:t>
          <w:tab/>
        </w:r>
        <w:r>
          <w:rPr>
            <w:rFonts w:ascii="宋体" w:hAnsi="宋体" w:cs="宋体" w:hint="eastAsia"/>
            <w:sz w:val="24"/>
          </w:rPr>
          <w:fldChar w:fldCharType="begin" w:dirty="1"/>
        </w:r>
        <w:r>
          <w:rPr>
            <w:rFonts w:ascii="宋体" w:hAnsi="宋体" w:cs="宋体" w:hint="eastAsia"/>
            <w:sz w:val="24"/>
          </w:rPr>
          <w:instrText xml:space="preserve"> PAGEREF _Toc1174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8631" w:history="1">
        <w:r>
          <w:rPr>
            <w:rFonts w:ascii="宋体" w:hAnsi="宋体" w:cs="宋体" w:hint="eastAsia"/>
            <w:sz w:val="24"/>
          </w:rPr>
          <w:fldChar w:fldCharType="begin" w:dirty="1"/>
        </w:r>
        <w:r>
          <w:rPr>
            <w:rFonts w:ascii="宋体" w:hAnsi="宋体" w:cs="宋体" w:hint="eastAsia"/>
            <w:sz w:val="24"/>
          </w:rPr>
          <w:instrText xml:space="preserve"> PAGEREF _Toc8631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10873" w:history="1">
        <w:r>
          <w:rPr>
            <w:rFonts w:ascii="宋体" w:hAnsi="宋体" w:cs="宋体" w:hint="eastAsia"/>
            <w:sz w:val="24"/>
          </w:rPr>
          <w:t>1.2 评价依据</w:t>
          <w:tab/>
        </w:r>
        <w:r>
          <w:rPr>
            <w:rFonts w:ascii="宋体" w:hAnsi="宋体" w:cs="宋体" w:hint="eastAsia"/>
            <w:sz w:val="24"/>
          </w:rPr>
          <w:fldChar w:fldCharType="begin" w:dirty="1"/>
        </w:r>
        <w:r>
          <w:rPr>
            <w:rFonts w:ascii="宋体" w:hAnsi="宋体" w:cs="宋体" w:hint="eastAsia"/>
            <w:sz w:val="24"/>
          </w:rPr>
          <w:instrText xml:space="preserve"> PAGEREF _Toc10873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24050" w:history="1">
        <w:r>
          <w:rPr>
            <w:rFonts w:ascii="宋体" w:hAnsi="宋体" w:cs="宋体" w:hint="eastAsia"/>
            <w:sz w:val="24"/>
          </w:rPr>
          <w:t>1.2.1 主要法律法规</w:t>
          <w:tab/>
        </w:r>
        <w:r>
          <w:rPr>
            <w:rFonts w:ascii="宋体" w:hAnsi="宋体" w:cs="宋体" w:hint="eastAsia"/>
            <w:sz w:val="24"/>
          </w:rPr>
          <w:fldChar w:fldCharType="begin" w:dirty="1"/>
        </w:r>
        <w:r>
          <w:rPr>
            <w:rFonts w:ascii="宋体" w:hAnsi="宋体" w:cs="宋体" w:hint="eastAsia"/>
            <w:sz w:val="24"/>
          </w:rPr>
          <w:instrText xml:space="preserve"> PAGEREF _Toc24050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20410" w:history="1">
        <w:r>
          <w:rPr>
            <w:rFonts w:ascii="宋体" w:hAnsi="宋体" w:cs="宋体" w:hint="eastAsia"/>
            <w:sz w:val="24"/>
          </w:rPr>
          <w:t>1.2.2 主要技术标准及标准</w:t>
          <w:tab/>
        </w:r>
        <w:r>
          <w:rPr>
            <w:rFonts w:ascii="宋体" w:hAnsi="宋体" w:cs="宋体" w:hint="eastAsia"/>
            <w:sz w:val="24"/>
          </w:rPr>
          <w:fldChar w:fldCharType="begin" w:dirty="1"/>
        </w:r>
        <w:r>
          <w:rPr>
            <w:rFonts w:ascii="宋体" w:hAnsi="宋体" w:cs="宋体" w:hint="eastAsia"/>
            <w:sz w:val="24"/>
          </w:rPr>
          <w:instrText xml:space="preserve"> PAGEREF _Toc20410 </w:instrText>
        </w:r>
        <w:r>
          <w:rPr>
            <w:rFonts w:ascii="宋体" w:hAnsi="宋体" w:cs="宋体" w:hint="eastAsia"/>
            <w:sz w:val="24"/>
          </w:rPr>
          <w:fldChar w:fldCharType="separate"/>
        </w:r>
        <w:r>
          <w:rPr>
            <w:rFonts w:ascii="宋体" w:hAnsi="宋体" w:cs="宋体" w:hint="eastAsia"/>
            <w:sz w:val="24"/>
          </w:rPr>
          <w:t>3</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13685" w:history="1">
        <w:r>
          <w:rPr>
            <w:rFonts w:ascii="宋体" w:hAnsi="宋体" w:cs="宋体" w:hint="eastAsia"/>
            <w:sz w:val="24"/>
          </w:rPr>
          <w:fldChar w:fldCharType="begin" w:dirty="1"/>
        </w:r>
        <w:r>
          <w:rPr>
            <w:rFonts w:ascii="宋体" w:hAnsi="宋体" w:cs="宋体" w:hint="eastAsia"/>
            <w:sz w:val="24"/>
          </w:rPr>
          <w:instrText xml:space="preserve"> PAGEREF _Toc13685 </w:instrText>
        </w:r>
        <w:r>
          <w:rPr>
            <w:rFonts w:ascii="宋体" w:hAnsi="宋体" w:cs="宋体" w:hint="eastAsia"/>
            <w:sz w:val="24"/>
          </w:rPr>
          <w:fldChar w:fldCharType="separate"/>
        </w:r>
        <w:r>
          <w:rPr>
            <w:rFonts w:ascii="宋体" w:hAnsi="宋体" w:cs="宋体" w:hint="eastAsia"/>
            <w:sz w:val="24"/>
          </w:rPr>
          <w:t>4</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29691" w:history="1">
        <w:r>
          <w:rPr>
            <w:rFonts w:ascii="宋体" w:hAnsi="宋体" w:cs="宋体" w:hint="eastAsia"/>
            <w:sz w:val="24"/>
          </w:rPr>
          <w:t>1.4 评价程序</w:t>
          <w:tab/>
        </w:r>
        <w:r>
          <w:rPr>
            <w:rFonts w:ascii="宋体" w:hAnsi="宋体" w:cs="宋体" w:hint="eastAsia"/>
            <w:sz w:val="24"/>
          </w:rPr>
          <w:fldChar w:fldCharType="begin" w:dirty="1"/>
        </w:r>
        <w:r>
          <w:rPr>
            <w:rFonts w:ascii="宋体" w:hAnsi="宋体" w:cs="宋体" w:hint="eastAsia"/>
            <w:sz w:val="24"/>
          </w:rPr>
          <w:instrText xml:space="preserve"> PAGEREF _Toc29691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18040" w:history="1">
        <w:r>
          <w:rPr>
            <w:rFonts w:ascii="宋体" w:hAnsi="宋体" w:cs="宋体" w:hint="eastAsia"/>
            <w:sz w:val="24"/>
          </w:rPr>
          <w:t>2 XX小区建筑工程施工概况</w:t>
          <w:tab/>
        </w:r>
        <w:r>
          <w:rPr>
            <w:rFonts w:ascii="宋体" w:hAnsi="宋体" w:cs="宋体" w:hint="eastAsia"/>
            <w:sz w:val="24"/>
          </w:rPr>
          <w:fldChar w:fldCharType="begin" w:dirty="1"/>
        </w:r>
        <w:r>
          <w:rPr>
            <w:rFonts w:ascii="宋体" w:hAnsi="宋体" w:cs="宋体" w:hint="eastAsia"/>
            <w:sz w:val="24"/>
          </w:rPr>
          <w:instrText xml:space="preserve"> PAGEREF _Toc18040 </w:instrText>
        </w:r>
        <w:r>
          <w:rPr>
            <w:rFonts w:ascii="宋体" w:hAnsi="宋体" w:cs="宋体" w:hint="eastAsia"/>
            <w:sz w:val="24"/>
          </w:rPr>
          <w:fldChar w:fldCharType="separate"/>
        </w:r>
        <w:r>
          <w:rPr>
            <w:rFonts w:ascii="宋体" w:hAnsi="宋体" w:cs="宋体" w:hint="eastAsia"/>
            <w:sz w:val="24"/>
          </w:rPr>
          <w:t>6</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19779" w:history="1">
        <w:r>
          <w:rPr>
            <w:rFonts w:ascii="宋体" w:hAnsi="宋体" w:cs="宋体" w:hint="eastAsia"/>
            <w:sz w:val="24"/>
          </w:rPr>
          <w:t>3建设工地重大危险源主要类型</w:t>
          <w:tab/>
        </w:r>
        <w:r>
          <w:rPr>
            <w:rFonts w:ascii="宋体" w:hAnsi="宋体" w:cs="宋体" w:hint="eastAsia"/>
            <w:sz w:val="24"/>
          </w:rPr>
          <w:fldChar w:fldCharType="begin" w:dirty="1"/>
        </w:r>
        <w:r>
          <w:rPr>
            <w:rFonts w:ascii="宋体" w:hAnsi="宋体" w:cs="宋体" w:hint="eastAsia"/>
            <w:sz w:val="24"/>
          </w:rPr>
          <w:instrText xml:space="preserve"> PAGEREF _Toc19779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1228" w:history="1">
        <w:r>
          <w:rPr>
            <w:rFonts w:ascii="宋体" w:hAnsi="宋体" w:cs="宋体" w:hint="eastAsia"/>
            <w:sz w:val="24"/>
          </w:rPr>
          <w:fldChar w:fldCharType="begin" w:dirty="1"/>
        </w:r>
        <w:r>
          <w:rPr>
            <w:rFonts w:ascii="宋体" w:hAnsi="宋体" w:cs="宋体" w:hint="eastAsia"/>
            <w:sz w:val="24"/>
          </w:rPr>
          <w:instrText xml:space="preserve"> PAGEREF _Toc1228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26211" w:history="1">
        <w:r>
          <w:rPr>
            <w:rFonts w:ascii="宋体" w:hAnsi="宋体" w:cs="宋体" w:hint="eastAsia"/>
            <w:sz w:val="24"/>
          </w:rPr>
          <w:fldChar w:fldCharType="begin" w:dirty="1"/>
        </w:r>
        <w:r>
          <w:rPr>
            <w:rFonts w:ascii="宋体" w:hAnsi="宋体" w:cs="宋体" w:hint="eastAsia"/>
            <w:sz w:val="24"/>
          </w:rPr>
          <w:instrText xml:space="preserve"> PAGEREF _Toc26211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9531" w:history="1">
        <w:r>
          <w:rPr>
            <w:rFonts w:ascii="宋体" w:hAnsi="宋体" w:cs="宋体" w:hint="eastAsia"/>
            <w:sz w:val="24"/>
          </w:rPr>
          <w:t xml:space="preserve">3.2.1 </w:t>
        </w:r>
        <w:r>
          <w:rPr>
            <w:rFonts w:ascii="宋体" w:hAnsi="宋体" w:cs="宋体" w:hint="eastAsia"/>
            <w:sz w:val="24"/>
            <w:shd w:val="clear" w:color="auto" w:fill="FFFFFF"/>
          </w:rPr>
          <w:t>引发重大危险源的因素</w:t>
        </w:r>
        <w:r>
          <w:rPr>
            <w:rFonts w:ascii="宋体" w:hAnsi="宋体" w:cs="宋体" w:hint="eastAsia"/>
            <w:sz w:val="24"/>
          </w:rPr>
          <w:fldChar w:fldCharType="begin" w:dirty="1"/>
        </w:r>
        <w:r>
          <w:rPr>
            <w:rFonts w:ascii="宋体" w:hAnsi="宋体" w:cs="宋体" w:hint="eastAsia"/>
            <w:sz w:val="24"/>
          </w:rPr>
          <w:instrText xml:space="preserve"> PAGEREF _Toc9531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2382" w:history="1">
        <w:r>
          <w:rPr>
            <w:rFonts w:ascii="宋体" w:hAnsi="宋体" w:cs="宋体" w:hint="eastAsia"/>
            <w:sz w:val="24"/>
          </w:rPr>
          <w:t xml:space="preserve">3.2.2 </w:t>
        </w:r>
        <w:r>
          <w:rPr>
            <w:rFonts w:ascii="宋体" w:hAnsi="宋体" w:cs="宋体" w:hint="eastAsia"/>
            <w:sz w:val="24"/>
            <w:shd w:val="clear" w:color="auto" w:fill="FFFFFF"/>
          </w:rPr>
          <w:t>重大危险源分布</w:t>
        </w:r>
        <w:r>
          <w:rPr>
            <w:rFonts w:ascii="宋体" w:hAnsi="宋体" w:cs="宋体" w:hint="eastAsia"/>
            <w:sz w:val="24"/>
          </w:rPr>
          <w:fldChar w:fldCharType="begin" w:dirty="1"/>
        </w:r>
        <w:r>
          <w:rPr>
            <w:rFonts w:ascii="宋体" w:hAnsi="宋体" w:cs="宋体" w:hint="eastAsia"/>
            <w:sz w:val="24"/>
          </w:rPr>
          <w:instrText xml:space="preserve"> PAGEREF _Toc2382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22770" w:history="1">
        <w:r>
          <w:rPr>
            <w:rFonts w:ascii="宋体" w:hAnsi="宋体" w:cs="宋体" w:hint="eastAsia"/>
            <w:sz w:val="24"/>
          </w:rPr>
          <w:t xml:space="preserve">3.2.3 </w:t>
        </w:r>
        <w:r>
          <w:rPr>
            <w:rFonts w:ascii="宋体" w:hAnsi="宋体" w:cs="宋体" w:hint="eastAsia"/>
            <w:sz w:val="24"/>
            <w:shd w:val="clear" w:color="auto" w:fill="FFFFFF"/>
          </w:rPr>
          <w:t>存在于施工自然环境中的重大危险源</w:t>
        </w:r>
        <w:r>
          <w:rPr>
            <w:rFonts w:ascii="宋体" w:hAnsi="宋体" w:cs="宋体" w:hint="eastAsia"/>
            <w:sz w:val="24"/>
          </w:rPr>
          <w:fldChar w:fldCharType="begin" w:dirty="1"/>
        </w:r>
        <w:r>
          <w:rPr>
            <w:rFonts w:ascii="宋体" w:hAnsi="宋体" w:cs="宋体" w:hint="eastAsia"/>
            <w:sz w:val="24"/>
          </w:rPr>
          <w:instrText xml:space="preserve"> PAGEREF _Toc22770 </w:instrText>
        </w:r>
        <w:r>
          <w:rPr>
            <w:rFonts w:ascii="宋体" w:hAnsi="宋体" w:cs="宋体" w:hint="eastAsia"/>
            <w:sz w:val="24"/>
          </w:rPr>
          <w:fldChar w:fldCharType="separate"/>
        </w:r>
        <w:r>
          <w:rPr>
            <w:rFonts w:ascii="宋体" w:hAnsi="宋体" w:cs="宋体" w:hint="eastAsia"/>
            <w:sz w:val="24"/>
          </w:rPr>
          <w:t>8</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7519" w:history="1">
        <w:r>
          <w:rPr>
            <w:rFonts w:ascii="宋体" w:hAnsi="宋体" w:cs="宋体" w:hint="eastAsia"/>
            <w:sz w:val="24"/>
          </w:rPr>
          <w:fldChar w:fldCharType="begin" w:dirty="1"/>
        </w:r>
        <w:r>
          <w:rPr>
            <w:rFonts w:ascii="宋体" w:hAnsi="宋体" w:cs="宋体" w:hint="eastAsia"/>
            <w:sz w:val="24"/>
          </w:rPr>
          <w:instrText xml:space="preserve"> PAGEREF _Toc7519 </w:instrText>
        </w:r>
        <w:r>
          <w:rPr>
            <w:rFonts w:ascii="宋体" w:hAnsi="宋体" w:cs="宋体" w:hint="eastAsia"/>
            <w:sz w:val="24"/>
          </w:rPr>
          <w:fldChar w:fldCharType="separate"/>
        </w:r>
        <w:r>
          <w:rPr>
            <w:rFonts w:ascii="宋体" w:hAnsi="宋体" w:cs="宋体" w:hint="eastAsia"/>
            <w:sz w:val="24"/>
          </w:rPr>
          <w:t>8</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317" w:history="1">
        <w:r>
          <w:rPr>
            <w:rFonts w:ascii="宋体" w:hAnsi="宋体" w:cs="宋体" w:hint="eastAsia"/>
            <w:sz w:val="24"/>
          </w:rPr>
          <w:fldChar w:fldCharType="begin" w:dirty="1"/>
        </w:r>
        <w:r>
          <w:rPr>
            <w:rFonts w:ascii="宋体" w:hAnsi="宋体" w:cs="宋体" w:hint="eastAsia"/>
            <w:sz w:val="24"/>
          </w:rPr>
          <w:instrText xml:space="preserve"> PAGEREF _Toc317 </w:instrText>
        </w:r>
        <w:r>
          <w:rPr>
            <w:rFonts w:ascii="宋体" w:hAnsi="宋体" w:cs="宋体" w:hint="eastAsia"/>
            <w:sz w:val="24"/>
          </w:rPr>
          <w:fldChar w:fldCharType="separate"/>
        </w:r>
        <w:r>
          <w:rPr>
            <w:rFonts w:ascii="宋体" w:hAnsi="宋体" w:cs="宋体" w:hint="eastAsia"/>
            <w:sz w:val="24"/>
          </w:rPr>
          <w:t>8</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8356" w:history="1">
        <w:r>
          <w:rPr>
            <w:rFonts w:ascii="宋体" w:hAnsi="宋体" w:cs="宋体" w:hint="eastAsia"/>
            <w:sz w:val="24"/>
          </w:rPr>
          <w:t>4建筑平安评价单元划分</w:t>
          <w:tab/>
        </w:r>
        <w:r>
          <w:rPr>
            <w:rFonts w:ascii="宋体" w:hAnsi="宋体" w:cs="宋体" w:hint="eastAsia"/>
            <w:sz w:val="24"/>
          </w:rPr>
          <w:fldChar w:fldCharType="begin" w:dirty="1"/>
        </w:r>
        <w:r>
          <w:rPr>
            <w:rFonts w:ascii="宋体" w:hAnsi="宋体" w:cs="宋体" w:hint="eastAsia"/>
            <w:sz w:val="24"/>
          </w:rPr>
          <w:instrText xml:space="preserve"> PAGEREF _Toc8356 </w:instrText>
        </w:r>
        <w:r>
          <w:rPr>
            <w:rFonts w:ascii="宋体" w:hAnsi="宋体" w:cs="宋体" w:hint="eastAsia"/>
            <w:sz w:val="24"/>
          </w:rPr>
          <w:fldChar w:fldCharType="separate"/>
        </w:r>
        <w:r>
          <w:rPr>
            <w:rFonts w:ascii="宋体" w:hAnsi="宋体" w:cs="宋体" w:hint="eastAsia"/>
            <w:sz w:val="24"/>
          </w:rPr>
          <w:t>9</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sectPr>
          <w:pgSz w:w="11906" w:h="16838"/>
          <w:pgMar w:top="1162" w:right="1270" w:bottom="1162" w:left="1230" w:header="851" w:footer="992" w:gutter="0"/>
          <w:cols w:space="720"/>
          <w:docGrid w:type="lines" w:linePitch="312"/>
        </w:sectPr>
      </w:pPr>
      <w:hyperlink w:anchor="_Toc1562" w:history="1">
        <w:r>
          <w:rPr>
            <w:rFonts w:ascii="宋体" w:hAnsi="宋体" w:cs="宋体" w:hint="eastAsia"/>
            <w:sz w:val="24"/>
          </w:rPr>
          <w:fldChar w:fldCharType="begin" w:dirty="1"/>
        </w:r>
        <w:r>
          <w:rPr>
            <w:rFonts w:ascii="宋体" w:hAnsi="宋体" w:cs="宋体" w:hint="eastAsia"/>
            <w:sz w:val="24"/>
          </w:rPr>
          <w:instrText xml:space="preserve"> PAGEREF _Toc1562 </w:instrText>
        </w:r>
        <w:r>
          <w:rPr>
            <w:rFonts w:ascii="宋体" w:hAnsi="宋体" w:cs="宋体" w:hint="eastAsia"/>
            <w:sz w:val="24"/>
          </w:rPr>
          <w:fldChar w:fldCharType="separate"/>
        </w:r>
        <w:r>
          <w:rPr>
            <w:rFonts w:ascii="宋体" w:hAnsi="宋体" w:cs="宋体" w:hint="eastAsia"/>
            <w:sz w:val="24"/>
          </w:rPr>
          <w:t>9</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23716" w:history="1">
        <w:r>
          <w:rPr>
            <w:rFonts w:ascii="宋体" w:hAnsi="宋体" w:cs="宋体" w:hint="eastAsia"/>
            <w:sz w:val="24"/>
          </w:rPr>
          <w:t>5定性、定量评价的选择</w:t>
          <w:tab/>
        </w:r>
        <w:r>
          <w:rPr>
            <w:rFonts w:ascii="宋体" w:hAnsi="宋体" w:cs="宋体" w:hint="eastAsia"/>
            <w:sz w:val="24"/>
          </w:rPr>
          <w:fldChar w:fldCharType="begin" w:dirty="1"/>
        </w:r>
        <w:r>
          <w:rPr>
            <w:rFonts w:ascii="宋体" w:hAnsi="宋体" w:cs="宋体" w:hint="eastAsia"/>
            <w:sz w:val="24"/>
          </w:rPr>
          <w:instrText xml:space="preserve"> PAGEREF _Toc23716 </w:instrText>
        </w:r>
        <w:r>
          <w:rPr>
            <w:rFonts w:ascii="宋体" w:hAnsi="宋体" w:cs="宋体" w:hint="eastAsia"/>
            <w:sz w:val="24"/>
          </w:rPr>
          <w:fldChar w:fldCharType="separate"/>
        </w:r>
        <w:r>
          <w:rPr>
            <w:rFonts w:ascii="宋体" w:hAnsi="宋体" w:cs="宋体" w:hint="eastAsia"/>
            <w:sz w:val="24"/>
          </w:rPr>
          <w:t>10</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3697" w:history="1">
        <w:r>
          <w:rPr>
            <w:rFonts w:ascii="宋体" w:hAnsi="宋体" w:cs="宋体" w:hint="eastAsia"/>
            <w:sz w:val="24"/>
          </w:rPr>
          <w:fldChar w:fldCharType="begin" w:dirty="1"/>
        </w:r>
        <w:r>
          <w:rPr>
            <w:rFonts w:ascii="宋体" w:hAnsi="宋体" w:cs="宋体" w:hint="eastAsia"/>
            <w:sz w:val="24"/>
          </w:rPr>
          <w:instrText xml:space="preserve"> PAGEREF _Toc3697 </w:instrText>
        </w:r>
        <w:r>
          <w:rPr>
            <w:rFonts w:ascii="宋体" w:hAnsi="宋体" w:cs="宋体" w:hint="eastAsia"/>
            <w:sz w:val="24"/>
          </w:rPr>
          <w:fldChar w:fldCharType="separate"/>
        </w:r>
        <w:r>
          <w:rPr>
            <w:rFonts w:ascii="宋体" w:hAnsi="宋体" w:cs="宋体" w:hint="eastAsia"/>
            <w:sz w:val="24"/>
          </w:rPr>
          <w:t>10</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14910" w:history="1">
        <w:r>
          <w:rPr>
            <w:rFonts w:ascii="宋体" w:hAnsi="宋体" w:cs="宋体" w:hint="eastAsia"/>
            <w:sz w:val="24"/>
          </w:rPr>
          <w:fldChar w:fldCharType="begin" w:dirty="1"/>
        </w:r>
        <w:r>
          <w:rPr>
            <w:rFonts w:ascii="宋体" w:hAnsi="宋体" w:cs="宋体" w:hint="eastAsia"/>
            <w:sz w:val="24"/>
          </w:rPr>
          <w:instrText xml:space="preserve"> PAGEREF _Toc14910 </w:instrText>
        </w:r>
        <w:r>
          <w:rPr>
            <w:rFonts w:ascii="宋体" w:hAnsi="宋体" w:cs="宋体" w:hint="eastAsia"/>
            <w:sz w:val="24"/>
          </w:rPr>
          <w:fldChar w:fldCharType="separate"/>
        </w:r>
        <w:r>
          <w:rPr>
            <w:rFonts w:ascii="宋体" w:hAnsi="宋体" w:cs="宋体" w:hint="eastAsia"/>
            <w:sz w:val="24"/>
          </w:rPr>
          <w:t>10</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3820" w:history="1">
        <w:r>
          <w:rPr>
            <w:rFonts w:ascii="宋体" w:hAnsi="宋体" w:cs="宋体" w:hint="eastAsia"/>
            <w:sz w:val="24"/>
          </w:rPr>
          <w:fldChar w:fldCharType="begin" w:dirty="1"/>
        </w:r>
        <w:r>
          <w:rPr>
            <w:rFonts w:ascii="宋体" w:hAnsi="宋体" w:cs="宋体" w:hint="eastAsia"/>
            <w:sz w:val="24"/>
          </w:rPr>
          <w:instrText xml:space="preserve"> PAGEREF _Toc3820 </w:instrText>
        </w:r>
        <w:r>
          <w:rPr>
            <w:rFonts w:ascii="宋体" w:hAnsi="宋体" w:cs="宋体" w:hint="eastAsia"/>
            <w:sz w:val="24"/>
          </w:rPr>
          <w:fldChar w:fldCharType="separate"/>
        </w:r>
        <w:r>
          <w:rPr>
            <w:rFonts w:ascii="宋体" w:hAnsi="宋体" w:cs="宋体" w:hint="eastAsia"/>
            <w:sz w:val="24"/>
          </w:rPr>
          <w:t>12</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30096" w:history="1">
        <w:r>
          <w:rPr>
            <w:rFonts w:ascii="宋体" w:hAnsi="宋体" w:cs="宋体" w:hint="eastAsia"/>
            <w:sz w:val="24"/>
          </w:rPr>
          <w:fldChar w:fldCharType="begin" w:dirty="1"/>
        </w:r>
        <w:r>
          <w:rPr>
            <w:rFonts w:ascii="宋体" w:hAnsi="宋体" w:cs="宋体" w:hint="eastAsia"/>
            <w:sz w:val="24"/>
          </w:rPr>
          <w:instrText xml:space="preserve"> PAGEREF _Toc30096 </w:instrText>
        </w:r>
        <w:r>
          <w:rPr>
            <w:rFonts w:ascii="宋体" w:hAnsi="宋体" w:cs="宋体" w:hint="eastAsia"/>
            <w:sz w:val="24"/>
          </w:rPr>
          <w:fldChar w:fldCharType="separate"/>
        </w:r>
        <w:r>
          <w:rPr>
            <w:rFonts w:ascii="宋体" w:hAnsi="宋体" w:cs="宋体" w:hint="eastAsia"/>
            <w:sz w:val="24"/>
          </w:rPr>
          <w:t>14</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3277" w:history="1">
        <w:r>
          <w:rPr>
            <w:rFonts w:ascii="宋体" w:hAnsi="宋体" w:cs="宋体" w:hint="eastAsia"/>
            <w:sz w:val="24"/>
          </w:rPr>
          <w:fldChar w:fldCharType="begin" w:dirty="1"/>
        </w:r>
        <w:r>
          <w:rPr>
            <w:rFonts w:ascii="宋体" w:hAnsi="宋体" w:cs="宋体" w:hint="eastAsia"/>
            <w:sz w:val="24"/>
          </w:rPr>
          <w:instrText xml:space="preserve"> PAGEREF _Toc3277 </w:instrText>
        </w:r>
        <w:r>
          <w:rPr>
            <w:rFonts w:ascii="宋体" w:hAnsi="宋体" w:cs="宋体" w:hint="eastAsia"/>
            <w:sz w:val="24"/>
          </w:rPr>
          <w:fldChar w:fldCharType="separate"/>
        </w:r>
        <w:r>
          <w:rPr>
            <w:rFonts w:ascii="宋体" w:hAnsi="宋体" w:cs="宋体" w:hint="eastAsia"/>
            <w:sz w:val="24"/>
          </w:rPr>
          <w:t>17</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14857" w:history="1">
        <w:r>
          <w:rPr>
            <w:rFonts w:ascii="宋体" w:hAnsi="宋体" w:cs="宋体" w:hint="eastAsia"/>
            <w:sz w:val="24"/>
          </w:rPr>
          <w:fldChar w:fldCharType="begin" w:dirty="1"/>
        </w:r>
        <w:r>
          <w:rPr>
            <w:rFonts w:ascii="宋体" w:hAnsi="宋体" w:cs="宋体" w:hint="eastAsia"/>
            <w:sz w:val="24"/>
          </w:rPr>
          <w:instrText xml:space="preserve"> PAGEREF _Toc14857 </w:instrText>
        </w:r>
        <w:r>
          <w:rPr>
            <w:rFonts w:ascii="宋体" w:hAnsi="宋体" w:cs="宋体" w:hint="eastAsia"/>
            <w:sz w:val="24"/>
          </w:rPr>
          <w:fldChar w:fldCharType="separate"/>
        </w:r>
        <w:r>
          <w:rPr>
            <w:rFonts w:ascii="宋体" w:hAnsi="宋体" w:cs="宋体" w:hint="eastAsia"/>
            <w:sz w:val="24"/>
          </w:rPr>
          <w:t>19</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7218" w:history="1">
        <w:r>
          <w:rPr>
            <w:rFonts w:ascii="宋体" w:hAnsi="宋体" w:cs="宋体" w:hint="eastAsia"/>
            <w:sz w:val="24"/>
          </w:rPr>
          <w:fldChar w:fldCharType="begin" w:dirty="1"/>
        </w:r>
        <w:r>
          <w:rPr>
            <w:rFonts w:ascii="宋体" w:hAnsi="宋体" w:cs="宋体" w:hint="eastAsia"/>
            <w:sz w:val="24"/>
          </w:rPr>
          <w:instrText xml:space="preserve"> PAGEREF _Toc7218 </w:instrText>
        </w:r>
        <w:r>
          <w:rPr>
            <w:rFonts w:ascii="宋体" w:hAnsi="宋体" w:cs="宋体" w:hint="eastAsia"/>
            <w:sz w:val="24"/>
          </w:rPr>
          <w:fldChar w:fldCharType="separate"/>
        </w:r>
        <w:r>
          <w:rPr>
            <w:rFonts w:ascii="宋体" w:hAnsi="宋体" w:cs="宋体" w:hint="eastAsia"/>
            <w:sz w:val="24"/>
          </w:rPr>
          <w:t>20</w:t>
        </w:r>
        <w:r>
          <w:rPr>
            <w:rFonts w:ascii="宋体" w:hAnsi="宋体" w:cs="宋体" w:hint="eastAsia"/>
            <w:sz w:val="24"/>
          </w:rPr>
          <w:fldChar w:fldCharType="end"/>
        </w:r>
      </w:hyperlink>
    </w:p>
    <w:p w:rsidR="006E217E" w:rsidP="006E217E">
      <w:pPr>
        <w:pStyle w:val="TOC3"/>
        <w:tabs>
          <w:tab w:val="right" w:leader="dot" w:pos="8306"/>
        </w:tabs>
        <w:rPr>
          <w:rFonts w:ascii="宋体" w:hAnsi="宋体" w:cs="宋体" w:hint="eastAsia"/>
          <w:sz w:val="24"/>
        </w:rPr>
      </w:pPr>
      <w:hyperlink w:anchor="_Toc12302" w:history="1">
        <w:r>
          <w:rPr>
            <w:rFonts w:ascii="宋体" w:hAnsi="宋体" w:cs="宋体" w:hint="eastAsia"/>
            <w:sz w:val="24"/>
          </w:rPr>
          <w:fldChar w:fldCharType="begin" w:dirty="1"/>
        </w:r>
        <w:r>
          <w:rPr>
            <w:rFonts w:ascii="宋体" w:hAnsi="宋体" w:cs="宋体" w:hint="eastAsia"/>
            <w:sz w:val="24"/>
          </w:rPr>
          <w:instrText xml:space="preserve"> PAGEREF _Toc12302 </w:instrText>
        </w:r>
        <w:r>
          <w:rPr>
            <w:rFonts w:ascii="宋体" w:hAnsi="宋体" w:cs="宋体" w:hint="eastAsia"/>
            <w:sz w:val="24"/>
          </w:rPr>
          <w:fldChar w:fldCharType="separate"/>
        </w:r>
        <w:r>
          <w:rPr>
            <w:rFonts w:ascii="宋体" w:hAnsi="宋体" w:cs="宋体" w:hint="eastAsia"/>
            <w:sz w:val="24"/>
          </w:rPr>
          <w:t>20</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7584" w:history="1">
        <w:r>
          <w:rPr>
            <w:rFonts w:ascii="宋体" w:hAnsi="宋体" w:cs="宋体" w:hint="eastAsia"/>
            <w:sz w:val="24"/>
          </w:rPr>
          <w:t>6建筑工地重大危险源整措施建议</w:t>
          <w:tab/>
        </w:r>
        <w:r>
          <w:rPr>
            <w:rFonts w:ascii="宋体" w:hAnsi="宋体" w:cs="宋体" w:hint="eastAsia"/>
            <w:sz w:val="24"/>
          </w:rPr>
          <w:fldChar w:fldCharType="begin" w:dirty="1"/>
        </w:r>
        <w:r>
          <w:rPr>
            <w:rFonts w:ascii="宋体" w:hAnsi="宋体" w:cs="宋体" w:hint="eastAsia"/>
            <w:sz w:val="24"/>
          </w:rPr>
          <w:instrText xml:space="preserve"> PAGEREF _Toc7584 </w:instrText>
        </w:r>
        <w:r>
          <w:rPr>
            <w:rFonts w:ascii="宋体" w:hAnsi="宋体" w:cs="宋体" w:hint="eastAsia"/>
            <w:sz w:val="24"/>
          </w:rPr>
          <w:fldChar w:fldCharType="separate"/>
        </w:r>
        <w:r>
          <w:rPr>
            <w:rFonts w:ascii="宋体" w:hAnsi="宋体" w:cs="宋体" w:hint="eastAsia"/>
            <w:sz w:val="24"/>
          </w:rPr>
          <w:t>23</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4326" w:history="1">
        <w:r>
          <w:rPr>
            <w:rFonts w:ascii="宋体" w:hAnsi="宋体" w:cs="宋体" w:hint="eastAsia"/>
            <w:sz w:val="24"/>
          </w:rPr>
          <w:t xml:space="preserve">7 </w:t>
        </w:r>
        <w:r>
          <w:rPr>
            <w:rFonts w:ascii="宋体" w:hAnsi="宋体" w:cs="宋体" w:hint="eastAsia"/>
            <w:sz w:val="24"/>
            <w:lang w:val="zh-CN"/>
          </w:rPr>
          <w:t>×××××</w:t>
        </w:r>
        <w:r>
          <w:rPr>
            <w:rFonts w:ascii="宋体" w:hAnsi="宋体" w:cs="宋体" w:hint="eastAsia"/>
            <w:sz w:val="24"/>
            <w:lang w:val="zh-CN"/>
          </w:rPr>
          <w:t>工程平安现状评价结论</w:t>
        </w:r>
        <w:r>
          <w:rPr>
            <w:rFonts w:ascii="宋体" w:hAnsi="宋体" w:cs="宋体" w:hint="eastAsia"/>
            <w:sz w:val="24"/>
          </w:rPr>
          <w:fldChar w:fldCharType="begin" w:dirty="1"/>
        </w:r>
        <w:r>
          <w:rPr>
            <w:rFonts w:ascii="宋体" w:hAnsi="宋体" w:cs="宋体" w:hint="eastAsia"/>
            <w:sz w:val="24"/>
          </w:rPr>
          <w:instrText xml:space="preserve"> PAGEREF _Toc4326 </w:instrText>
        </w:r>
        <w:r>
          <w:rPr>
            <w:rFonts w:ascii="宋体" w:hAnsi="宋体" w:cs="宋体" w:hint="eastAsia"/>
            <w:sz w:val="24"/>
          </w:rPr>
          <w:fldChar w:fldCharType="separate"/>
        </w:r>
        <w:r>
          <w:rPr>
            <w:rFonts w:ascii="宋体" w:hAnsi="宋体" w:cs="宋体" w:hint="eastAsia"/>
            <w:sz w:val="24"/>
          </w:rPr>
          <w:t>24</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7380" w:history="1">
        <w:r>
          <w:rPr>
            <w:rFonts w:ascii="宋体" w:hAnsi="宋体" w:cs="宋体" w:hint="eastAsia"/>
            <w:sz w:val="24"/>
            <w:lang w:val="zh-CN"/>
          </w:rPr>
          <w:t>7.1 持续改良意见</w:t>
        </w:r>
        <w:r>
          <w:rPr>
            <w:rFonts w:ascii="宋体" w:hAnsi="宋体" w:cs="宋体" w:hint="eastAsia"/>
            <w:sz w:val="24"/>
          </w:rPr>
          <w:fldChar w:fldCharType="begin" w:dirty="1"/>
        </w:r>
        <w:r>
          <w:rPr>
            <w:rFonts w:ascii="宋体" w:hAnsi="宋体" w:cs="宋体" w:hint="eastAsia"/>
            <w:sz w:val="24"/>
          </w:rPr>
          <w:instrText xml:space="preserve"> PAGEREF _Toc7380 </w:instrText>
        </w:r>
        <w:r>
          <w:rPr>
            <w:rFonts w:ascii="宋体" w:hAnsi="宋体" w:cs="宋体" w:hint="eastAsia"/>
            <w:sz w:val="24"/>
          </w:rPr>
          <w:fldChar w:fldCharType="separate"/>
        </w:r>
        <w:r>
          <w:rPr>
            <w:rFonts w:ascii="宋体" w:hAnsi="宋体" w:cs="宋体" w:hint="eastAsia"/>
            <w:sz w:val="24"/>
          </w:rPr>
          <w:t>24</w:t>
        </w:r>
        <w:r>
          <w:rPr>
            <w:rFonts w:ascii="宋体" w:hAnsi="宋体" w:cs="宋体" w:hint="eastAsia"/>
            <w:sz w:val="24"/>
          </w:rPr>
          <w:fldChar w:fldCharType="end"/>
        </w:r>
      </w:hyperlink>
    </w:p>
    <w:p w:rsidR="006E217E" w:rsidP="006E217E">
      <w:pPr>
        <w:pStyle w:val="TOC2"/>
        <w:tabs>
          <w:tab w:val="right" w:leader="dot" w:pos="8306"/>
        </w:tabs>
        <w:rPr>
          <w:rFonts w:ascii="宋体" w:hAnsi="宋体" w:cs="宋体" w:hint="eastAsia"/>
          <w:sz w:val="24"/>
        </w:rPr>
      </w:pPr>
      <w:hyperlink w:anchor="_Toc15035" w:history="1">
        <w:r>
          <w:rPr>
            <w:rFonts w:ascii="宋体" w:hAnsi="宋体" w:cs="宋体" w:hint="eastAsia"/>
            <w:sz w:val="24"/>
          </w:rPr>
          <w:t xml:space="preserve">7.2评价结论 </w:t>
          <w:tab/>
        </w:r>
        <w:r>
          <w:rPr>
            <w:rFonts w:ascii="宋体" w:hAnsi="宋体" w:cs="宋体" w:hint="eastAsia"/>
            <w:sz w:val="24"/>
          </w:rPr>
          <w:fldChar w:fldCharType="begin" w:dirty="1"/>
        </w:r>
        <w:r>
          <w:rPr>
            <w:rFonts w:ascii="宋体" w:hAnsi="宋体" w:cs="宋体" w:hint="eastAsia"/>
            <w:sz w:val="24"/>
          </w:rPr>
          <w:instrText xml:space="preserve"> PAGEREF _Toc15035 </w:instrText>
        </w:r>
        <w:r>
          <w:rPr>
            <w:rFonts w:ascii="宋体" w:hAnsi="宋体" w:cs="宋体" w:hint="eastAsia"/>
            <w:sz w:val="24"/>
          </w:rPr>
          <w:fldChar w:fldCharType="separate"/>
        </w:r>
        <w:r>
          <w:rPr>
            <w:rFonts w:ascii="宋体" w:hAnsi="宋体" w:cs="宋体" w:hint="eastAsia"/>
            <w:sz w:val="24"/>
          </w:rPr>
          <w:t>25</w:t>
        </w:r>
        <w:r>
          <w:rPr>
            <w:rFonts w:ascii="宋体" w:hAnsi="宋体" w:cs="宋体" w:hint="eastAsia"/>
            <w:sz w:val="24"/>
          </w:rPr>
          <w:fldChar w:fldCharType="end"/>
        </w:r>
      </w:hyperlink>
    </w:p>
    <w:p w:rsidR="006E217E" w:rsidP="006E217E">
      <w:pPr>
        <w:pStyle w:val="TOC1"/>
        <w:tabs>
          <w:tab w:val="right" w:leader="dot" w:pos="8306"/>
        </w:tabs>
        <w:rPr>
          <w:rFonts w:ascii="宋体" w:hAnsi="宋体" w:cs="宋体" w:hint="eastAsia"/>
          <w:sz w:val="24"/>
        </w:rPr>
      </w:pPr>
      <w:hyperlink w:anchor="_Toc806" w:history="1">
        <w:r>
          <w:rPr>
            <w:rFonts w:ascii="宋体" w:hAnsi="宋体" w:cs="宋体" w:hint="eastAsia"/>
            <w:sz w:val="24"/>
          </w:rPr>
          <w:t>总结</w:t>
          <w:tab/>
        </w:r>
        <w:r>
          <w:rPr>
            <w:rFonts w:ascii="宋体" w:hAnsi="宋体" w:cs="宋体" w:hint="eastAsia"/>
            <w:sz w:val="24"/>
          </w:rPr>
          <w:fldChar w:fldCharType="begin" w:dirty="1"/>
        </w:r>
        <w:r>
          <w:rPr>
            <w:rFonts w:ascii="宋体" w:hAnsi="宋体" w:cs="宋体" w:hint="eastAsia"/>
            <w:sz w:val="24"/>
          </w:rPr>
          <w:instrText xml:space="preserve"> PAGEREF _Toc806 </w:instrText>
        </w:r>
        <w:r>
          <w:rPr>
            <w:rFonts w:ascii="宋体" w:hAnsi="宋体" w:cs="宋体" w:hint="eastAsia"/>
            <w:sz w:val="24"/>
          </w:rPr>
          <w:fldChar w:fldCharType="separate"/>
        </w:r>
        <w:r>
          <w:rPr>
            <w:rFonts w:ascii="宋体" w:hAnsi="宋体" w:cs="宋体" w:hint="eastAsia"/>
            <w:sz w:val="24"/>
          </w:rPr>
          <w:t>27</w:t>
        </w:r>
        <w:r>
          <w:rPr>
            <w:rFonts w:ascii="宋体" w:hAnsi="宋体" w:cs="宋体" w:hint="eastAsia"/>
            <w:sz w:val="24"/>
          </w:rPr>
          <w:fldChar w:fldCharType="end"/>
        </w:r>
      </w:hyperlink>
    </w:p>
    <w:p w:rsidR="006E217E" w:rsidP="006E217E">
      <w:pPr>
        <w:spacing w:line="300" w:lineRule="auto"/>
        <w:jc w:val="left"/>
        <w:rPr>
          <w:rFonts w:ascii="宋体" w:hAnsi="宋体" w:cs="宋体" w:hint="eastAsia"/>
          <w:b/>
          <w:bCs/>
          <w:sz w:val="24"/>
        </w:rPr>
        <w:sectPr>
          <w:type w:val="nextPage"/>
          <w:pgSz w:w="11906" w:h="16838"/>
          <w:pgMar w:top="1162" w:right="1270" w:bottom="1162" w:left="1230" w:header="851" w:footer="992" w:gutter="0"/>
          <w:pgNumType w:start="2"/>
          <w:cols w:space="720"/>
          <w:titlePg w:val="0"/>
          <w:docGrid w:type="lines" w:linePitch="312"/>
        </w:sectPr>
      </w:pPr>
      <w:r>
        <w:rPr>
          <w:rFonts w:ascii="宋体" w:hAnsi="宋体" w:cs="宋体" w:hint="eastAsia"/>
          <w:bCs/>
          <w:sz w:val="24"/>
        </w:rPr>
        <w:fldChar w:fldCharType="end"/>
      </w:r>
    </w:p>
    <w:p w:rsidR="006E217E" w:rsidP="006E217E">
      <w:pPr>
        <w:pStyle w:val="Heading1"/>
        <w:spacing w:line="300" w:lineRule="auto"/>
        <w:jc w:val="center"/>
        <w:rPr>
          <w:rFonts w:hint="eastAsia"/>
        </w:rPr>
      </w:pPr>
      <w:bookmarkStart w:id="0" w:name="_Toc29891"/>
      <w:r>
        <w:rPr>
          <w:rFonts w:ascii="黑体" w:eastAsia="黑体" w:hAnsi="黑体" w:cs="黑体" w:hint="eastAsia"/>
          <w:sz w:val="30"/>
          <w:szCs w:val="30"/>
        </w:rPr>
        <w:t>前言</w:t>
      </w:r>
      <w:bookmarkEnd w:id="0"/>
    </w:p>
    <w:p w:rsidR="006E217E" w:rsidP="006E217E">
      <w:pPr>
        <w:spacing w:line="300" w:lineRule="auto"/>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根据《中华人民共和国平安生产法》、《中华人民共和国劳动法》《关于加强建设工程平安设施三同时工作的通知》等法律、法规的有关规定，为认真贯彻好</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平安第一、预防为主、综合治理〞的平安生产方针，不断提高企业的职业健康和平安管理水平，保护职工在生产中的身体健康和生命平安，从而实现企业生产的本质平安化。为此，重庆工程职业技术学院平安工程专业学生小组，对该矿井以进一步提高机械化水平、提高平安水平为主要目的的技术改造进行平安预评价。平安工程专业学生小组，依据企业提供的相关技术资料，组织平安工程专业人员、指导老师按照《平安评价通那么》〔AQ8001-2007〕、《平安预评价导那么》〔AQ8002-2007〕及该建设工程的可行性研究报告，采用预先危险性分析法〔PHA〕、平安检查表法〔SCL〕、事故树分析法〔FTA〕等评价方法，结合本工程的特点对该建设工程的危险、有害因素的种类和危险、危害程度进行分析、预测、评价，提出了有针对性的平安对策措施，得出了评价结论。本工程平安预评价报告可作为该工程建设和改造后平安管理工作的重要依据，同时也可作为平安生产监督管理部门对该工程工程</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三同时〞工作的执行情况，实施监督管理的依据之一</w:t>
      </w:r>
    </w:p>
    <w:p w:rsidR="006E217E" w:rsidP="006E217E">
      <w:pPr>
        <w:pStyle w:val="Heading1"/>
        <w:spacing w:line="300" w:lineRule="auto"/>
        <w:jc w:val="center"/>
        <w:rPr>
          <w:rFonts w:ascii="黑体" w:eastAsia="黑体" w:hAnsi="黑体" w:cs="黑体" w:hint="eastAsia"/>
          <w:sz w:val="30"/>
          <w:szCs w:val="30"/>
        </w:rPr>
      </w:pPr>
      <w:bookmarkStart w:id="1" w:name="_Toc1174"/>
      <w:r>
        <w:rPr>
          <w:rFonts w:ascii="黑体" w:eastAsia="黑体" w:hAnsi="黑体" w:cs="黑体" w:hint="eastAsia"/>
          <w:sz w:val="30"/>
          <w:szCs w:val="30"/>
        </w:rPr>
        <w:t>1  总那么</w:t>
      </w:r>
      <w:bookmarkEnd w:id="1"/>
    </w:p>
    <w:p w:rsidR="006E217E" w:rsidP="006E217E">
      <w:pPr>
        <w:rPr>
          <w:rFonts w:ascii="宋体" w:hAnsi="宋体" w:cs="宋体" w:hint="eastAsia"/>
          <w:sz w:val="24"/>
        </w:rPr>
      </w:pPr>
      <w:r>
        <w:rPr>
          <w:rFonts w:ascii="宋体" w:hAnsi="宋体" w:cs="宋体" w:hint="eastAsia"/>
          <w:sz w:val="24"/>
        </w:rPr>
        <w:t>平安评价的目的是查找、分析和预测工程、系统存在的危险、有害因素及可能导致的危险、危害后果和程度，提合理可行的平安对策措施，指导危险源监控和事故预防，以到达最低事故率、最少损失和最优的平安投资效益。平安评价可以到达以下目的。</w:t>
      </w:r>
    </w:p>
    <w:p w:rsidR="006E217E" w:rsidP="006E217E">
      <w:pPr>
        <w:pStyle w:val="NormalWeb"/>
        <w:rPr>
          <w:rFonts w:ascii="宋体" w:hAnsi="宋体" w:cs="宋体" w:hint="eastAsia"/>
        </w:rPr>
      </w:pPr>
      <w:r>
        <w:rPr>
          <w:rFonts w:ascii="宋体" w:hAnsi="宋体" w:cs="宋体" w:hint="eastAsia"/>
        </w:rPr>
        <w:t xml:space="preserve">    (1〕提高系统本质平安化程度</w:t>
      </w:r>
    </w:p>
    <w:p w:rsidR="006E217E" w:rsidP="006E217E">
      <w:pPr>
        <w:rPr>
          <w:rFonts w:ascii="宋体" w:hAnsi="宋体" w:cs="宋体" w:hint="eastAsia"/>
          <w:sz w:val="24"/>
        </w:rPr>
      </w:pPr>
      <w:r>
        <w:rPr>
          <w:rFonts w:ascii="宋体" w:hAnsi="宋体" w:cs="宋体" w:hint="eastAsia"/>
          <w:sz w:val="24"/>
        </w:rPr>
        <w:t xml:space="preserve">     通过平安评价，对工程或系统的设计、建设、运行等过程中存在的事故和事故隐患进行系统分析，针对事故和事故隐患发生的可能原因事件和条件，提出消除危险的最正确技术措施方案，特别是从设计上采取相应措施，设置多重平安屏障，实现生产过程的本质平安化，做到即使发生误操作或设备故障时，系统存在的危险因素也不会导致重大事故发生。</w:t>
      </w:r>
    </w:p>
    <w:p w:rsidR="006E217E" w:rsidP="006E217E">
      <w:pPr>
        <w:pStyle w:val="NormalWeb"/>
        <w:widowControl/>
        <w:numPr>
          <w:ilvl w:val="0"/>
          <w:numId w:val="7"/>
        </w:numPr>
        <w:shd w:val="clear" w:color="auto" w:fill="FFFFFF"/>
        <w:spacing w:line="300" w:lineRule="auto"/>
        <w:ind w:firstLine="480" w:firstLineChars="200"/>
        <w:rPr>
          <w:rFonts w:ascii="宋体" w:hAnsi="宋体" w:cs="宋体" w:hint="eastAsia"/>
          <w:color w:val="000000"/>
          <w:shd w:val="clear" w:color="auto" w:fill="FFFFFF"/>
        </w:rPr>
      </w:pPr>
      <w:r>
        <w:rPr>
          <w:rFonts w:ascii="宋体" w:hAnsi="宋体" w:cs="宋体" w:hint="eastAsia"/>
          <w:color w:val="000000"/>
          <w:shd w:val="clear" w:color="auto" w:fill="FFFFFF"/>
        </w:rPr>
        <w:t>实现全过程平安控制</w:t>
      </w:r>
    </w:p>
    <w:p w:rsidR="006E217E" w:rsidP="006E217E">
      <w:pPr>
        <w:rPr>
          <w:rFonts w:ascii="宋体" w:hAnsi="宋体" w:cs="宋体" w:hint="eastAsia"/>
          <w:sz w:val="24"/>
        </w:rPr>
      </w:pPr>
      <w:r>
        <w:rPr>
          <w:rFonts w:ascii="宋体" w:hAnsi="宋体" w:cs="宋体" w:hint="eastAsia"/>
          <w:sz w:val="24"/>
        </w:rPr>
        <w:t xml:space="preserve">    在系统设计前进行平安评价，可防止选用不平安的工艺流程和危险在原材料及不适宜的设备、设施，防止平安设施不符合要求或存在缺陷，并提出降低或消除危险的有效方法。系统设计后进行平安评价，可查出设计中的缺陷和缺乏，</w:t>
      </w:r>
    </w:p>
    <w:p w:rsidR="006E217E" w:rsidP="006E217E">
      <w:pPr>
        <w:rPr>
          <w:rFonts w:ascii="宋体" w:hAnsi="宋体" w:cs="宋体" w:hint="eastAsia"/>
          <w:sz w:val="24"/>
        </w:rPr>
      </w:pPr>
      <w:r>
        <w:rPr>
          <w:rFonts w:ascii="宋体" w:hAnsi="宋体" w:cs="宋体" w:hint="eastAsia"/>
          <w:sz w:val="24"/>
        </w:rPr>
        <w:t>及早采取改良和预防措施。系统建成后进行平安评价，可了解系统的现实危险性，为进一步采取降低危险性的措施提供依据。</w:t>
      </w:r>
    </w:p>
    <w:p w:rsidR="006E217E" w:rsidP="006E217E">
      <w:pPr>
        <w:pStyle w:val="NormalWeb"/>
        <w:widowControl/>
        <w:shd w:val="clear" w:color="auto" w:fill="FFFFFF"/>
        <w:spacing w:line="300" w:lineRule="auto"/>
        <w:rPr>
          <w:rFonts w:ascii="宋体" w:hAnsi="宋体" w:cs="宋体" w:hint="eastAsia"/>
          <w:color w:val="000000"/>
        </w:rPr>
      </w:pPr>
      <w:r>
        <w:rPr>
          <w:rFonts w:ascii="宋体" w:hAnsi="宋体" w:cs="宋体" w:hint="eastAsia"/>
          <w:color w:val="000000"/>
          <w:shd w:val="clear" w:color="auto" w:fill="FFFFFF"/>
        </w:rPr>
        <w:t xml:space="preserve">    (3〕建立系统平安的最优方案，为决策提供依据</w:t>
      </w:r>
    </w:p>
    <w:p w:rsidR="006E217E" w:rsidP="006E217E">
      <w:pPr>
        <w:rPr>
          <w:rFonts w:ascii="宋体" w:hAnsi="宋体" w:cs="宋体" w:hint="eastAsia"/>
          <w:sz w:val="24"/>
        </w:rPr>
      </w:pPr>
      <w:r>
        <w:rPr>
          <w:rFonts w:ascii="宋体" w:hAnsi="宋体" w:cs="宋体" w:hint="eastAsia"/>
          <w:sz w:val="24"/>
        </w:rPr>
        <w:t xml:space="preserve">    通过平安评价，可确定系统存在的危险及其分布部位、数目，预测系统发生事故的概率及其严重度，进而提出应采取的平安对策措施等。决策者可以根据评价结果选择系统平安最优方案和进行管理决策。</w:t>
      </w:r>
    </w:p>
    <w:p w:rsidR="006E217E" w:rsidP="006E217E">
      <w:pPr>
        <w:rPr>
          <w:rFonts w:ascii="宋体" w:hAnsi="宋体" w:cs="宋体" w:hint="eastAsia"/>
          <w:sz w:val="24"/>
        </w:rPr>
        <w:sectPr>
          <w:pgSz w:w="11906" w:h="16838"/>
          <w:pgMar w:top="800" w:right="1800" w:bottom="800" w:left="1800" w:header="851" w:footer="992" w:gutter="0"/>
          <w:pgNumType w:start="0"/>
          <w:cols w:space="720"/>
          <w:docGrid w:type="lines" w:linePitch="312"/>
        </w:sectPr>
      </w:pPr>
      <w:r>
        <w:rPr>
          <w:rFonts w:ascii="宋体" w:hAnsi="宋体" w:cs="宋体" w:hint="eastAsia"/>
          <w:sz w:val="24"/>
        </w:rPr>
        <w:t xml:space="preserve">    (4〕为实现平安技术、平安管理的标准化和科学化创造条件</w:t>
      </w:r>
    </w:p>
    <w:p w:rsidR="006E217E" w:rsidP="006E217E">
      <w:pPr>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通过对设备、设施或系统在生产过程中的平安性是否符合有关技术标准、标准相关规定的评价，对照技术标准、标准找出存在的问题和缺乏，实现平安技术和平安管理的标准化、科学化。</w:t>
      </w:r>
    </w:p>
    <w:p w:rsidR="006E217E" w:rsidP="006E217E">
      <w:pPr>
        <w:pStyle w:val="Heading2"/>
        <w:spacing w:line="300" w:lineRule="auto"/>
        <w:rPr>
          <w:rFonts w:hint="eastAsia"/>
        </w:rPr>
      </w:pPr>
      <w:bookmarkStart w:id="2" w:name="_Toc10873"/>
      <w:r>
        <w:rPr>
          <w:rFonts w:ascii="黑体" w:hAnsi="黑体" w:cs="黑体" w:hint="eastAsia"/>
          <w:sz w:val="28"/>
          <w:szCs w:val="28"/>
        </w:rPr>
        <w:t>1.2 评价依据</w:t>
      </w:r>
      <w:bookmarkEnd w:id="2"/>
    </w:p>
    <w:p w:rsidR="006E217E" w:rsidP="006E217E">
      <w:pPr>
        <w:pStyle w:val="Heading3"/>
        <w:spacing w:line="300" w:lineRule="auto"/>
        <w:rPr>
          <w:rFonts w:ascii="黑体" w:eastAsia="黑体" w:hAnsi="黑体" w:cs="黑体" w:hint="eastAsia"/>
          <w:sz w:val="24"/>
        </w:rPr>
      </w:pPr>
      <w:bookmarkStart w:id="3" w:name="_Toc205568105"/>
      <w:bookmarkStart w:id="4" w:name="_Toc24050"/>
      <w:r>
        <w:rPr>
          <w:rFonts w:ascii="黑体" w:eastAsia="黑体" w:hAnsi="黑体" w:cs="黑体" w:hint="eastAsia"/>
          <w:sz w:val="24"/>
        </w:rPr>
        <w:t>1.2.1 主要法律法规</w:t>
      </w:r>
      <w:bookmarkEnd w:id="3"/>
      <w:bookmarkEnd w:id="4"/>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〔1〕《中华人民共和国平安生产法》〔国家主席令第70号2002.11.1〕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〔2〕《中华人民共和国消防法》〔国家主席令第6号2023.5.1〕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〔3〕《中华人民共和国环境保护法》〔国家主席令第二十二号1989.12.26〕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〔4〕《中华人民共和国职业病防治法》〔国家主席令第60号2002.5.1〕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〔5〕《中华人民共和国劳动法》〔国家</w:t>
      </w:r>
      <w:r>
        <w:rPr>
          <w:rFonts w:ascii="宋体" w:hAnsi="宋体" w:cs="宋体" w:hint="eastAsia"/>
          <w:kern w:val="0"/>
          <w:sz w:val="24"/>
        </w:rPr>
        <w:t>主席令第二十八号</w:t>
      </w:r>
      <w:r>
        <w:rPr>
          <w:rFonts w:ascii="宋体" w:hAnsi="宋体" w:cs="宋体" w:hint="eastAsia"/>
          <w:sz w:val="24"/>
        </w:rPr>
        <w:t>1995.1.1〕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〔6〕《危险化学品平安管理条例》〔国务院令第344号 2002.3.15〕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〔7〕《危险化学品登记管理方法》〔原国家经贸委令第35号 2002.11.15〕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〔8〕《关于加强建设工程平安设施</w:t>
      </w:r>
      <w:r>
        <w:rPr>
          <w:rFonts w:ascii="宋体" w:hAnsi="宋体" w:cs="宋体" w:hint="eastAsia"/>
          <w:sz w:val="24"/>
        </w:rPr>
        <w:t>“</w:t>
      </w:r>
      <w:r>
        <w:rPr>
          <w:rFonts w:ascii="宋体" w:hAnsi="宋体" w:cs="宋体" w:hint="eastAsia"/>
          <w:sz w:val="24"/>
        </w:rPr>
        <w:t>三同时〞工作的通知》〔国家发改委、国家平安监管局  发改投资[2003]1346号2003.9.30〕</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〔9〕《转发国家发改委、国家平安监管局关于加强建设工程平安设施</w:t>
      </w:r>
      <w:r>
        <w:rPr>
          <w:rFonts w:ascii="宋体" w:hAnsi="宋体" w:cs="宋体" w:hint="eastAsia"/>
          <w:sz w:val="24"/>
        </w:rPr>
        <w:t>“</w:t>
      </w:r>
      <w:r>
        <w:rPr>
          <w:rFonts w:ascii="宋体" w:hAnsi="宋体" w:cs="宋体" w:hint="eastAsia"/>
          <w:sz w:val="24"/>
        </w:rPr>
        <w:t>三同时〞工作的通知》〔重庆市计委、经贸委 计投资[2003]1242号〕</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〔10〕《特种设备平安监察条例》〔国务院令第549号 2023.5.1〕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〔11〕《关于认真做好重大危险源监督管理工作的通知》〔安监总协调字〔2005〕62号〕</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〔12〕《关于开展重大危险源监督管理工作的指导意见》〔国家平安监管局〔国家煤矿平安监察局〕安监管协调字[2004]56号〕</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〔13〕《劳动防护用品监督管理规定》〔国家平安生产监督管理总局令第1号2005.9.1〕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〔14〕《危险化学品建设工程平安许可实施方法》〔国家平安生产监督管理总局令第8号 2006.10.1〕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〔15〕《重庆市燃气管理条例》〔重庆市人民代表大会常务委员会公告第68号2006.7.1〕</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〔16〕《城市燃气管理方法》(国家建设部第62号令 1997.12.23)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〔17〕《爆炸危险场所平安规定》〔劳部发〔1995〕56号1995.1.22〕</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〔18〕《各类监控化学品名录》〔化学工业部令第11号，1995.12.17〕</w:t>
      </w:r>
    </w:p>
    <w:p w:rsidR="006E217E" w:rsidP="006E217E">
      <w:pPr>
        <w:pStyle w:val="Heading3"/>
        <w:spacing w:line="300" w:lineRule="auto"/>
        <w:rPr>
          <w:rFonts w:ascii="黑体" w:eastAsia="黑体" w:hAnsi="黑体" w:cs="黑体" w:hint="eastAsia"/>
          <w:sz w:val="24"/>
        </w:rPr>
      </w:pPr>
      <w:bookmarkStart w:id="5" w:name="_Toc205568106"/>
      <w:bookmarkStart w:id="6" w:name="_Toc20410"/>
      <w:r>
        <w:rPr>
          <w:rFonts w:ascii="黑体" w:eastAsia="黑体" w:hAnsi="黑体" w:cs="黑体" w:hint="eastAsia"/>
          <w:sz w:val="24"/>
        </w:rPr>
        <w:t>1.2.2 主要技术标准及标准</w:t>
      </w:r>
      <w:bookmarkEnd w:id="5"/>
      <w:bookmarkEnd w:id="6"/>
    </w:p>
    <w:p w:rsidR="006E217E" w:rsidP="006E217E">
      <w:pPr>
        <w:adjustRightInd w:val="0"/>
        <w:snapToGrid w:val="0"/>
        <w:spacing w:line="300" w:lineRule="auto"/>
        <w:ind w:right="59" w:firstLine="307" w:rightChars="28" w:firstLineChars="128"/>
        <w:rPr>
          <w:rFonts w:ascii="宋体" w:hAnsi="宋体" w:cs="宋体" w:hint="eastAsia"/>
          <w:b/>
          <w:bCs/>
          <w:sz w:val="24"/>
        </w:rPr>
      </w:pPr>
      <w:r>
        <w:rPr>
          <w:rFonts w:ascii="宋体" w:hAnsi="宋体" w:cs="宋体" w:hint="eastAsia"/>
          <w:sz w:val="24"/>
        </w:rPr>
        <w:t>〔1〕《建筑设计防火标准》〔GB50016-2006〕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〔2〕《城镇燃气设计标准》〔GB50028-2006〕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 xml:space="preserve">〔3〕《城镇燃气技术标准》〔GB50494-2023〕 </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〔4〕《钢质管道及储罐腐蚀控制工程设计标准》〔SY0007-99〕</w:t>
      </w:r>
    </w:p>
    <w:p w:rsidR="006E217E" w:rsidP="006E217E">
      <w:pPr>
        <w:adjustRightInd w:val="0"/>
        <w:snapToGrid w:val="0"/>
        <w:spacing w:line="300" w:lineRule="auto"/>
        <w:ind w:right="59" w:firstLine="307" w:rightChars="28" w:firstLineChars="128"/>
        <w:rPr>
          <w:rFonts w:ascii="宋体" w:hAnsi="宋体" w:cs="宋体" w:hint="eastAsia"/>
          <w:sz w:val="24"/>
        </w:rPr>
        <w:sectPr>
          <w:type w:val="nextPage"/>
          <w:pgSz w:w="11906" w:h="16838"/>
          <w:pgMar w:top="800" w:right="1800" w:bottom="800" w:left="1800" w:header="851" w:footer="992" w:gutter="0"/>
          <w:pgNumType w:start="1"/>
          <w:cols w:space="720"/>
          <w:titlePg w:val="0"/>
          <w:docGrid w:type="lines" w:linePitch="312"/>
        </w:sectPr>
      </w:pPr>
      <w:r>
        <w:rPr>
          <w:rFonts w:ascii="宋体" w:hAnsi="宋体" w:cs="宋体" w:hint="eastAsia"/>
          <w:sz w:val="24"/>
        </w:rPr>
        <w:t>〔5〕《城镇燃气输配工程施工及验收标准》〔GJJ33-2005〕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〔6〕《输气管道工程设计标准》〔GB50251-2003〕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〔7〕《城镇燃气设施运行、维护和抢修平安技术规程》〔CJJ 51-2006〕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〔8〕《危险化学品名录》〔2002年版〕</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〔9〕《化工企业静电接地设计规程》〔HG/T2023675-1990〕</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〔10〕《压力管道平安技术监察规程-工业管道》〔TSG D0001-2023〕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〔11〕《固定式压力容器平安技术监察规程》〔TSG R0004-2023〕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〔12〕《工业管道工程施工及验收标准〔金属管道篇〕》〔GBJ235-82〕</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〔13〕《压力管道标准－工业管道》〔GB/T 20801.1-2006〕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〔14〕《危险化学品重大危险源辨识》〔GB18218-2023〕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〔15〕《常用化学危险品贮存通那么》〔GB15603-1995〕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〔16〕《建筑抗震设计标准》〔GB50011-2001〔2023版〕〕</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〔17〕《建筑物防雷设计标准》〔GB50057-94〔2000年版〕〕</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〔18〕《建筑灭火器配置设计标准》〔GB50140-2005〕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〔19〕《爆炸和火灾危险环境电力装置设计标准》〔GB50058-92〕</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〔20〕《可燃气体检测报警使用标准》〔SY6503-2000〕</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〔21〕《火灾自动报警系统设计标准》〔GB50116-98〕</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〔22〕《供配电系统设计标准》GB〔50052-2023〕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〔23〕《工业与民用电力装置接地设计标准》〔GBJ65-83〕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〔24〕《防止静电事故通用导那么》〔GB12158-2006〕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〔25〕《工业企业设计卫生标准》〔GBZ1-2023〕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〔26〕《职业性接触毒物危害程度分级》〔GBZ230-2023〕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〔27〕</w:t>
      </w:r>
      <w:r>
        <w:rPr>
          <w:rFonts w:ascii="宋体" w:hAnsi="宋体" w:cs="宋体" w:hint="eastAsia"/>
          <w:bCs/>
          <w:sz w:val="24"/>
        </w:rPr>
        <w:t>《工作场所有害因素职业接触限值第1局部：化学有害因素》〔GBZ2.1-2007〕</w:t>
      </w:r>
    </w:p>
    <w:p w:rsidR="006E217E" w:rsidP="006E217E">
      <w:pPr>
        <w:adjustRightInd w:val="0"/>
        <w:snapToGrid w:val="0"/>
        <w:spacing w:line="300" w:lineRule="auto"/>
        <w:ind w:right="59" w:firstLine="307" w:rightChars="28" w:firstLineChars="128"/>
        <w:rPr>
          <w:rFonts w:ascii="宋体" w:hAnsi="宋体" w:cs="宋体" w:hint="eastAsia"/>
          <w:bCs/>
          <w:sz w:val="24"/>
        </w:rPr>
      </w:pPr>
      <w:r>
        <w:rPr>
          <w:rFonts w:ascii="宋体" w:hAnsi="宋体" w:cs="宋体" w:hint="eastAsia"/>
          <w:sz w:val="24"/>
        </w:rPr>
        <w:t>〔28〕</w:t>
      </w:r>
      <w:r>
        <w:rPr>
          <w:rFonts w:ascii="宋体" w:hAnsi="宋体" w:cs="宋体" w:hint="eastAsia"/>
          <w:bCs/>
          <w:sz w:val="24"/>
        </w:rPr>
        <w:t>《工作场所有害因素职业接触限值第2局部：物理有害因素》〔GBZ2.2-2007〕</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〔29〕《工业企业噪声控制设计标准》〔GBJ87-85〕</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〔30〕《平安色》〔GB2893-2023〕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〔31〕《平安标志及其使用导那么》〔GB2894-2023〕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〔32〕《工业管道的根本识别色、识别符号和平安标识》〔GB7231-2003〕</w:t>
      </w:r>
    </w:p>
    <w:p w:rsidR="006E217E" w:rsidP="006E217E">
      <w:pPr>
        <w:adjustRightInd w:val="0"/>
        <w:snapToGrid w:val="0"/>
        <w:spacing w:line="300" w:lineRule="auto"/>
        <w:ind w:right="59" w:firstLine="307" w:rightChars="28" w:firstLineChars="128"/>
        <w:rPr>
          <w:rFonts w:ascii="宋体" w:hAnsi="宋体" w:cs="宋体" w:hint="eastAsia"/>
          <w:bCs/>
          <w:kern w:val="0"/>
          <w:sz w:val="24"/>
        </w:rPr>
      </w:pPr>
      <w:r>
        <w:rPr>
          <w:rFonts w:ascii="宋体" w:hAnsi="宋体" w:cs="宋体" w:hint="eastAsia"/>
          <w:sz w:val="24"/>
        </w:rPr>
        <w:t>〔33〕《</w:t>
      </w:r>
      <w:r>
        <w:rPr>
          <w:rFonts w:ascii="宋体" w:hAnsi="宋体" w:cs="宋体" w:hint="eastAsia"/>
          <w:kern w:val="0"/>
          <w:sz w:val="24"/>
        </w:rPr>
        <w:t>平安预评价导那么》〔</w:t>
      </w:r>
      <w:r>
        <w:rPr>
          <w:rFonts w:ascii="宋体" w:hAnsi="宋体" w:cs="宋体" w:hint="eastAsia"/>
          <w:sz w:val="24"/>
        </w:rPr>
        <w:t>AQ8002-2007</w:t>
      </w:r>
      <w:r>
        <w:rPr>
          <w:rFonts w:ascii="宋体" w:hAnsi="宋体" w:cs="宋体" w:hint="eastAsia"/>
          <w:bCs/>
          <w:kern w:val="0"/>
          <w:sz w:val="24"/>
        </w:rPr>
        <w:t>〕</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〔34〕《生产过程平安卫生要求总那么》〔GBT 12801-2023〕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〔35〕《生产过程危险和危害因素分类与代码》〔GB/T 13816-2023〕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〔36〕《企业职工伤亡事故分类标准》〔GB 6441-86〕</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〔37〕《采暖通风与空气调节设计标准》〔GB 50019-2003〕</w:t>
      </w:r>
    </w:p>
    <w:p w:rsidR="006E217E" w:rsidP="006E217E">
      <w:pPr>
        <w:adjustRightInd w:val="0"/>
        <w:snapToGrid w:val="0"/>
        <w:spacing w:line="300" w:lineRule="auto"/>
        <w:ind w:right="59" w:firstLine="307" w:rightChars="28" w:firstLineChars="128"/>
        <w:rPr>
          <w:rFonts w:ascii="宋体" w:hAnsi="宋体" w:cs="宋体" w:hint="eastAsia"/>
          <w:sz w:val="24"/>
        </w:rPr>
      </w:pPr>
      <w:r>
        <w:rPr>
          <w:rFonts w:ascii="宋体" w:hAnsi="宋体" w:cs="宋体" w:hint="eastAsia"/>
          <w:sz w:val="24"/>
        </w:rPr>
        <w:t>〔38〕《石油天然气工程设计防火标准》〔GB50183-2004〕</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sz w:val="24"/>
        </w:rPr>
        <w:t xml:space="preserve"> (</w:t>
      </w:r>
      <w:r>
        <w:rPr>
          <w:rFonts w:ascii="宋体" w:hAnsi="宋体" w:cs="宋体" w:hint="eastAsia"/>
          <w:kern w:val="0"/>
          <w:sz w:val="24"/>
          <w:lang w:bidi="ar"/>
        </w:rPr>
        <w:t>1)工程规划、设计和建设、投产、运行等阶段；</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〔2)常规和异常活动；</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(3)事故及潜在的紧急情况； </w:t>
      </w:r>
    </w:p>
    <w:p w:rsidR="006E217E" w:rsidP="006E217E">
      <w:pPr>
        <w:widowControl/>
        <w:spacing w:line="360" w:lineRule="atLeast"/>
        <w:jc w:val="left"/>
        <w:rPr>
          <w:rFonts w:ascii="宋体" w:hAnsi="宋体" w:cs="宋体" w:hint="eastAsia"/>
          <w:kern w:val="0"/>
          <w:sz w:val="24"/>
          <w:lang w:bidi="ar"/>
        </w:rPr>
        <w:sectPr>
          <w:type w:val="nextPage"/>
          <w:pgSz w:w="11906" w:h="16838"/>
          <w:pgMar w:top="800" w:right="1800" w:bottom="800" w:left="1800" w:header="851" w:footer="992" w:gutter="0"/>
          <w:pgNumType w:start="2"/>
          <w:cols w:space="720"/>
          <w:titlePg w:val="0"/>
          <w:docGrid w:type="lines" w:linePitch="312"/>
        </w:sectPr>
      </w:pPr>
      <w:r>
        <w:rPr>
          <w:rFonts w:ascii="宋体" w:hAnsi="宋体" w:cs="宋体" w:hint="eastAsia"/>
          <w:kern w:val="0"/>
          <w:sz w:val="24"/>
          <w:lang w:bidi="ar"/>
        </w:rPr>
        <w:t xml:space="preserve">   (4)所有进入作业场所的人员活动；</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(5)原材料、产品的运输和使用过程；</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〔6〕作业场所的设施、设备、车辆、平安防护用品；</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〔7〕人为因素，包括违反平安操作规程和平安生产规章制度；</w:t>
      </w:r>
    </w:p>
    <w:p w:rsidR="006E217E" w:rsidP="006E217E">
      <w:pPr>
        <w:widowControl/>
        <w:spacing w:line="360" w:lineRule="atLeast"/>
        <w:jc w:val="left"/>
        <w:rPr>
          <w:rFonts w:ascii="宋体" w:hAnsi="宋体" w:cs="宋体" w:hint="eastAsia"/>
          <w:kern w:val="0"/>
          <w:sz w:val="24"/>
          <w:lang w:bidi="ar"/>
        </w:rPr>
      </w:pPr>
      <w:r>
        <w:rPr>
          <w:rFonts w:ascii="宋体" w:hAnsi="宋体" w:cs="宋体" w:hint="eastAsia"/>
          <w:kern w:val="0"/>
          <w:sz w:val="24"/>
          <w:lang w:bidi="ar"/>
        </w:rPr>
        <w:t xml:space="preserve">  〔8〕丢弃、废弃、撤除与处置；</w:t>
      </w:r>
    </w:p>
    <w:p w:rsidR="006E217E" w:rsidP="006E217E">
      <w:pPr>
        <w:spacing w:line="300" w:lineRule="auto"/>
        <w:rPr>
          <w:rFonts w:ascii="宋体" w:hAnsi="宋体" w:cs="宋体" w:hint="eastAsia"/>
          <w:sz w:val="24"/>
        </w:rPr>
      </w:pPr>
      <w:r>
        <w:rPr>
          <w:rFonts w:ascii="宋体" w:hAnsi="宋体" w:cs="宋体" w:hint="eastAsia"/>
          <w:kern w:val="0"/>
          <w:sz w:val="24"/>
          <w:lang w:bidi="ar"/>
        </w:rPr>
        <w:t xml:space="preserve">  〔 9〕气候、地震及其他自然灾害等。</w:t>
      </w:r>
    </w:p>
    <w:p w:rsidR="006E217E" w:rsidP="006E217E">
      <w:pPr>
        <w:pStyle w:val="Heading2"/>
        <w:spacing w:line="300" w:lineRule="auto"/>
        <w:rPr>
          <w:rFonts w:hint="eastAsia"/>
        </w:rPr>
      </w:pPr>
      <w:bookmarkStart w:id="7" w:name="_Toc29691"/>
      <w:r>
        <w:rPr>
          <w:rFonts w:ascii="黑体" w:hAnsi="黑体" w:cs="黑体" w:hint="eastAsia"/>
          <w:sz w:val="28"/>
          <w:szCs w:val="28"/>
        </w:rPr>
        <w:t>1.4 评价程序</w:t>
      </w:r>
      <w:bookmarkEnd w:id="7"/>
    </w:p>
    <w:p w:rsidR="006E217E" w:rsidP="006E217E">
      <w:pPr>
        <w:adjustRightInd w:val="0"/>
        <w:snapToGrid w:val="0"/>
        <w:spacing w:line="300" w:lineRule="auto"/>
        <w:ind w:firstLine="420" w:firstLineChars="200"/>
        <w:jc w:val="center"/>
        <w:rPr>
          <w:rFonts w:hAnsi="宋体" w:hint="eastAsia"/>
          <w:sz w:val="24"/>
        </w:rPr>
        <w:sectPr>
          <w:type w:val="nextPage"/>
          <w:pgSz w:w="11906" w:h="16838"/>
          <w:pgMar w:top="800" w:right="1800" w:bottom="800" w:left="1800" w:header="851" w:footer="992" w:gutter="0"/>
          <w:pgNumType w:start="3"/>
          <w:cols w:space="720"/>
          <w:titlePg w:val="0"/>
          <w:docGrid w:type="lines" w:linePitch="312"/>
        </w:sectPr>
      </w:pPr>
      <w:r>
        <w:rPr>
          <w:rFonts w:ascii="宋体" w:hAnsi="宋体" w:hint="eastAsia"/>
          <w:szCs w:val="32"/>
        </w:rPr>
        <w:pict>
          <v:group id="组合 185" o:spid="_x0000_s1025" style="width:394.4pt;height:518.7pt;margin-top:225.2pt;margin-left:2.05pt;mso-position-vertical-relative:page;position:absolute;z-index:251658240" coordorigin="0,0" coordsize="7845,10359">
            <o:lock v:ext="edit" aspectratio="f"/>
            <v:oval id="椭圆 186" o:spid="_x0000_s1026" style="width:1995;height:915;left:1680;position:absolute;top:219" filled="f" stroked="t" strokeweight="3pt">
              <v:stroke linestyle="thinThin"/>
              <o:lock v:ext="edit" aspectratio="f"/>
              <v:textbox>
                <w:txbxContent>
                  <w:p w:rsidR="006E217E" w:rsidP="006E217E">
                    <w:pPr>
                      <w:jc w:val="center"/>
                      <w:rPr>
                        <w:rFonts w:hint="eastAsia"/>
                        <w:color w:val="000000"/>
                      </w:rPr>
                    </w:pPr>
                    <w:r>
                      <w:rPr>
                        <w:rFonts w:hint="eastAsia"/>
                        <w:color w:val="000000"/>
                        <w:spacing w:val="-8"/>
                        <w:sz w:val="28"/>
                      </w:rPr>
                      <w:t>准备阶段</w:t>
                    </w:r>
                  </w:p>
                </w:txbxContent>
              </v:textbox>
            </v:oval>
            <v:oval id="椭圆 187" o:spid="_x0000_s1027" style="width:1800;height:936;left:1707;position:absolute;top:8922" filled="f" stroked="t" strokeweight="3pt">
              <v:stroke linestyle="thinThin"/>
              <o:lock v:ext="edit" aspectratio="f"/>
              <v:textbox>
                <w:txbxContent>
                  <w:p w:rsidR="006E217E" w:rsidP="006E217E">
                    <w:pPr>
                      <w:jc w:val="center"/>
                      <w:rPr>
                        <w:rFonts w:hint="eastAsia"/>
                        <w:color w:val="000000"/>
                      </w:rPr>
                    </w:pPr>
                    <w:r>
                      <w:rPr>
                        <w:rFonts w:hint="eastAsia"/>
                        <w:color w:val="000000"/>
                        <w:spacing w:val="-8"/>
                        <w:sz w:val="28"/>
                      </w:rPr>
                      <w:t>结  论</w:t>
                    </w:r>
                  </w:p>
                </w:txbxContent>
              </v:textbox>
            </v:oval>
            <v:oval id="椭圆 188" o:spid="_x0000_s1028" style="width:1983;height:911;left:1662;position:absolute;top:3201" filled="f" stroked="t" strokeweight="3pt">
              <v:stroke linestyle="thinThin"/>
              <o:lock v:ext="edit" aspectratio="f"/>
              <v:textbox>
                <w:txbxContent>
                  <w:p w:rsidR="006E217E" w:rsidP="006E217E">
                    <w:pPr>
                      <w:jc w:val="center"/>
                      <w:rPr>
                        <w:rFonts w:hint="eastAsia"/>
                        <w:color w:val="000000"/>
                      </w:rPr>
                    </w:pPr>
                    <w:r>
                      <w:rPr>
                        <w:rFonts w:hint="eastAsia"/>
                        <w:color w:val="000000"/>
                        <w:spacing w:val="-8"/>
                        <w:sz w:val="28"/>
                      </w:rPr>
                      <w:t>平安评价</w:t>
                    </w:r>
                  </w:p>
                </w:txbxContent>
              </v:textbox>
            </v:oval>
            <v:rect id="矩形 189" o:spid="_x0000_s1029" style="width:2009;height:498;left:5836;position:absolute" filled="t" stroked="t" strokecolor="silver" strokeweight="3pt">
              <v:stroke linestyle="thinThin"/>
              <o:lock v:ext="edit" aspectratio="f"/>
              <v:textbox>
                <w:txbxContent>
                  <w:p w:rsidR="006E217E" w:rsidP="006E217E">
                    <w:pPr>
                      <w:jc w:val="center"/>
                      <w:rPr>
                        <w:rFonts w:hint="eastAsia"/>
                        <w:sz w:val="24"/>
                      </w:rPr>
                    </w:pPr>
                    <w:r>
                      <w:rPr>
                        <w:rFonts w:hint="eastAsia"/>
                        <w:sz w:val="24"/>
                      </w:rPr>
                      <w:t>确定评价范围</w:t>
                    </w:r>
                  </w:p>
                </w:txbxContent>
              </v:textbox>
            </v:rect>
            <v:rect id="矩形 190" o:spid="_x0000_s1030" style="width:2007;height:468;left:5838;position:absolute;top:834" filled="t" stroked="t" strokecolor="silver" strokeweight="3pt">
              <v:stroke linestyle="thinThin"/>
              <o:lock v:ext="edit" aspectratio="f"/>
              <v:textbox>
                <w:txbxContent>
                  <w:p w:rsidR="006E217E" w:rsidP="006E217E">
                    <w:pPr>
                      <w:jc w:val="center"/>
                      <w:rPr>
                        <w:rFonts w:hint="eastAsia"/>
                      </w:rPr>
                    </w:pPr>
                    <w:r>
                      <w:rPr>
                        <w:rFonts w:hint="eastAsia"/>
                        <w:spacing w:val="-10"/>
                        <w:sz w:val="24"/>
                      </w:rPr>
                      <w:t>收集、整理资</w:t>
                    </w:r>
                    <w:r>
                      <w:rPr>
                        <w:rFonts w:hint="eastAsia"/>
                        <w:sz w:val="24"/>
                      </w:rPr>
                      <w:t>料</w:t>
                    </w:r>
                  </w:p>
                </w:txbxContent>
              </v:textbox>
            </v:rect>
            <v:rect id="矩形 191" o:spid="_x0000_s1031" style="width:1953;height:468;left:5862;position:absolute;top:4920" filled="t" stroked="t" strokecolor="silver" strokeweight="3pt">
              <v:stroke linestyle="thinThin"/>
              <o:lock v:ext="edit" aspectratio="f"/>
              <v:textbox>
                <w:txbxContent>
                  <w:p w:rsidR="006E217E" w:rsidP="006E217E">
                    <w:pPr>
                      <w:jc w:val="center"/>
                      <w:rPr>
                        <w:rFonts w:hint="eastAsia"/>
                      </w:rPr>
                    </w:pPr>
                    <w:r>
                      <w:rPr>
                        <w:rFonts w:hint="eastAsia"/>
                        <w:spacing w:val="-10"/>
                        <w:sz w:val="24"/>
                      </w:rPr>
                      <w:t>定性、定量评</w:t>
                    </w:r>
                    <w:r>
                      <w:rPr>
                        <w:rFonts w:hint="eastAsia"/>
                        <w:spacing w:val="-8"/>
                        <w:sz w:val="24"/>
                      </w:rPr>
                      <w:t>价</w:t>
                    </w:r>
                  </w:p>
                </w:txbxContent>
              </v:textbox>
            </v:rect>
            <v:rect id="矩形 192" o:spid="_x0000_s1032" style="width:1968;height:468;left:5847;position:absolute;top:4155"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选择评价方法</w:t>
                    </w:r>
                  </w:p>
                </w:txbxContent>
              </v:textbox>
            </v:rect>
            <v:rect id="矩形 193" o:spid="_x0000_s1033" style="width:1968;height:468;left:5847;position:absolute;top:3390"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划分评价单元</w:t>
                    </w:r>
                  </w:p>
                </w:txbxContent>
              </v:textbox>
            </v:rect>
            <v:rect id="矩形 194" o:spid="_x0000_s1034" style="width:1968;height:468;left:5847;position:absolute;top:1857" filled="t" stroked="t" strokecolor="silver" strokeweight="3pt">
              <v:stroke linestyle="thinThin"/>
              <o:lock v:ext="edit" aspectratio="f"/>
              <v:textbox>
                <w:txbxContent>
                  <w:p w:rsidR="006E217E" w:rsidP="006E217E">
                    <w:pPr>
                      <w:jc w:val="center"/>
                      <w:rPr>
                        <w:rFonts w:hint="eastAsia"/>
                        <w:spacing w:val="-8"/>
                        <w:sz w:val="24"/>
                      </w:rPr>
                    </w:pPr>
                    <w:r>
                      <w:rPr>
                        <w:rFonts w:hint="eastAsia"/>
                        <w:spacing w:val="-8"/>
                        <w:sz w:val="24"/>
                      </w:rPr>
                      <w:t>成立评价小组</w:t>
                    </w:r>
                  </w:p>
                </w:txbxContent>
              </v:textbox>
            </v:rect>
            <v:rect id="矩形 195" o:spid="_x0000_s1035" style="width:1953;height:468;left:5832;position:absolute;top:9891"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出具评价报告</w:t>
                    </w:r>
                  </w:p>
                </w:txbxContent>
              </v:textbox>
            </v:rect>
            <v:rect id="矩形 196" o:spid="_x0000_s1036" style="width:1953;height:468;left:5862;position:absolute;top:9102"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编制评价报告</w:t>
                    </w:r>
                  </w:p>
                </w:txbxContent>
              </v:textbox>
            </v:rect>
            <v:rect id="矩形 197" o:spid="_x0000_s1037" style="width:1965;height:468;left:5850;position:absolute;top:8325"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总结评价结果</w:t>
                    </w:r>
                  </w:p>
                </w:txbxContent>
              </v:textbox>
            </v:rect>
            <v:oval id="椭圆 198" o:spid="_x0000_s1038" style="width:1983;height:936;left:1677;position:absolute;top:6363" filled="f" stroked="t" strokeweight="3pt">
              <v:stroke linestyle="thinThin"/>
              <o:lock v:ext="edit" aspectratio="f"/>
              <v:textbox>
                <w:txbxContent>
                  <w:p w:rsidR="006E217E" w:rsidP="006E217E">
                    <w:pPr>
                      <w:jc w:val="center"/>
                      <w:rPr>
                        <w:rFonts w:hint="eastAsia"/>
                        <w:color w:val="000000"/>
                        <w:spacing w:val="-8"/>
                        <w:sz w:val="28"/>
                      </w:rPr>
                    </w:pPr>
                    <w:r>
                      <w:rPr>
                        <w:rFonts w:hint="eastAsia"/>
                        <w:color w:val="000000"/>
                        <w:spacing w:val="-8"/>
                        <w:sz w:val="28"/>
                      </w:rPr>
                      <w:t>风险控制</w:t>
                    </w:r>
                  </w:p>
                </w:txbxContent>
              </v:textbox>
            </v:oval>
            <v:rect id="矩形 199" o:spid="_x0000_s1039" style="width:1965;height:468;left:5850;position:absolute;top:7404"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降低风险建议</w:t>
                    </w:r>
                  </w:p>
                </w:txbxContent>
              </v:textbox>
            </v:rect>
            <v:line id="直线 200" o:spid="_x0000_s1040" style="position:absolute" from="6825,516" to="6825,828" stroked="t">
              <v:stroke endarrow="classic"/>
              <o:lock v:ext="edit" aspectratio="f"/>
            </v:line>
            <v:line id="直线 201" o:spid="_x0000_s1041" style="position:absolute" from="6825,3084" to="6825,3396" stroked="t">
              <v:stroke endarrow="classic"/>
              <o:lock v:ext="edit" aspectratio="f"/>
            </v:line>
            <v:line id="直线 202" o:spid="_x0000_s1042" style="position:absolute" from="6825,3873" to="6825,4185" stroked="t">
              <v:stroke endarrow="classic"/>
              <o:lock v:ext="edit" aspectratio="f"/>
            </v:line>
            <v:line id="直线 203" o:spid="_x0000_s1043" style="position:absolute" from="6825,8790" to="6825,9102" stroked="t">
              <v:stroke endarrow="classic"/>
              <o:lock v:ext="edit" aspectratio="f"/>
            </v:line>
            <v:line id="直线 204" o:spid="_x0000_s1044" style="position:absolute" from="6825,9561" to="6825,9873" stroked="t">
              <v:stroke endarrow="classic"/>
              <o:lock v:ext="edit" aspectratio="f"/>
            </v:line>
            <v:line id="直线 205" o:spid="_x0000_s1045" style="position:absolute" from="6825,4608" to="6825,4920" stroked="t">
              <v:stroke endarrow="classic"/>
              <o:lock v:ext="edit" aspectratio="f"/>
            </v:line>
            <v:rect id="矩形 206" o:spid="_x0000_s1046" style="width:1968;height:468;left:5847;position:absolute;top:2612" filled="t" stroked="t" strokecolor="silver" strokeweight="3pt">
              <v:stroke linestyle="thinThin"/>
              <o:lock v:ext="edit" aspectratio="f"/>
              <v:textbox>
                <w:txbxContent>
                  <w:p w:rsidR="006E217E" w:rsidP="006E217E">
                    <w:pPr>
                      <w:jc w:val="center"/>
                      <w:rPr>
                        <w:rFonts w:hint="eastAsia"/>
                      </w:rPr>
                    </w:pPr>
                    <w:r>
                      <w:rPr>
                        <w:rFonts w:hint="eastAsia"/>
                        <w:spacing w:val="-8"/>
                        <w:sz w:val="24"/>
                      </w:rPr>
                      <w:t>辨识分析危险因素</w:t>
                    </w:r>
                  </w:p>
                </w:txbxContent>
              </v:textbox>
            </v:rect>
            <v:line id="直线 207" o:spid="_x0000_s1047" style="position:absolute" from="6825,2303" to="6825,2615" stroked="t">
              <v:stroke endarrow="block"/>
              <o:lock v:ext="edit" aspectratio="f"/>
            </v:line>
            <v:line id="直线 208" o:spid="_x0000_s1048" style="position:absolute" from="4740,291" to="4740,1071" stroked="t">
              <o:lock v:ext="edit" aspectratio="f"/>
            </v:line>
            <v:line id="直线 209" o:spid="_x0000_s1049" style="position:absolute" from="6825,1275" to="6825,1899" stroked="t">
              <v:stroke endarrow="classic"/>
              <o:lock v:ext="edit" aspectratio="f"/>
            </v:line>
            <v:rect id="矩形 210" o:spid="_x0000_s1050" style="width:1980;height:468;left:5835;position:absolute;top:6618" filled="t" stroked="t" strokecolor="silver" strokeweight="3pt">
              <v:stroke linestyle="thinThin"/>
              <o:lock v:ext="edit" aspectratio="f"/>
              <v:textbox>
                <w:txbxContent>
                  <w:p w:rsidR="006E217E" w:rsidP="006E217E">
                    <w:pPr>
                      <w:jc w:val="center"/>
                      <w:rPr>
                        <w:rFonts w:hint="eastAsia"/>
                      </w:rPr>
                    </w:pPr>
                    <w:r>
                      <w:rPr>
                        <w:rFonts w:hint="eastAsia"/>
                        <w:spacing w:val="-20"/>
                        <w:sz w:val="24"/>
                      </w:rPr>
                      <w:t>与相关方交换意</w:t>
                    </w:r>
                    <w:r>
                      <w:rPr>
                        <w:rFonts w:hint="eastAsia"/>
                        <w:spacing w:val="-10"/>
                        <w:sz w:val="24"/>
                      </w:rPr>
                      <w:t>见</w:t>
                    </w:r>
                  </w:p>
                  <w:p w:rsidR="006E217E" w:rsidP="006E217E">
                    <w:pPr>
                      <w:rPr>
                        <w:rFonts w:hint="eastAsia"/>
                      </w:rPr>
                    </w:pPr>
                  </w:p>
                </w:txbxContent>
              </v:textbox>
            </v:rect>
            <v:line id="直线 211" o:spid="_x0000_s1051" style="position:absolute" from="2655,1089" to="2655,3273" stroked="t" strokeweight="1pt">
              <v:stroke endarrow="block"/>
              <o:lock v:ext="edit" aspectratio="f"/>
            </v:line>
            <v:line id="直线 212" o:spid="_x0000_s1052" style="position:absolute" from="1155,9291" to="1695,9291" stroked="t">
              <o:lock v:ext="edit" aspectratio="f"/>
            </v:line>
            <v:line id="直线 213" o:spid="_x0000_s1053" style="position:absolute" from="1155,3645" to="1695,3645" stroked="t">
              <o:lock v:ext="edit" aspectratio="f"/>
            </v:line>
            <v:line id="直线 214" o:spid="_x0000_s1054" style="position:absolute" from="1155,6831" to="1695,6831" stroked="t">
              <o:lock v:ext="edit" aspectratio="f"/>
            </v:line>
            <v:rect id="矩形 215" o:spid="_x0000_s1055" style="width:630;height:3588;position:absolute;top:3339" filled="f" stroked="t" strokeweight="3pt">
              <v:stroke linestyle="thinThin"/>
              <o:lock v:ext="edit" aspectratio="f"/>
              <v:textbox>
                <w:txbxContent>
                  <w:p w:rsidR="006E217E" w:rsidP="006E217E">
                    <w:pPr>
                      <w:pStyle w:val="TOAHeading"/>
                      <w:spacing w:before="0" w:line="360" w:lineRule="auto"/>
                      <w:rPr>
                        <w:rFonts w:ascii="Times New Roman" w:hAnsi="Times New Roman" w:hint="eastAsia"/>
                        <w:spacing w:val="40"/>
                      </w:rPr>
                    </w:pPr>
                    <w:r>
                      <w:rPr>
                        <w:rFonts w:ascii="Times New Roman" w:hAnsi="Times New Roman" w:hint="eastAsia"/>
                        <w:spacing w:val="40"/>
                      </w:rPr>
                      <w:t>安</w:t>
                    </w:r>
                  </w:p>
                  <w:p w:rsidR="006E217E" w:rsidP="006E217E">
                    <w:pPr>
                      <w:spacing w:line="360" w:lineRule="auto"/>
                      <w:rPr>
                        <w:rFonts w:hint="eastAsia"/>
                        <w:spacing w:val="40"/>
                        <w:sz w:val="24"/>
                      </w:rPr>
                    </w:pPr>
                    <w:r>
                      <w:rPr>
                        <w:rFonts w:hint="eastAsia"/>
                        <w:spacing w:val="40"/>
                        <w:sz w:val="24"/>
                      </w:rPr>
                      <w:t>全</w:t>
                    </w:r>
                  </w:p>
                  <w:p w:rsidR="006E217E" w:rsidP="006E217E">
                    <w:pPr>
                      <w:spacing w:line="360" w:lineRule="auto"/>
                      <w:rPr>
                        <w:rFonts w:hint="eastAsia"/>
                        <w:spacing w:val="40"/>
                        <w:sz w:val="24"/>
                      </w:rPr>
                    </w:pPr>
                    <w:r>
                      <w:rPr>
                        <w:rFonts w:hint="eastAsia"/>
                        <w:spacing w:val="40"/>
                        <w:sz w:val="24"/>
                      </w:rPr>
                      <w:t>预</w:t>
                    </w:r>
                  </w:p>
                  <w:p w:rsidR="006E217E" w:rsidP="006E217E">
                    <w:pPr>
                      <w:spacing w:line="360" w:lineRule="auto"/>
                      <w:rPr>
                        <w:rFonts w:hint="eastAsia"/>
                        <w:spacing w:val="40"/>
                        <w:sz w:val="24"/>
                      </w:rPr>
                    </w:pPr>
                    <w:r>
                      <w:rPr>
                        <w:rFonts w:hint="eastAsia"/>
                        <w:spacing w:val="40"/>
                        <w:sz w:val="24"/>
                      </w:rPr>
                      <w:t>评</w:t>
                    </w:r>
                  </w:p>
                  <w:p w:rsidR="006E217E" w:rsidP="006E217E">
                    <w:pPr>
                      <w:spacing w:line="360" w:lineRule="auto"/>
                      <w:rPr>
                        <w:rFonts w:hint="eastAsia"/>
                        <w:spacing w:val="40"/>
                        <w:sz w:val="24"/>
                      </w:rPr>
                    </w:pPr>
                    <w:r>
                      <w:rPr>
                        <w:rFonts w:hint="eastAsia"/>
                        <w:spacing w:val="40"/>
                        <w:sz w:val="24"/>
                      </w:rPr>
                      <w:t>价</w:t>
                    </w:r>
                  </w:p>
                  <w:p w:rsidR="006E217E" w:rsidP="006E217E">
                    <w:pPr>
                      <w:spacing w:line="360" w:lineRule="auto"/>
                      <w:rPr>
                        <w:rFonts w:hint="eastAsia"/>
                        <w:spacing w:val="40"/>
                        <w:sz w:val="24"/>
                      </w:rPr>
                    </w:pPr>
                    <w:r>
                      <w:rPr>
                        <w:rFonts w:hint="eastAsia"/>
                        <w:spacing w:val="40"/>
                        <w:sz w:val="24"/>
                      </w:rPr>
                      <w:t>程</w:t>
                    </w:r>
                  </w:p>
                  <w:p w:rsidR="006E217E" w:rsidP="006E217E">
                    <w:pPr>
                      <w:spacing w:line="360" w:lineRule="auto"/>
                      <w:rPr>
                        <w:rFonts w:hint="eastAsia"/>
                        <w:spacing w:val="40"/>
                        <w:sz w:val="24"/>
                      </w:rPr>
                    </w:pPr>
                    <w:r>
                      <w:rPr>
                        <w:rFonts w:hint="eastAsia"/>
                        <w:spacing w:val="40"/>
                        <w:sz w:val="24"/>
                      </w:rPr>
                      <w:t>序</w:t>
                    </w:r>
                  </w:p>
                </w:txbxContent>
              </v:textbox>
            </v:rect>
            <v:rect id="矩形 216" o:spid="_x0000_s1056" style="width:1985;height:468;left:5830;position:absolute;top:5836" filled="t" stroked="t" strokecolor="silver" strokeweight="3pt">
              <v:stroke linestyle="thinThin"/>
              <o:lock v:ext="edit" aspectratio="f"/>
              <v:textbox>
                <w:txbxContent>
                  <w:p w:rsidR="006E217E" w:rsidP="006E217E">
                    <w:pPr>
                      <w:jc w:val="center"/>
                      <w:rPr>
                        <w:rFonts w:hint="eastAsia"/>
                        <w:sz w:val="24"/>
                      </w:rPr>
                    </w:pPr>
                    <w:r>
                      <w:rPr>
                        <w:rFonts w:hint="eastAsia"/>
                        <w:sz w:val="24"/>
                      </w:rPr>
                      <w:t>评价风险程度</w:t>
                    </w:r>
                  </w:p>
                </w:txbxContent>
              </v:textbox>
            </v:rect>
            <v:line id="直线 217" o:spid="_x0000_s1057" style="position:absolute" from="6825,7083" to="6825,7395" stroked="t">
              <v:stroke endarrow="classic"/>
              <o:lock v:ext="edit" aspectratio="f"/>
            </v:line>
            <v:line id="直线 218" o:spid="_x0000_s1058" style="position:absolute" from="6825,6312" to="6825,6624" stroked="t">
              <v:stroke endarrow="classic"/>
              <o:lock v:ext="edit" aspectratio="f"/>
            </v:line>
            <v:line id="直线 219" o:spid="_x0000_s1059" style="position:absolute" from="6825,5385" to="6825,5853" stroked="t">
              <v:stroke endarrow="classic"/>
              <o:lock v:ext="edit" aspectratio="f"/>
            </v:line>
            <v:line id="直线 220" o:spid="_x0000_s1060" style="position:absolute" from="4740,6015" to="4740,7575" stroked="t">
              <o:lock v:ext="edit" aspectratio="f"/>
            </v:line>
            <v:line id="直线 221" o:spid="_x0000_s1061" style="position:absolute" from="6825,7860" to="6825,8328" stroked="t">
              <v:stroke endarrow="classic"/>
              <o:lock v:ext="edit" aspectratio="f"/>
            </v:line>
            <v:line id="直线 222" o:spid="_x0000_s1062" style="position:absolute" from="1155,675" to="1155,9291" stroked="t">
              <o:lock v:ext="edit" aspectratio="f"/>
            </v:line>
            <v:line id="直线 223" o:spid="_x0000_s1063" style="position:absolute" from="2655,7275" to="2655,8991" stroked="t">
              <v:stroke endarrow="block"/>
              <o:lock v:ext="edit" aspectratio="f"/>
            </v:line>
            <v:line id="直线 224" o:spid="_x0000_s1064" style="position:absolute" from="615,5163" to="1155,5163" stroked="t">
              <o:lock v:ext="edit" aspectratio="f"/>
            </v:line>
            <v:line id="直线 225" o:spid="_x0000_s1065" style="position:absolute" from="4740,282" to="5820,282" stroked="t">
              <o:lock v:ext="edit" aspectratio="f"/>
            </v:line>
            <v:line id="直线 226" o:spid="_x0000_s1066" style="position:absolute" from="4725,1038" to="5805,1038" stroked="t">
              <o:lock v:ext="edit" aspectratio="f"/>
            </v:line>
            <v:line id="直线 227" o:spid="_x0000_s1067" style="position:absolute" from="4740,1959" to="5820,1959" stroked="t">
              <o:lock v:ext="edit" aspectratio="f"/>
            </v:line>
            <v:line id="直线 228" o:spid="_x0000_s1068" style="position:absolute" from="4740,2835" to="5820,2835" stroked="t">
              <o:lock v:ext="edit" aspectratio="f"/>
            </v:line>
            <v:line id="直线 229" o:spid="_x0000_s1069" style="position:absolute" from="4740,3675" to="5820,3675" stroked="t">
              <o:lock v:ext="edit" aspectratio="f"/>
            </v:line>
            <v:line id="直线 230" o:spid="_x0000_s1070" style="position:absolute" from="4740,4299" to="5820,4299" stroked="t">
              <o:lock v:ext="edit" aspectratio="f"/>
            </v:line>
            <v:line id="直线 231" o:spid="_x0000_s1071" style="position:absolute" from="4755,5235" to="5835,5235" stroked="t">
              <o:lock v:ext="edit" aspectratio="f"/>
            </v:line>
            <v:line id="直线 232" o:spid="_x0000_s1072" style="position:absolute" from="4740,5991" to="5820,5991" stroked="t">
              <o:lock v:ext="edit" aspectratio="f"/>
            </v:line>
            <v:line id="直线 233" o:spid="_x0000_s1073" style="position:absolute" from="4740,9291" to="5820,9291" stroked="t">
              <o:lock v:ext="edit" aspectratio="f"/>
            </v:line>
            <v:line id="直线 234" o:spid="_x0000_s1074" style="position:absolute" from="4740,8511" to="5820,8511" stroked="t">
              <o:lock v:ext="edit" aspectratio="f"/>
            </v:line>
            <v:line id="直线 235" o:spid="_x0000_s1075" style="position:absolute" from="4740,7575" to="5820,7575" stroked="t">
              <o:lock v:ext="edit" aspectratio="f"/>
            </v:line>
            <v:line id="直线 236" o:spid="_x0000_s1076" style="position:absolute" from="4740,10071" to="5820,10071" stroked="t">
              <o:lock v:ext="edit" aspectratio="f"/>
            </v:line>
            <v:line id="直线 237" o:spid="_x0000_s1077" style="position:absolute" from="3660,3630" to="4740,3630" stroked="t">
              <o:lock v:ext="edit" aspectratio="f"/>
            </v:line>
            <v:line id="直线 238" o:spid="_x0000_s1078" style="position:absolute" from="3660,6831" to="4740,6831" stroked="t">
              <o:lock v:ext="edit" aspectratio="f"/>
            </v:line>
            <v:line id="直线 239" o:spid="_x0000_s1079" style="position:absolute" from="4740,6795" to="5820,6795" stroked="t">
              <o:lock v:ext="edit" aspectratio="f"/>
            </v:line>
            <v:line id="直线 240" o:spid="_x0000_s1080" style="position:absolute" from="3630,675" to="4710,675" stroked="t">
              <o:lock v:ext="edit" aspectratio="f"/>
            </v:line>
            <v:line id="直线 241" o:spid="_x0000_s1081" style="position:absolute" from="1155,660" to="1695,660" stroked="t">
              <o:lock v:ext="edit" aspectratio="f"/>
            </v:line>
            <v:line id="直线 242" o:spid="_x0000_s1082" style="position:absolute" from="4725,8511" to="4725,10071" stroked="t">
              <o:lock v:ext="edit" aspectratio="f"/>
            </v:line>
            <v:line id="直线 243" o:spid="_x0000_s1083" style="position:absolute" from="2625,4143" to="2625,6327" stroked="t">
              <v:stroke endarrow="block"/>
              <o:lock v:ext="edit" aspectratio="f"/>
            </v:line>
            <v:line id="直线 244" o:spid="_x0000_s1084" style="position:absolute" from="4725,1959" to="4725,5235" stroked="t">
              <o:lock v:ext="edit" aspectratio="f"/>
            </v:line>
            <v:line id="直线 245" o:spid="_x0000_s1085" style="position:absolute" from="3465,9291" to="4830,9291" stroked="t">
              <o:lock v:ext="edit" aspectratio="f"/>
            </v:line>
            <w10:wrap type="square"/>
          </v:group>
        </w:pict>
      </w:r>
      <w:r>
        <w:rPr>
          <w:rFonts w:ascii="宋体" w:hAnsi="宋体" w:hint="eastAsia"/>
          <w:szCs w:val="32"/>
        </w:rPr>
        <w:t>图</w:t>
      </w:r>
      <w:r>
        <w:rPr>
          <w:rFonts w:hAnsi="宋体" w:hint="eastAsia"/>
          <w:sz w:val="24"/>
        </w:rPr>
        <w:t>1-1平安评价程序图</w:t>
      </w:r>
    </w:p>
    <w:p w:rsidR="006E217E" w:rsidP="006E217E">
      <w:pPr>
        <w:pStyle w:val="Heading1"/>
        <w:jc w:val="center"/>
        <w:rPr>
          <w:rStyle w:val="Hyperlink"/>
          <w:rFonts w:ascii="黑体" w:eastAsia="黑体" w:hAnsi="黑体" w:cs="黑体" w:hint="eastAsia"/>
          <w:color w:val="000000"/>
          <w:sz w:val="32"/>
          <w:szCs w:val="32"/>
        </w:rPr>
      </w:pPr>
      <w:bookmarkStart w:id="8" w:name="_Toc18040"/>
      <w:r>
        <w:rPr>
          <w:rFonts w:ascii="黑体" w:eastAsia="黑体" w:hAnsi="黑体" w:cs="黑体" w:hint="eastAsia"/>
          <w:sz w:val="32"/>
          <w:szCs w:val="32"/>
        </w:rPr>
        <w:t>2 XX小区建筑工程施工概况</w:t>
      </w:r>
      <w:bookmarkEnd w:id="8"/>
    </w:p>
    <w:p w:rsidR="006E217E" w:rsidP="006E217E">
      <w:pPr>
        <w:rPr>
          <w:rFonts w:ascii="宋体" w:hAnsi="宋体" w:cs="宋体" w:hint="eastAsia"/>
          <w:sz w:val="24"/>
        </w:rPr>
      </w:pPr>
      <w:r>
        <w:rPr>
          <w:rFonts w:ascii="宋体" w:hAnsi="宋体" w:cs="宋体" w:hint="eastAsia"/>
          <w:sz w:val="24"/>
        </w:rPr>
        <w:t>本工程位于XX，建筑面积2730平方米，共六层，局部七层，该建筑物较为美观、复杂，由XX建设公司设计室设计，XX公司三处负责施工，于</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月开工，</w:t>
      </w:r>
      <w:r>
        <w:rPr>
          <w:rFonts w:ascii="宋体" w:hAnsi="宋体" w:cs="宋体" w:hint="eastAsia"/>
          <w:sz w:val="24"/>
        </w:rPr>
        <w:t>××</w:t>
      </w:r>
      <w:r>
        <w:rPr>
          <w:rFonts w:ascii="宋体" w:hAnsi="宋体" w:cs="宋体" w:hint="eastAsia"/>
          <w:sz w:val="24"/>
        </w:rPr>
        <w:t>年</w:t>
      </w:r>
      <w:r>
        <w:rPr>
          <w:rFonts w:ascii="宋体" w:hAnsi="宋体" w:cs="宋体" w:hint="eastAsia"/>
          <w:sz w:val="24"/>
        </w:rPr>
        <w:t>×</w:t>
      </w:r>
      <w:r>
        <w:rPr>
          <w:rFonts w:ascii="宋体" w:hAnsi="宋体" w:cs="宋体" w:hint="eastAsia"/>
          <w:sz w:val="24"/>
        </w:rPr>
        <w:t>月竣工，造价为115万元。</w:t>
      </w:r>
    </w:p>
    <w:p w:rsidR="006E217E" w:rsidP="006E217E">
      <w:pPr>
        <w:rPr>
          <w:rFonts w:ascii="宋体" w:hAnsi="宋体" w:cs="宋体" w:hint="eastAsia"/>
          <w:sz w:val="24"/>
        </w:rPr>
      </w:pPr>
      <w:r>
        <w:rPr>
          <w:rFonts w:ascii="宋体" w:hAnsi="宋体" w:cs="宋体" w:hint="eastAsia"/>
          <w:sz w:val="24"/>
        </w:rPr>
        <w:t xml:space="preserve">    该工程为现浇钢筋砼框架结构，灌注桩根底，按8度抗震设防，</w:t>
      </w:r>
      <w:r>
        <w:rPr>
          <w:rFonts w:ascii="宋体" w:hAnsi="宋体" w:cs="宋体" w:hint="eastAsia"/>
          <w:sz w:val="24"/>
        </w:rPr>
        <w:t>±</w:t>
      </w:r>
      <w:r>
        <w:rPr>
          <w:rFonts w:ascii="宋体" w:hAnsi="宋体" w:cs="宋体" w:hint="eastAsia"/>
          <w:sz w:val="24"/>
        </w:rPr>
        <w:t>0.00m相当于绝对标高35.35m，总檐高22.7m，局部26.4m，总长36m，跨度10m，局部16m，内设两座楼梯及卫生间、内走道、门厅装璜，外墙为玻璃马赛克，内墙及天棚为混合砂浆、</w:t>
      </w:r>
      <w:r>
        <w:rPr>
          <w:rFonts w:ascii="宋体" w:hAnsi="宋体" w:cs="宋体" w:hint="eastAsia"/>
          <w:sz w:val="24"/>
        </w:rPr>
        <w:t>“</w:t>
      </w:r>
      <w:r>
        <w:rPr>
          <w:rFonts w:ascii="宋体" w:hAnsi="宋体" w:cs="宋体" w:hint="eastAsia"/>
          <w:sz w:val="24"/>
        </w:rPr>
        <w:t>106〞涂料，进门檐下，门厅，会议室的地面采用地面砖装饰，其余楼地面为水磨石，门厅局部及室内局部为铝合金门窗，其它为钢窗，屋面空心板上铺钢筋网、细石砼、水泥砂浆找平夺光，做二毡二油防水层，所有实验室、教室均在西面墙上做一黑板及讲台，会议室及大电化教室都配有活动黑板。</w:t>
      </w:r>
    </w:p>
    <w:p w:rsidR="006E217E" w:rsidP="006E217E">
      <w:pPr>
        <w:pStyle w:val="Heading1"/>
        <w:spacing w:line="300" w:lineRule="auto"/>
        <w:jc w:val="center"/>
        <w:rPr>
          <w:rFonts w:ascii="黑体" w:eastAsia="黑体" w:hAnsi="黑体" w:cs="黑体" w:hint="eastAsia"/>
          <w:sz w:val="30"/>
          <w:szCs w:val="30"/>
        </w:rPr>
      </w:pPr>
      <w:bookmarkStart w:id="9" w:name="_Toc19779"/>
      <w:r>
        <w:rPr>
          <w:rFonts w:ascii="黑体" w:eastAsia="黑体" w:hAnsi="黑体" w:cs="黑体" w:hint="eastAsia"/>
          <w:sz w:val="30"/>
          <w:szCs w:val="30"/>
        </w:rPr>
        <w:t>3建设工地重大危险源主要类型</w:t>
      </w:r>
      <w:bookmarkEnd w:id="9"/>
    </w:p>
    <w:p w:rsidR="006E217E" w:rsidP="006E217E">
      <w:pPr>
        <w:spacing w:line="300" w:lineRule="auto"/>
        <w:ind w:firstLine="480" w:firstLineChars="200"/>
        <w:rPr>
          <w:rFonts w:ascii="宋体" w:hAnsi="宋体"/>
          <w:sz w:val="24"/>
        </w:rPr>
      </w:pPr>
      <w:r>
        <w:rPr>
          <w:rFonts w:ascii="宋体" w:hAnsi="宋体"/>
          <w:sz w:val="24"/>
        </w:rPr>
        <w:t>施工生活用危险化学品及压力容器是第一类危险源，人的不平安行为、料</w:t>
      </w:r>
      <w:r>
        <w:rPr>
          <w:rFonts w:ascii="宋体" w:hAnsi="宋体" w:hint="eastAsia"/>
          <w:sz w:val="24"/>
        </w:rPr>
        <w:t>、</w:t>
      </w:r>
      <w:r>
        <w:rPr>
          <w:rFonts w:ascii="宋体" w:hAnsi="宋体"/>
          <w:sz w:val="24"/>
        </w:rPr>
        <w:t>机工艺的不平安状态和不良环境条件为第二类危险源。建筑工地绝大局部危险和有害因数属第二类危险源。</w:t>
      </w:r>
    </w:p>
    <w:p w:rsidR="006E217E" w:rsidP="006E217E">
      <w:pPr>
        <w:spacing w:line="300" w:lineRule="auto"/>
        <w:rPr>
          <w:rFonts w:ascii="宋体" w:hAnsi="宋体" w:hint="eastAsia"/>
          <w:sz w:val="24"/>
        </w:rPr>
      </w:pPr>
      <w:r>
        <w:rPr>
          <w:rFonts w:ascii="宋体" w:hAnsi="宋体"/>
          <w:sz w:val="24"/>
        </w:rPr>
        <w:t>建筑工地重大危险源按场所的不同初步可分为：施工现场重大危险源与临建设施重大危险源两类。对危险和有害因数的辨识应从人、料、机、工艺、</w:t>
      </w:r>
      <w:r>
        <w:rPr>
          <w:rFonts w:ascii="宋体" w:hAnsi="宋体" w:hint="eastAsia"/>
          <w:sz w:val="24"/>
        </w:rPr>
        <w:t>管理</w:t>
      </w:r>
      <w:r>
        <w:rPr>
          <w:rFonts w:ascii="宋体" w:hAnsi="宋体"/>
          <w:sz w:val="24"/>
        </w:rPr>
        <w:t>、</w:t>
      </w:r>
    </w:p>
    <w:p w:rsidR="006E217E" w:rsidP="006E217E">
      <w:pPr>
        <w:spacing w:line="300" w:lineRule="auto"/>
        <w:rPr>
          <w:rFonts w:ascii="宋体" w:hAnsi="宋体"/>
          <w:sz w:val="24"/>
        </w:rPr>
      </w:pPr>
      <w:r>
        <w:rPr>
          <w:rFonts w:ascii="宋体" w:hAnsi="宋体"/>
          <w:sz w:val="24"/>
        </w:rPr>
        <w:t>环境等角度入手，动态分析识别评价可能存在的危险有害因数的种类和危险程度，从而找到整改措施来加以治理</w:t>
      </w:r>
      <w:r>
        <w:rPr>
          <w:rFonts w:ascii="宋体" w:hAnsi="宋体" w:hint="eastAsia"/>
          <w:sz w:val="24"/>
          <w:vertAlign w:val="superscript"/>
        </w:rPr>
        <w:t>[1]</w:t>
      </w:r>
      <w:r>
        <w:rPr>
          <w:rFonts w:ascii="宋体" w:hAnsi="宋体" w:hint="eastAsia"/>
          <w:sz w:val="24"/>
        </w:rPr>
        <w:t>。</w:t>
      </w:r>
    </w:p>
    <w:p w:rsidR="006E217E" w:rsidP="006E217E">
      <w:pPr>
        <w:pStyle w:val="Heading2"/>
        <w:spacing w:line="300" w:lineRule="auto"/>
        <w:rPr>
          <w:rFonts w:ascii="黑体" w:hAnsi="黑体" w:cs="黑体" w:hint="eastAsia"/>
          <w:sz w:val="28"/>
          <w:szCs w:val="28"/>
        </w:rPr>
      </w:pPr>
      <w:bookmarkStart w:id="10" w:name="_Toc26211"/>
      <w:r>
        <w:rPr>
          <w:rFonts w:ascii="黑体" w:hAnsi="黑体" w:cs="黑体" w:hint="eastAsia"/>
          <w:sz w:val="28"/>
          <w:szCs w:val="28"/>
        </w:rPr>
        <w:t>施工现场重大危险源</w:t>
      </w:r>
      <w:bookmarkEnd w:id="10"/>
    </w:p>
    <w:p w:rsidR="006E217E" w:rsidP="006E217E">
      <w:pPr>
        <w:pStyle w:val="Heading3"/>
        <w:spacing w:line="300" w:lineRule="auto"/>
        <w:rPr>
          <w:rFonts w:hint="eastAsia"/>
          <w:shd w:val="clear" w:color="auto" w:fill="FFFFFF"/>
        </w:rPr>
      </w:pPr>
      <w:bookmarkStart w:id="11" w:name="_Toc9531"/>
      <w:r>
        <w:rPr>
          <w:rFonts w:ascii="黑体" w:eastAsia="黑体" w:hAnsi="黑体" w:cs="黑体" w:hint="eastAsia"/>
          <w:sz w:val="24"/>
        </w:rPr>
        <w:t xml:space="preserve">3.2.1 </w:t>
      </w:r>
      <w:r>
        <w:rPr>
          <w:rFonts w:ascii="黑体" w:eastAsia="黑体" w:hAnsi="黑体" w:cs="黑体" w:hint="eastAsia"/>
          <w:sz w:val="24"/>
          <w:shd w:val="clear" w:color="auto" w:fill="FFFFFF"/>
        </w:rPr>
        <w:t>引发重大危险源的因素</w:t>
      </w:r>
      <w:bookmarkEnd w:id="11"/>
    </w:p>
    <w:p w:rsidR="006E217E" w:rsidP="006E217E">
      <w:pPr>
        <w:spacing w:line="300" w:lineRule="auto"/>
        <w:ind w:firstLine="480" w:firstLineChars="200"/>
        <w:rPr>
          <w:rFonts w:ascii="宋体" w:hAnsi="宋体" w:hint="eastAsia"/>
          <w:sz w:val="24"/>
        </w:rPr>
      </w:pPr>
      <w:r>
        <w:rPr>
          <w:rFonts w:ascii="宋体" w:hAnsi="宋体"/>
          <w:sz w:val="24"/>
        </w:rPr>
        <w:t>存在于人的重大危险源主要是人的不平安行为即“三违〞：违章指挥、违章作业、违反劳动纪律，主要集中表现在那些施工现场经验不丰富、素质较低的人员当中。事故原因统计分析说明70%以上事故是由“三违〞造成的，因此应严禁“三违〞。</w:t>
      </w:r>
    </w:p>
    <w:p w:rsidR="006E217E" w:rsidP="006E217E">
      <w:pPr>
        <w:pStyle w:val="Heading3"/>
        <w:spacing w:line="300" w:lineRule="auto"/>
        <w:rPr>
          <w:rFonts w:hint="eastAsia"/>
          <w:shd w:val="clear" w:color="auto" w:fill="FFFFFF"/>
        </w:rPr>
      </w:pPr>
      <w:bookmarkStart w:id="12" w:name="_Toc2382"/>
      <w:r>
        <w:rPr>
          <w:rFonts w:ascii="黑体" w:eastAsia="黑体" w:hAnsi="黑体" w:cs="黑体" w:hint="eastAsia"/>
          <w:sz w:val="24"/>
        </w:rPr>
        <w:t xml:space="preserve">3.2.2 </w:t>
      </w:r>
      <w:r>
        <w:rPr>
          <w:rFonts w:ascii="黑体" w:eastAsia="黑体" w:hAnsi="黑体" w:cs="黑体" w:hint="eastAsia"/>
          <w:sz w:val="24"/>
          <w:shd w:val="clear" w:color="auto" w:fill="FFFFFF"/>
        </w:rPr>
        <w:t>重大危险源分布</w:t>
      </w:r>
      <w:bookmarkEnd w:id="12"/>
    </w:p>
    <w:p w:rsidR="006E217E" w:rsidP="006E217E">
      <w:pPr>
        <w:spacing w:line="300" w:lineRule="auto"/>
        <w:ind w:firstLine="465"/>
        <w:rPr>
          <w:rFonts w:ascii="宋体" w:hAnsi="宋体"/>
          <w:sz w:val="24"/>
        </w:rPr>
      </w:pPr>
      <w:r>
        <w:rPr>
          <w:rFonts w:ascii="宋体" w:hAnsi="宋体"/>
          <w:sz w:val="24"/>
        </w:rPr>
        <w:t>存在于分部、分项工艺过程、施工机械运行过程和物料的重大危险源：</w:t>
      </w:r>
    </w:p>
    <w:p w:rsidR="006E217E" w:rsidP="006E217E">
      <w:pPr>
        <w:numPr>
          <w:ilvl w:val="0"/>
          <w:numId w:val="8"/>
        </w:numPr>
        <w:spacing w:line="300" w:lineRule="auto"/>
        <w:ind w:firstLine="480" w:firstLineChars="200"/>
        <w:rPr>
          <w:rFonts w:ascii="宋体" w:hAnsi="宋体"/>
          <w:sz w:val="24"/>
        </w:rPr>
      </w:pPr>
      <w:r>
        <w:rPr>
          <w:rFonts w:ascii="宋体" w:hAnsi="宋体"/>
          <w:sz w:val="24"/>
        </w:rPr>
        <w:t xml:space="preserve">脚手架、模板和支撑、起重塔吊、物料提升机、施工电梯安装与运行，人工挖孔桩、基坑施工等局部结构工程失稳，造成机械设备倾覆、结构坍塌、人亡等意外;  </w:t>
      </w:r>
    </w:p>
    <w:p w:rsidR="006E217E" w:rsidP="006E217E">
      <w:pPr>
        <w:numPr>
          <w:ilvl w:val="0"/>
          <w:numId w:val="8"/>
        </w:numPr>
        <w:spacing w:line="300" w:lineRule="auto"/>
        <w:ind w:firstLine="480" w:firstLineChars="200"/>
        <w:rPr>
          <w:rFonts w:ascii="宋体" w:hAnsi="宋体"/>
          <w:sz w:val="24"/>
        </w:rPr>
        <w:sectPr>
          <w:type w:val="nextPage"/>
          <w:pgSz w:w="11906" w:h="16838"/>
          <w:pgMar w:top="800" w:right="1800" w:bottom="800" w:left="1800" w:header="851" w:footer="992" w:gutter="0"/>
          <w:pgNumType w:start="4"/>
          <w:cols w:space="720"/>
          <w:titlePg w:val="0"/>
          <w:docGrid w:type="lines" w:linePitch="312"/>
        </w:sectPr>
      </w:pPr>
      <w:r>
        <w:rPr>
          <w:rFonts w:ascii="宋体" w:hAnsi="宋体"/>
          <w:sz w:val="24"/>
        </w:rPr>
        <w:t xml:space="preserve">施工高层建筑或高度大于2m的作业面〔包括高空、四口、五临边作业〕，因平安防护不到位或平安兜网内积存建筑垃圾、人员未配系平安带等原因造成人员踏空、滑倒等高处坠落摔伤或坠落物体打击下方人员等意外。 </w:t>
      </w:r>
    </w:p>
    <w:p w:rsidR="006E217E" w:rsidP="006E217E">
      <w:pPr>
        <w:spacing w:line="300" w:lineRule="auto"/>
        <w:ind w:firstLine="480" w:firstLineChars="200"/>
        <w:rPr>
          <w:rFonts w:ascii="宋体" w:hAnsi="宋体" w:cs="黑体"/>
          <w:b/>
          <w:bCs/>
          <w:color w:val="000000"/>
          <w:sz w:val="24"/>
        </w:rPr>
      </w:pPr>
      <w:r>
        <w:rPr>
          <w:rFonts w:ascii="宋体" w:hAnsi="宋体"/>
          <w:sz w:val="24"/>
        </w:rPr>
        <w:t xml:space="preserve">〔3〕焊接、金属切割、冲击钻孔、凿岩等施工，临时电漏电遇地下室积水及各种施工电器设备的平安保护〔如：漏电、绝缘、接地保护、一机一闸〕不符合要求，造成人员触电、局部火灾等意外；  </w:t>
      </w:r>
    </w:p>
    <w:p w:rsidR="006E217E" w:rsidP="006E217E">
      <w:pPr>
        <w:spacing w:line="300" w:lineRule="auto"/>
        <w:ind w:firstLine="480" w:firstLineChars="200"/>
        <w:rPr>
          <w:rFonts w:ascii="宋体" w:hAnsi="宋体"/>
          <w:sz w:val="24"/>
        </w:rPr>
      </w:pPr>
      <w:r>
        <w:rPr>
          <w:rFonts w:ascii="宋体" w:hAnsi="宋体"/>
          <w:sz w:val="24"/>
        </w:rPr>
        <w:t>〔4〕工程材料、构件及设备的堆放与频繁吊运、搬运等过程中因各种原因易发生堆放散落、高空坠落、撞击人员等意外</w:t>
      </w:r>
      <w:r>
        <w:rPr>
          <w:rFonts w:ascii="宋体" w:hAnsi="宋体" w:hint="eastAsia"/>
          <w:sz w:val="24"/>
          <w:vertAlign w:val="superscript"/>
        </w:rPr>
        <w:t>[2]</w:t>
      </w:r>
      <w:r>
        <w:rPr>
          <w:rFonts w:ascii="宋体" w:hAnsi="宋体"/>
          <w:sz w:val="24"/>
        </w:rPr>
        <w:t>。</w:t>
      </w:r>
    </w:p>
    <w:p w:rsidR="006E217E" w:rsidP="006E217E">
      <w:pPr>
        <w:pStyle w:val="Heading3"/>
        <w:spacing w:line="300" w:lineRule="auto"/>
        <w:rPr>
          <w:rFonts w:ascii="宋体" w:hAnsi="宋体" w:cs="宋体" w:hint="eastAsia"/>
          <w:sz w:val="24"/>
          <w:shd w:val="clear" w:color="auto" w:fill="FFFFFF"/>
        </w:rPr>
      </w:pPr>
      <w:bookmarkStart w:id="13" w:name="_Toc22770"/>
      <w:r>
        <w:rPr>
          <w:rFonts w:ascii="黑体" w:eastAsia="黑体" w:hAnsi="黑体" w:cs="黑体" w:hint="eastAsia"/>
          <w:sz w:val="24"/>
        </w:rPr>
        <w:t xml:space="preserve">3.2.3 </w:t>
      </w:r>
      <w:r>
        <w:rPr>
          <w:rFonts w:ascii="黑体" w:eastAsia="黑体" w:hAnsi="黑体" w:cs="黑体" w:hint="eastAsia"/>
          <w:sz w:val="24"/>
          <w:shd w:val="clear" w:color="auto" w:fill="FFFFFF"/>
        </w:rPr>
        <w:t>存在于施工自然环境中的重大危险源</w:t>
      </w:r>
      <w:bookmarkEnd w:id="13"/>
    </w:p>
    <w:p w:rsidR="006E217E" w:rsidP="006E217E">
      <w:pPr>
        <w:numPr>
          <w:ilvl w:val="0"/>
          <w:numId w:val="9"/>
        </w:numPr>
        <w:spacing w:line="300" w:lineRule="auto"/>
        <w:ind w:firstLine="480" w:firstLineChars="200"/>
        <w:rPr>
          <w:rFonts w:ascii="宋体" w:hAnsi="宋体"/>
          <w:sz w:val="24"/>
        </w:rPr>
      </w:pPr>
      <w:r>
        <w:rPr>
          <w:rFonts w:ascii="宋体" w:hAnsi="宋体"/>
          <w:sz w:val="24"/>
        </w:rPr>
        <w:t xml:space="preserve">人工挖孔桩、隧道掘进、地下市政工程接口、室内装修、挖掘机作业时损坏地下燃气管道等因通风排气不畅造成人员窒息或中毒意外。  </w:t>
      </w:r>
    </w:p>
    <w:p w:rsidR="006E217E" w:rsidP="006E217E">
      <w:pPr>
        <w:spacing w:line="300" w:lineRule="auto"/>
        <w:rPr>
          <w:rFonts w:hint="eastAsia"/>
        </w:rPr>
      </w:pPr>
      <w:r>
        <w:rPr>
          <w:rFonts w:ascii="宋体" w:hAnsi="宋体" w:hint="eastAsia"/>
          <w:sz w:val="24"/>
        </w:rPr>
        <w:t xml:space="preserve">    〔2〕</w:t>
      </w:r>
      <w:r>
        <w:rPr>
          <w:rFonts w:ascii="宋体" w:hAnsi="宋体"/>
          <w:sz w:val="24"/>
        </w:rPr>
        <w:t>深基坑、隧道、地铁、竖井、大型管沟的施工，因为支护、支撑等设施失稳，坍塌，不但造成施工场所破坏、人员伤亡，往往还引起地面、周边建筑设施的倾斜、塌陷、坍塌、爆炸与火灾等意外。基坑开挖、人工挖孔桩等施工降水，造成周围建筑物因地基不均匀沉降而倾斜、开裂、倒塌等意外</w:t>
      </w:r>
      <w:r>
        <w:rPr>
          <w:rFonts w:ascii="宋体" w:hAnsi="宋体" w:hint="eastAsia"/>
          <w:sz w:val="24"/>
          <w:vertAlign w:val="superscript"/>
        </w:rPr>
        <w:t>[3]</w:t>
      </w:r>
      <w:r>
        <w:rPr>
          <w:rFonts w:ascii="宋体" w:hAnsi="宋体"/>
          <w:sz w:val="24"/>
        </w:rPr>
        <w:t>。</w:t>
      </w:r>
    </w:p>
    <w:p w:rsidR="006E217E" w:rsidP="006E217E">
      <w:pPr>
        <w:pStyle w:val="Heading2"/>
        <w:spacing w:before="156" w:after="156" w:line="300" w:lineRule="auto"/>
      </w:pPr>
      <w:bookmarkStart w:id="14" w:name="_Toc329821486"/>
      <w:bookmarkStart w:id="15" w:name="_Toc7519"/>
      <w:r>
        <w:rPr>
          <w:rFonts w:ascii="黑体" w:hAnsi="黑体" w:cs="黑体" w:hint="eastAsia"/>
          <w:sz w:val="28"/>
          <w:szCs w:val="28"/>
        </w:rPr>
        <w:t>3.3临建设施重大危险源</w:t>
      </w:r>
      <w:bookmarkEnd w:id="14"/>
      <w:bookmarkEnd w:id="15"/>
    </w:p>
    <w:p w:rsidR="006E217E" w:rsidP="006E217E">
      <w:pPr>
        <w:spacing w:line="300" w:lineRule="auto"/>
        <w:ind w:firstLine="480" w:firstLineChars="200"/>
        <w:rPr>
          <w:rFonts w:ascii="宋体" w:hAnsi="宋体"/>
          <w:sz w:val="24"/>
        </w:rPr>
      </w:pPr>
      <w:r>
        <w:rPr>
          <w:rFonts w:ascii="宋体" w:hAnsi="宋体"/>
          <w:sz w:val="24"/>
        </w:rPr>
        <w:t>〔</w:t>
      </w:r>
      <w:r>
        <w:rPr>
          <w:rFonts w:ascii="宋体" w:hAnsi="宋体" w:hint="eastAsia"/>
          <w:sz w:val="24"/>
        </w:rPr>
        <w:t>1</w:t>
      </w:r>
      <w:r>
        <w:rPr>
          <w:rFonts w:ascii="宋体" w:hAnsi="宋体"/>
          <w:sz w:val="24"/>
        </w:rPr>
        <w:t xml:space="preserve">〕厨房与临建宿舍平安间距不符合要求，施工用易燃易爆危险化学品临时存放或使用不符合要求、防护不到位，造成火灾或人员窒息中毒意外；工地饮食因卫生不符合卫生标准，造成集体中毒或疾病意外。  </w:t>
      </w:r>
    </w:p>
    <w:p w:rsidR="006E217E" w:rsidP="006E217E">
      <w:pPr>
        <w:spacing w:line="300" w:lineRule="auto"/>
        <w:ind w:firstLine="480" w:firstLineChars="200"/>
        <w:rPr>
          <w:rFonts w:ascii="宋体" w:hAnsi="宋体"/>
          <w:sz w:val="24"/>
        </w:rPr>
      </w:pPr>
      <w:r>
        <w:rPr>
          <w:rFonts w:ascii="宋体" w:hAnsi="宋体"/>
          <w:sz w:val="24"/>
        </w:rPr>
        <w:t>〔</w:t>
      </w:r>
      <w:r>
        <w:rPr>
          <w:rFonts w:ascii="宋体" w:hAnsi="宋体" w:hint="eastAsia"/>
          <w:sz w:val="24"/>
        </w:rPr>
        <w:t>2</w:t>
      </w:r>
      <w:r>
        <w:rPr>
          <w:rFonts w:ascii="宋体" w:hAnsi="宋体"/>
          <w:sz w:val="24"/>
        </w:rPr>
        <w:t xml:space="preserve">〕临时简易帐篷搭设不符合平安间距要求，易发生火烧连营的意外。 </w:t>
      </w:r>
    </w:p>
    <w:p w:rsidR="006E217E" w:rsidP="006E217E">
      <w:pPr>
        <w:spacing w:line="300" w:lineRule="auto"/>
        <w:ind w:firstLine="480" w:firstLineChars="200"/>
        <w:rPr>
          <w:rFonts w:ascii="宋体" w:hAnsi="宋体" w:cs="黑体"/>
          <w:b/>
          <w:bCs/>
          <w:color w:val="000000"/>
          <w:sz w:val="24"/>
        </w:rPr>
      </w:pPr>
      <w:r>
        <w:rPr>
          <w:rFonts w:ascii="宋体" w:hAnsi="宋体"/>
          <w:sz w:val="24"/>
        </w:rPr>
        <w:t>〔3〕电线私拉乱接，直接与金属结构或钢管接触，易发生触电及火灾等意外。</w:t>
      </w:r>
    </w:p>
    <w:p w:rsidR="006E217E" w:rsidP="006E217E">
      <w:pPr>
        <w:spacing w:line="300" w:lineRule="auto"/>
        <w:ind w:firstLine="480" w:firstLineChars="200"/>
        <w:rPr>
          <w:rFonts w:ascii="宋体" w:hAnsi="宋体" w:hint="eastAsia"/>
          <w:sz w:val="24"/>
        </w:rPr>
      </w:pPr>
      <w:r>
        <w:rPr>
          <w:rFonts w:ascii="宋体" w:hAnsi="宋体"/>
          <w:sz w:val="24"/>
        </w:rPr>
        <w:t>〔4〕临建设施撤除时房顶发生整体坍塌，作业人员踏空、踩虚造成伤亡意外</w:t>
      </w:r>
      <w:r>
        <w:rPr>
          <w:rFonts w:ascii="宋体" w:hAnsi="宋体" w:hint="eastAsia"/>
          <w:sz w:val="24"/>
          <w:vertAlign w:val="superscript"/>
        </w:rPr>
        <w:t>[4]</w:t>
      </w:r>
      <w:r>
        <w:rPr>
          <w:rFonts w:ascii="宋体" w:hAnsi="宋体"/>
          <w:sz w:val="24"/>
        </w:rPr>
        <w:t>。</w:t>
      </w:r>
      <w:bookmarkStart w:id="16" w:name="_Toc281576680"/>
    </w:p>
    <w:p w:rsidR="006E217E" w:rsidP="006E217E">
      <w:pPr>
        <w:pStyle w:val="Heading2"/>
        <w:spacing w:before="156" w:after="156" w:line="300" w:lineRule="auto"/>
        <w:rPr>
          <w:rFonts w:cs="黑体"/>
          <w:color w:val="000000"/>
        </w:rPr>
      </w:pPr>
      <w:bookmarkStart w:id="17" w:name="_Toc329821487"/>
      <w:bookmarkStart w:id="18" w:name="_Toc317"/>
      <w:r>
        <w:rPr>
          <w:rFonts w:ascii="黑体" w:hAnsi="黑体" w:cs="黑体" w:hint="eastAsia"/>
          <w:sz w:val="28"/>
          <w:szCs w:val="28"/>
        </w:rPr>
        <w:t>3.4建筑工地重大危险源的主要危害</w:t>
      </w:r>
      <w:bookmarkEnd w:id="16"/>
      <w:bookmarkEnd w:id="17"/>
      <w:bookmarkEnd w:id="18"/>
    </w:p>
    <w:p w:rsidR="006E217E" w:rsidP="006E217E">
      <w:pPr>
        <w:spacing w:line="300" w:lineRule="auto"/>
        <w:ind w:firstLine="480" w:firstLineChars="200"/>
        <w:rPr>
          <w:rFonts w:ascii="宋体" w:hAnsi="宋体"/>
          <w:sz w:val="24"/>
        </w:rPr>
      </w:pPr>
      <w:r>
        <w:rPr>
          <w:rFonts w:ascii="宋体" w:hAnsi="宋体"/>
          <w:sz w:val="24"/>
        </w:rPr>
        <w:t>建筑工地重大危险源，可能造成的事故危害主要有：高处坠落、坍塌、物体打击、起重伤害、触电、机械伤害、中毒窒息、火灾、爆炸和其他伤害等几种类型。 2006年上半年建设系统事故类型死亡人数所占总数比例分别是：高处坠落占39.5%，施工坍塌占22.6%，物体打击占14.3%，起重伤害占 8.1%，触电占5.9%，机械伤害占5%，其余类型占4.6% 。</w:t>
      </w:r>
    </w:p>
    <w:p w:rsidR="006E217E" w:rsidP="006E217E">
      <w:pPr>
        <w:pStyle w:val="Heading1"/>
        <w:spacing w:line="300" w:lineRule="auto"/>
        <w:jc w:val="center"/>
        <w:rPr>
          <w:rFonts w:ascii="黑体" w:eastAsia="黑体" w:hAnsi="黑体" w:cs="黑体" w:hint="eastAsia"/>
          <w:sz w:val="30"/>
          <w:szCs w:val="30"/>
        </w:rPr>
      </w:pPr>
      <w:bookmarkStart w:id="19" w:name="_Toc8356"/>
      <w:r>
        <w:rPr>
          <w:rFonts w:ascii="黑体" w:eastAsia="黑体" w:hAnsi="黑体" w:cs="黑体" w:hint="eastAsia"/>
          <w:sz w:val="30"/>
          <w:szCs w:val="30"/>
        </w:rPr>
        <w:t>4建筑平安评价单元划分</w:t>
      </w:r>
    </w:p>
    <w:tbl>
      <w:tblPr>
        <w:tblStyle w:val="TableNormal"/>
        <w:tblpPr w:leftFromText="180" w:rightFromText="180" w:vertAnchor="text" w:horzAnchor="margin" w:tblpXSpec="center" w:tblpX="1" w:tblpY="37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6"/>
        <w:gridCol w:w="3338"/>
        <w:gridCol w:w="2377"/>
        <w:gridCol w:w="237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08"/>
        </w:trPr>
        <w:tc>
          <w:tcPr>
            <w:tcW w:w="696" w:type="dxa"/>
            <w:vMerge w:val="restart"/>
            <w:vAlign w:val="center"/>
          </w:tcPr>
          <w:p w:rsidR="006E217E" w:rsidP="006E217E">
            <w:pPr>
              <w:spacing w:line="300" w:lineRule="auto"/>
              <w:rPr>
                <w:rFonts w:ascii="宋体" w:hAnsi="宋体"/>
              </w:rPr>
            </w:pPr>
            <w:bookmarkEnd w:id="19"/>
          </w:p>
          <w:p w:rsidR="006E217E" w:rsidP="006E217E">
            <w:pPr>
              <w:spacing w:line="300" w:lineRule="auto"/>
              <w:rPr>
                <w:rFonts w:ascii="宋体" w:hAnsi="宋体"/>
              </w:rPr>
            </w:pPr>
          </w:p>
        </w:tc>
        <w:tc>
          <w:tcPr>
            <w:tcW w:w="5715" w:type="dxa"/>
            <w:gridSpan w:val="2"/>
            <w:vAlign w:val="center"/>
          </w:tcPr>
          <w:p w:rsidR="006E217E" w:rsidP="006E217E">
            <w:pPr>
              <w:spacing w:line="300" w:lineRule="auto"/>
              <w:rPr>
                <w:rFonts w:ascii="宋体" w:hAnsi="宋体"/>
              </w:rPr>
            </w:pPr>
            <w:r>
              <w:rPr>
                <w:rFonts w:ascii="宋体" w:hAnsi="宋体" w:hint="eastAsia"/>
              </w:rPr>
              <w:t>评价单元划分</w:t>
            </w:r>
          </w:p>
        </w:tc>
        <w:tc>
          <w:tcPr>
            <w:tcW w:w="2377" w:type="dxa"/>
            <w:vMerge w:val="restart"/>
            <w:vAlign w:val="center"/>
          </w:tcPr>
          <w:p w:rsidR="006E217E" w:rsidP="006E217E">
            <w:pPr>
              <w:spacing w:line="300" w:lineRule="auto"/>
              <w:rPr>
                <w:rFonts w:ascii="宋体" w:hAnsi="宋体"/>
              </w:rPr>
            </w:pPr>
            <w:r>
              <w:rPr>
                <w:rFonts w:ascii="宋体" w:hAnsi="宋体" w:hint="eastAsia"/>
              </w:rPr>
              <w:t>采用评价方法</w:t>
            </w:r>
          </w:p>
        </w:tc>
      </w:tr>
      <w:tr>
        <w:tblPrEx>
          <w:tblLayout w:type="fixed"/>
          <w:tblLook w:val="0000"/>
        </w:tblPrEx>
        <w:trPr>
          <w:trHeight w:val="507"/>
        </w:trPr>
        <w:tc>
          <w:tcPr>
            <w:tcW w:w="1" w:type="dxa"/>
            <w:vMerge/>
            <w:vAlign w:val="center"/>
          </w:tcPr>
          <w:p w:rsidR="006E217E" w:rsidP="006E217E">
            <w:pPr>
              <w:spacing w:line="300" w:lineRule="auto"/>
              <w:rPr>
                <w:rFonts w:ascii="宋体" w:hAnsi="宋体"/>
              </w:rPr>
            </w:pPr>
          </w:p>
        </w:tc>
        <w:tc>
          <w:tcPr>
            <w:tcW w:w="3338" w:type="dxa"/>
            <w:vAlign w:val="center"/>
          </w:tcPr>
          <w:p w:rsidR="006E217E" w:rsidP="006E217E">
            <w:pPr>
              <w:spacing w:line="300" w:lineRule="auto"/>
              <w:rPr>
                <w:rFonts w:ascii="宋体" w:hAnsi="宋体"/>
              </w:rPr>
            </w:pPr>
            <w:r>
              <w:rPr>
                <w:rFonts w:ascii="宋体" w:hAnsi="宋体" w:hint="eastAsia"/>
              </w:rPr>
              <w:t>评价单元</w:t>
            </w:r>
          </w:p>
        </w:tc>
        <w:tc>
          <w:tcPr>
            <w:tcW w:w="2377" w:type="dxa"/>
            <w:vAlign w:val="center"/>
          </w:tcPr>
          <w:p w:rsidR="006E217E" w:rsidP="006E217E">
            <w:pPr>
              <w:spacing w:line="300" w:lineRule="auto"/>
              <w:rPr>
                <w:rFonts w:ascii="宋体" w:hAnsi="宋体"/>
              </w:rPr>
            </w:pPr>
            <w:r>
              <w:rPr>
                <w:rFonts w:ascii="宋体" w:hAnsi="宋体" w:hint="eastAsia"/>
              </w:rPr>
              <w:t>子单元</w:t>
            </w:r>
          </w:p>
        </w:tc>
        <w:tc>
          <w:tcPr>
            <w:tcW w:w="1" w:type="dxa"/>
            <w:vMerge/>
            <w:vAlign w:val="center"/>
          </w:tcPr>
          <w:p w:rsidR="006E217E" w:rsidP="006E217E">
            <w:pPr>
              <w:spacing w:line="300" w:lineRule="auto"/>
              <w:rPr>
                <w:rFonts w:ascii="宋体" w:hAnsi="宋体"/>
              </w:rPr>
            </w:pPr>
          </w:p>
        </w:tc>
      </w:tr>
    </w:tbl>
    <w:p>
      <w:pPr>
        <w:sectPr>
          <w:type w:val="nextPage"/>
          <w:pgSz w:w="11906" w:h="16838"/>
          <w:pgMar w:top="800" w:right="1800" w:bottom="800" w:left="1800" w:header="851" w:footer="992" w:gutter="0"/>
          <w:pgNumType w:start="5"/>
          <w:cols w:space="720"/>
          <w:titlePg w:val="0"/>
          <w:docGrid w:type="lines" w:linePitch="312"/>
        </w:sectPr>
      </w:pPr>
    </w:p>
    <w:tbl>
      <w:tblPr>
        <w:tblStyle w:val="TableNormal"/>
        <w:tblpPr w:leftFromText="180" w:rightFromText="180" w:vertAnchor="text" w:horzAnchor="margin" w:tblpXSpec="center" w:tblpX="1" w:tblpY="37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6"/>
        <w:gridCol w:w="3338"/>
        <w:gridCol w:w="2377"/>
        <w:gridCol w:w="237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960"/>
        </w:trPr>
        <w:tc>
          <w:tcPr>
            <w:tcW w:w="696" w:type="dxa"/>
            <w:vMerge w:val="restart"/>
            <w:vAlign w:val="center"/>
          </w:tcPr>
          <w:p w:rsidR="006E217E" w:rsidP="006E217E">
            <w:pPr>
              <w:spacing w:line="300" w:lineRule="auto"/>
              <w:rPr>
                <w:rFonts w:ascii="宋体" w:hAnsi="宋体"/>
              </w:rPr>
            </w:pPr>
            <w:r>
              <w:rPr>
                <w:rFonts w:ascii="宋体" w:hAnsi="宋体" w:hint="eastAsia"/>
              </w:rPr>
              <w:t>1</w:t>
            </w:r>
          </w:p>
        </w:tc>
        <w:tc>
          <w:tcPr>
            <w:tcW w:w="3338" w:type="dxa"/>
            <w:vMerge w:val="restart"/>
            <w:vAlign w:val="center"/>
          </w:tcPr>
          <w:p w:rsidR="006E217E" w:rsidP="006E217E">
            <w:pPr>
              <w:spacing w:line="300" w:lineRule="auto"/>
              <w:rPr>
                <w:rFonts w:ascii="宋体" w:hAnsi="宋体"/>
              </w:rPr>
            </w:pPr>
            <w:r>
              <w:rPr>
                <w:rFonts w:ascii="宋体" w:hAnsi="宋体" w:hint="eastAsia"/>
              </w:rPr>
              <w:t>建筑施工条件及周边环境单元</w:t>
            </w:r>
          </w:p>
        </w:tc>
        <w:tc>
          <w:tcPr>
            <w:tcW w:w="2377" w:type="dxa"/>
            <w:vAlign w:val="center"/>
          </w:tcPr>
          <w:p w:rsidR="006E217E" w:rsidP="006E217E">
            <w:pPr>
              <w:spacing w:line="300" w:lineRule="auto"/>
              <w:rPr>
                <w:rFonts w:ascii="宋体" w:hAnsi="宋体"/>
              </w:rPr>
            </w:pPr>
            <w:r>
              <w:rPr>
                <w:rFonts w:ascii="宋体" w:hAnsi="宋体" w:hint="eastAsia"/>
              </w:rPr>
              <w:t>施工平安生产条件</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960"/>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hint="eastAsia"/>
              </w:rPr>
              <w:t>文明施工、周边环境</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960"/>
        </w:trPr>
        <w:tc>
          <w:tcPr>
            <w:tcW w:w="696" w:type="dxa"/>
            <w:vMerge w:val="restart"/>
            <w:vAlign w:val="center"/>
          </w:tcPr>
          <w:p w:rsidR="006E217E" w:rsidP="006E217E">
            <w:pPr>
              <w:spacing w:line="300" w:lineRule="auto"/>
              <w:rPr>
                <w:rFonts w:ascii="宋体" w:hAnsi="宋体"/>
              </w:rPr>
            </w:pPr>
            <w:r>
              <w:rPr>
                <w:rFonts w:ascii="宋体" w:hAnsi="宋体" w:hint="eastAsia"/>
              </w:rPr>
              <w:t>2</w:t>
            </w:r>
          </w:p>
        </w:tc>
        <w:tc>
          <w:tcPr>
            <w:tcW w:w="3338" w:type="dxa"/>
            <w:vMerge w:val="restart"/>
            <w:vAlign w:val="center"/>
          </w:tcPr>
          <w:p w:rsidR="006E217E" w:rsidP="006E217E">
            <w:pPr>
              <w:spacing w:line="300" w:lineRule="auto"/>
              <w:rPr>
                <w:rFonts w:ascii="宋体" w:hAnsi="宋体"/>
              </w:rPr>
            </w:pPr>
            <w:r>
              <w:rPr>
                <w:rFonts w:ascii="宋体" w:hAnsi="宋体" w:hint="eastAsia"/>
              </w:rPr>
              <w:t>平安管理单元</w:t>
            </w:r>
          </w:p>
        </w:tc>
        <w:tc>
          <w:tcPr>
            <w:tcW w:w="2377" w:type="dxa"/>
            <w:vAlign w:val="center"/>
          </w:tcPr>
          <w:p w:rsidR="006E217E" w:rsidP="006E217E">
            <w:pPr>
              <w:spacing w:line="300" w:lineRule="auto"/>
              <w:rPr>
                <w:rFonts w:ascii="宋体" w:hAnsi="宋体"/>
              </w:rPr>
            </w:pPr>
            <w:r>
              <w:rPr>
                <w:rFonts w:ascii="宋体" w:hAnsi="宋体" w:hint="eastAsia"/>
              </w:rPr>
              <w:t>根底平安管理</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960"/>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hint="eastAsia"/>
              </w:rPr>
              <w:t>平安教育培训</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878"/>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hint="eastAsia"/>
              </w:rPr>
              <w:t>应急救援预案措施</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906"/>
        </w:trPr>
        <w:tc>
          <w:tcPr>
            <w:tcW w:w="696" w:type="dxa"/>
            <w:vMerge w:val="restart"/>
            <w:vAlign w:val="center"/>
          </w:tcPr>
          <w:p w:rsidR="006E217E" w:rsidP="006E217E">
            <w:pPr>
              <w:spacing w:line="300" w:lineRule="auto"/>
              <w:rPr>
                <w:rFonts w:ascii="宋体" w:hAnsi="宋体"/>
              </w:rPr>
            </w:pPr>
            <w:r>
              <w:rPr>
                <w:rFonts w:ascii="宋体" w:hAnsi="宋体" w:hint="eastAsia"/>
              </w:rPr>
              <w:t>3</w:t>
            </w:r>
          </w:p>
        </w:tc>
        <w:tc>
          <w:tcPr>
            <w:tcW w:w="3338" w:type="dxa"/>
            <w:vMerge w:val="restart"/>
            <w:vAlign w:val="center"/>
          </w:tcPr>
          <w:p w:rsidR="006E217E" w:rsidP="006E217E">
            <w:pPr>
              <w:spacing w:line="300" w:lineRule="auto"/>
              <w:rPr>
                <w:rFonts w:ascii="宋体" w:hAnsi="宋体"/>
              </w:rPr>
            </w:pPr>
            <w:r>
              <w:rPr>
                <w:rFonts w:ascii="宋体" w:hAnsi="宋体" w:hint="eastAsia"/>
              </w:rPr>
              <w:t>施工生产系统单元</w:t>
            </w:r>
          </w:p>
        </w:tc>
        <w:tc>
          <w:tcPr>
            <w:tcW w:w="2377" w:type="dxa"/>
            <w:vAlign w:val="center"/>
          </w:tcPr>
          <w:p w:rsidR="006E217E" w:rsidP="006E217E">
            <w:pPr>
              <w:spacing w:line="300" w:lineRule="auto"/>
              <w:rPr>
                <w:rFonts w:ascii="宋体" w:hAnsi="宋体"/>
              </w:rPr>
            </w:pPr>
            <w:r>
              <w:rPr>
                <w:rFonts w:ascii="宋体" w:hAnsi="宋体"/>
              </w:rPr>
              <w:t>临建工程</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778"/>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rPr>
              <w:t>根底施工</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960"/>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rPr>
              <w:t>结构主体</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r>
        <w:tblPrEx>
          <w:tblLayout w:type="fixed"/>
          <w:tblLook w:val="0000"/>
        </w:tblPrEx>
        <w:trPr>
          <w:trHeight w:val="834"/>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hint="eastAsia"/>
              </w:rPr>
              <w:t>脚手架搭设</w:t>
            </w:r>
          </w:p>
        </w:tc>
        <w:tc>
          <w:tcPr>
            <w:tcW w:w="2377" w:type="dxa"/>
            <w:vAlign w:val="center"/>
          </w:tcPr>
          <w:p w:rsidR="006E217E" w:rsidP="006E217E">
            <w:pPr>
              <w:spacing w:line="300" w:lineRule="auto"/>
              <w:rPr>
                <w:rFonts w:ascii="宋体" w:hAnsi="宋体"/>
              </w:rPr>
            </w:pPr>
            <w:r>
              <w:rPr>
                <w:rFonts w:ascii="宋体" w:hAnsi="宋体" w:hint="eastAsia"/>
              </w:rPr>
              <w:t>平安检查表、事故树</w:t>
            </w:r>
          </w:p>
        </w:tc>
      </w:tr>
      <w:tr>
        <w:tblPrEx>
          <w:tblLayout w:type="fixed"/>
          <w:tblLook w:val="0000"/>
        </w:tblPrEx>
        <w:trPr>
          <w:trHeight w:val="700"/>
        </w:trPr>
        <w:tc>
          <w:tcPr>
            <w:tcW w:w="1" w:type="dxa"/>
            <w:vMerge/>
            <w:vAlign w:val="center"/>
          </w:tcPr>
          <w:p w:rsidR="006E217E" w:rsidP="006E217E">
            <w:pPr>
              <w:spacing w:line="300" w:lineRule="auto"/>
              <w:rPr>
                <w:rFonts w:ascii="宋体" w:hAnsi="宋体"/>
              </w:rPr>
            </w:pPr>
          </w:p>
        </w:tc>
        <w:tc>
          <w:tcPr>
            <w:tcW w:w="1" w:type="dxa"/>
            <w:vMerge/>
            <w:vAlign w:val="center"/>
          </w:tcPr>
          <w:p w:rsidR="006E217E" w:rsidP="006E217E">
            <w:pPr>
              <w:spacing w:line="300" w:lineRule="auto"/>
              <w:rPr>
                <w:rFonts w:ascii="宋体" w:hAnsi="宋体"/>
              </w:rPr>
            </w:pPr>
          </w:p>
        </w:tc>
        <w:tc>
          <w:tcPr>
            <w:tcW w:w="2377" w:type="dxa"/>
            <w:vAlign w:val="center"/>
          </w:tcPr>
          <w:p w:rsidR="006E217E" w:rsidP="006E217E">
            <w:pPr>
              <w:spacing w:line="300" w:lineRule="auto"/>
              <w:rPr>
                <w:rFonts w:ascii="宋体" w:hAnsi="宋体"/>
              </w:rPr>
            </w:pPr>
            <w:r>
              <w:rPr>
                <w:rFonts w:ascii="宋体" w:hAnsi="宋体" w:hint="eastAsia"/>
              </w:rPr>
              <w:t>特种作业</w:t>
            </w:r>
          </w:p>
        </w:tc>
        <w:tc>
          <w:tcPr>
            <w:tcW w:w="2377" w:type="dxa"/>
            <w:vAlign w:val="center"/>
          </w:tcPr>
          <w:p w:rsidR="006E217E" w:rsidP="006E217E">
            <w:pPr>
              <w:spacing w:line="300" w:lineRule="auto"/>
              <w:rPr>
                <w:rFonts w:ascii="宋体" w:hAnsi="宋体"/>
              </w:rPr>
            </w:pPr>
            <w:r>
              <w:rPr>
                <w:rFonts w:ascii="宋体" w:hAnsi="宋体" w:hint="eastAsia"/>
              </w:rPr>
              <w:t>平安检查表</w:t>
            </w:r>
          </w:p>
        </w:tc>
      </w:tr>
    </w:tbl>
    <w:p w:rsidR="006E217E" w:rsidP="006E217E">
      <w:pPr>
        <w:widowControl/>
        <w:jc w:val="center"/>
        <w:rPr>
          <w:rFonts w:ascii="宋体" w:hAnsi="宋体" w:cs="宋体"/>
          <w:kern w:val="0"/>
        </w:rPr>
      </w:pPr>
      <w:r>
        <w:rPr>
          <w:rFonts w:ascii="宋体" w:hAnsi="宋体" w:cs="宋体" w:hint="eastAsia"/>
          <w:kern w:val="0"/>
        </w:rPr>
        <w:t>表4-1 各单元采用评价方法一览表</w:t>
      </w:r>
    </w:p>
    <w:p w:rsidR="006E217E" w:rsidP="006E217E">
      <w:pPr>
        <w:pStyle w:val="Heading1"/>
        <w:spacing w:line="300" w:lineRule="auto"/>
        <w:jc w:val="center"/>
        <w:rPr>
          <w:rFonts w:ascii="黑体" w:eastAsia="黑体" w:hAnsi="黑体" w:cs="黑体" w:hint="eastAsia"/>
          <w:sz w:val="30"/>
          <w:szCs w:val="30"/>
        </w:rPr>
      </w:pPr>
      <w:bookmarkStart w:id="20" w:name="_Toc329821490"/>
      <w:bookmarkStart w:id="21" w:name="_Toc23716"/>
      <w:r>
        <w:rPr>
          <w:rFonts w:ascii="黑体" w:eastAsia="黑体" w:hAnsi="黑体" w:cs="黑体" w:hint="eastAsia"/>
          <w:sz w:val="30"/>
          <w:szCs w:val="30"/>
        </w:rPr>
        <w:t>5定性、定量评价的选择</w:t>
      </w:r>
      <w:bookmarkEnd w:id="20"/>
      <w:bookmarkEnd w:id="21"/>
    </w:p>
    <w:p w:rsidR="006E217E" w:rsidP="006E217E">
      <w:pPr>
        <w:spacing w:line="300" w:lineRule="auto"/>
        <w:ind w:firstLine="480" w:firstLineChars="200"/>
        <w:rPr>
          <w:rFonts w:ascii="宋体" w:hAnsi="宋体" w:hint="eastAsia"/>
          <w:sz w:val="24"/>
        </w:rPr>
      </w:pPr>
      <w:r>
        <w:rPr>
          <w:rFonts w:ascii="宋体" w:hAnsi="宋体" w:hint="eastAsia"/>
          <w:sz w:val="24"/>
        </w:rPr>
        <w:t>根据生产经营单位的特点，确定评价的模式及采用的评价方法。平安现状评价在系统生命周期内的生产运行阶段，应尽可能的采用定量化的平安评价方法，通常采用</w:t>
      </w:r>
      <w:r>
        <w:rPr>
          <w:rFonts w:ascii="宋体" w:hAnsi="宋体" w:hint="eastAsia"/>
          <w:sz w:val="24"/>
        </w:rPr>
        <w:t>“</w:t>
      </w:r>
      <w:r>
        <w:rPr>
          <w:rFonts w:ascii="宋体" w:hAnsi="宋体" w:hint="eastAsia"/>
          <w:sz w:val="24"/>
        </w:rPr>
        <w:t>预先危险性分析</w:t>
      </w:r>
      <w:r>
        <w:rPr>
          <w:rFonts w:ascii="宋体" w:hAnsi="宋体" w:hint="eastAsia"/>
          <w:sz w:val="24"/>
        </w:rPr>
        <w:t>——</w:t>
      </w:r>
      <w:r>
        <w:rPr>
          <w:rFonts w:ascii="宋体" w:hAnsi="宋体" w:hint="eastAsia"/>
          <w:sz w:val="24"/>
        </w:rPr>
        <w:t>平安检查表检查</w:t>
      </w:r>
      <w:r>
        <w:rPr>
          <w:rFonts w:ascii="宋体" w:hAnsi="宋体" w:hint="eastAsia"/>
          <w:sz w:val="24"/>
        </w:rPr>
        <w:t>——</w:t>
      </w:r>
      <w:r>
        <w:rPr>
          <w:rFonts w:ascii="宋体" w:hAnsi="宋体" w:hint="eastAsia"/>
          <w:sz w:val="24"/>
        </w:rPr>
        <w:t>危险指数评价</w:t>
      </w:r>
      <w:r>
        <w:rPr>
          <w:rFonts w:ascii="宋体" w:hAnsi="宋体" w:hint="eastAsia"/>
          <w:sz w:val="24"/>
        </w:rPr>
        <w:t>——</w:t>
      </w:r>
      <w:r>
        <w:rPr>
          <w:rFonts w:ascii="宋体" w:hAnsi="宋体" w:hint="eastAsia"/>
          <w:sz w:val="24"/>
        </w:rPr>
        <w:t>重大事故分析与风险评价</w:t>
      </w:r>
      <w:r>
        <w:rPr>
          <w:rFonts w:ascii="宋体" w:hAnsi="宋体" w:hint="eastAsia"/>
          <w:sz w:val="24"/>
        </w:rPr>
        <w:t>——</w:t>
      </w:r>
      <w:r>
        <w:rPr>
          <w:rFonts w:ascii="宋体" w:hAnsi="宋体" w:hint="eastAsia"/>
          <w:sz w:val="24"/>
        </w:rPr>
        <w:t>有害因素现状评价〞依次渐进、定性与定量相结合的综合性评价模式，进行科学、全面、系统地分析评价。通过定性、定量平安评价，重点对工艺流程、工艺参数、控制方式、操作条件、物料种类与理化特性、工艺布置、总图、公用工程等内容，运用选定的分析方法对存在的危险、有害因素和事故隐患逐一分析，通过危险度与危险指数量化分析与评价计算，确定事故隐患部位、预测发生事故的严重后果，同时进行风险排序，</w:t>
      </w:r>
      <w:r>
        <w:rPr>
          <w:rFonts w:ascii="宋体" w:hAnsi="宋体"/>
          <w:sz w:val="24"/>
        </w:rPr>
        <w:t>结合现场调查结果以及同类事故案例分析其发生的原因和概率，运用相应的数学模型进行重大事故模拟</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https://d.book118.com/678004037066006034</w:t>
        </w:r>
      </w:hyperlink>
    </w:p>
    <w:p w:rsidR="006E217E" w:rsidP="006E217E">
      <w:pPr>
        <w:spacing w:line="300" w:lineRule="auto"/>
        <w:ind w:firstLine="480" w:firstLineChars="200"/>
        <w:rPr>
          <w:rFonts w:ascii="宋体" w:hAnsi="宋体" w:hint="eastAsia"/>
          <w:sz w:val="24"/>
        </w:rPr>
      </w:pPr>
    </w:p>
    <w:sectPr>
      <w:type w:val="nextPage"/>
      <w:pgSz w:w="11906" w:h="16838"/>
      <w:pgMar w:top="800" w:right="1800" w:bottom="800" w:left="1800" w:header="851" w:footer="992" w:gutter="0"/>
      <w:pgNumType w:start="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D"/>
    <w:multiLevelType w:val="singleLevel"/>
    <w:tmpl w:val="0000000D"/>
    <w:lvl w:ilvl="0">
      <w:start w:val="1"/>
      <w:numFmt w:val="decimal"/>
      <w:suff w:val="nothing"/>
      <w:lvlText w:val="（%1）"/>
      <w:lvlJc w:val="left"/>
    </w:lvl>
  </w:abstractNum>
  <w:abstractNum w:abstractNumId="2">
    <w:nsid w:val="0000001E"/>
    <w:multiLevelType w:val="singleLevel"/>
    <w:tmpl w:val="0000001E"/>
    <w:lvl w:ilvl="0">
      <w:start w:val="1"/>
      <w:numFmt w:val="decimal"/>
      <w:suff w:val="nothing"/>
      <w:lvlText w:val="（%1）"/>
      <w:lvlJc w:val="left"/>
    </w:lvl>
  </w:abstractNum>
  <w:abstractNum w:abstractNumId="3">
    <w:nsid w:val="395D07BC"/>
    <w:multiLevelType w:val="singleLevel"/>
    <w:tmpl w:val="0000000D"/>
    <w:lvl w:ilvl="0">
      <w:start w:val="1"/>
      <w:numFmt w:val="decimal"/>
      <w:suff w:val="nothing"/>
      <w:lvlText w:val="（%1）"/>
      <w:lvlJc w:val="left"/>
    </w:lvl>
  </w:abstractNum>
  <w:abstractNum w:abstractNumId="4">
    <w:nsid w:val="566E74C4"/>
    <w:multiLevelType w:val="singleLevel"/>
    <w:tmpl w:val="566E74C4"/>
    <w:lvl w:ilvl="0">
      <w:start w:val="2"/>
      <w:numFmt w:val="decimal"/>
      <w:suff w:val="nothing"/>
      <w:lvlText w:val="(%1）"/>
      <w:lvlJc w:val="left"/>
    </w:lvl>
  </w:abstractNum>
  <w:abstractNum w:abstractNumId="5">
    <w:nsid w:val="567A4CA2"/>
    <w:multiLevelType w:val="singleLevel"/>
    <w:tmpl w:val="567A4CA2"/>
    <w:lvl w:ilvl="0">
      <w:start w:val="3"/>
      <w:numFmt w:val="decimal"/>
      <w:suff w:val="nothing"/>
      <w:lvlText w:val="（%1）"/>
      <w:lvlJc w:val="left"/>
    </w:lvl>
  </w:abstractNum>
  <w:abstractNum w:abstractNumId="6">
    <w:nsid w:val="567B64CB"/>
    <w:multiLevelType w:val="singleLevel"/>
    <w:tmpl w:val="567B64CB"/>
    <w:lvl w:ilvl="0">
      <w:start w:val="5"/>
      <w:numFmt w:val="decimal"/>
      <w:suff w:val="nothing"/>
      <w:lvlText w:val="(%1)"/>
      <w:lvlJc w:val="left"/>
    </w:lvl>
  </w:abstractNum>
  <w:abstractNum w:abstractNumId="7">
    <w:nsid w:val="56844154"/>
    <w:multiLevelType w:val="singleLevel"/>
    <w:tmpl w:val="0000001E"/>
    <w:lvl w:ilvl="0">
      <w:start w:val="1"/>
      <w:numFmt w:val="decimal"/>
      <w:suff w:val="nothing"/>
      <w:lvlText w:val="（%1）"/>
      <w:lvlJc w:val="left"/>
    </w:lvl>
  </w:abstractNum>
  <w:abstractNum w:abstractNumId="8">
    <w:nsid w:val="771E2B7C"/>
    <w:multiLevelType w:val="singleLevel"/>
    <w:tmpl w:val="566E74C4"/>
    <w:lvl w:ilvl="0">
      <w:start w:val="2"/>
      <w:numFmt w:val="decimal"/>
      <w:suff w:val="nothing"/>
      <w:lvlText w:val="(%1）"/>
      <w:lvlJc w:val="left"/>
    </w:lvl>
  </w:abstractNum>
  <w:num w:numId="1">
    <w:abstractNumId w:val="4"/>
  </w:num>
  <w:num w:numId="2">
    <w:abstractNumId w:val="2"/>
  </w:num>
  <w:num w:numId="3">
    <w:abstractNumId w:val="1"/>
  </w:num>
  <w:num w:numId="4">
    <w:abstractNumId w:val="0"/>
  </w:num>
  <w:num w:numId="5">
    <w:abstractNumId w:val="6"/>
  </w:num>
  <w:num w:numId="6">
    <w:abstractNumId w:val="5"/>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6E217E"/>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6E217E"/>
    <w:pPr>
      <w:keepNext/>
      <w:keepLines/>
      <w:spacing w:before="340" w:after="330" w:line="576" w:lineRule="auto"/>
      <w:outlineLvl w:val="0"/>
    </w:pPr>
    <w:rPr>
      <w:rFonts w:ascii="Calibri" w:hAnsi="Calibri"/>
      <w:b/>
      <w:kern w:val="44"/>
      <w:sz w:val="44"/>
    </w:rPr>
  </w:style>
  <w:style w:type="paragraph" w:styleId="Heading2">
    <w:name w:val="heading 2"/>
    <w:basedOn w:val="Normal"/>
    <w:next w:val="Normal"/>
    <w:qFormat/>
    <w:rsid w:val="006E217E"/>
    <w:pPr>
      <w:keepNext/>
      <w:keepLines/>
      <w:spacing w:before="260" w:after="260" w:line="413" w:lineRule="auto"/>
      <w:outlineLvl w:val="1"/>
    </w:pPr>
    <w:rPr>
      <w:rFonts w:ascii="Arial" w:eastAsia="黑体" w:hAnsi="Arial"/>
      <w:b/>
      <w:sz w:val="32"/>
    </w:rPr>
  </w:style>
  <w:style w:type="paragraph" w:styleId="Heading3">
    <w:name w:val="heading 3"/>
    <w:basedOn w:val="Normal"/>
    <w:next w:val="Normal"/>
    <w:qFormat/>
    <w:rsid w:val="006E217E"/>
    <w:pPr>
      <w:keepNext/>
      <w:keepLines/>
      <w:spacing w:before="260" w:after="260" w:line="413" w:lineRule="auto"/>
      <w:outlineLvl w:val="2"/>
    </w:pPr>
    <w:rPr>
      <w:rFonts w:ascii="Calibri" w:hAnsi="Calibri"/>
      <w:b/>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styleId="Strong">
    <w:name w:val="Strong"/>
    <w:basedOn w:val="DefaultParagraphFont"/>
    <w:qFormat/>
    <w:rsid w:val="006E217E"/>
    <w:rPr>
      <w:b/>
      <w:bCs/>
    </w:rPr>
  </w:style>
  <w:style w:type="character" w:styleId="Hyperlink">
    <w:name w:val="Hyperlink"/>
    <w:rsid w:val="006E217E"/>
    <w:rPr>
      <w:color w:val="0000FF"/>
      <w:u w:val="single"/>
    </w:rPr>
  </w:style>
  <w:style w:type="paragraph" w:styleId="TOC3">
    <w:name w:val="toc 3"/>
    <w:basedOn w:val="Normal"/>
    <w:next w:val="Normal"/>
    <w:rsid w:val="006E217E"/>
    <w:pPr>
      <w:ind w:left="840" w:leftChars="400"/>
    </w:pPr>
    <w:rPr>
      <w:rFonts w:ascii="Calibri" w:hAnsi="Calibri"/>
    </w:rPr>
  </w:style>
  <w:style w:type="paragraph" w:styleId="BodyText">
    <w:name w:val="Body Text"/>
    <w:basedOn w:val="Normal"/>
    <w:rsid w:val="006E217E"/>
    <w:pPr>
      <w:spacing w:before="120" w:line="360" w:lineRule="auto"/>
    </w:pPr>
    <w:rPr>
      <w:rFonts w:ascii="仿宋_GB2312" w:eastAsia="仿宋_GB2312" w:hAnsi="Calibri"/>
    </w:rPr>
  </w:style>
  <w:style w:type="paragraph" w:styleId="TOAHeading">
    <w:name w:val="toa heading"/>
    <w:basedOn w:val="Normal"/>
    <w:next w:val="Normal"/>
    <w:rsid w:val="006E217E"/>
    <w:pPr>
      <w:spacing w:before="120"/>
    </w:pPr>
    <w:rPr>
      <w:rFonts w:ascii="Arial" w:hAnsi="Arial"/>
      <w:sz w:val="24"/>
      <w:szCs w:val="20"/>
    </w:rPr>
  </w:style>
  <w:style w:type="paragraph" w:styleId="PlainText">
    <w:name w:val="Plain Text"/>
    <w:basedOn w:val="Normal"/>
    <w:rsid w:val="006E217E"/>
    <w:pPr>
      <w:widowControl/>
      <w:spacing w:before="100" w:beforeAutospacing="1" w:after="100" w:afterAutospacing="1" w:line="360" w:lineRule="auto"/>
      <w:jc w:val="left"/>
    </w:pPr>
    <w:rPr>
      <w:rFonts w:ascii="宋体" w:hAnsi="宋体" w:cs="宋体"/>
      <w:kern w:val="0"/>
      <w:sz w:val="24"/>
    </w:rPr>
  </w:style>
  <w:style w:type="paragraph" w:styleId="TOC2">
    <w:name w:val="toc 2"/>
    <w:basedOn w:val="Normal"/>
    <w:next w:val="Normal"/>
    <w:rsid w:val="006E217E"/>
    <w:pPr>
      <w:ind w:left="420" w:leftChars="200"/>
    </w:pPr>
    <w:rPr>
      <w:rFonts w:ascii="Calibri" w:hAnsi="Calibri"/>
    </w:rPr>
  </w:style>
  <w:style w:type="paragraph" w:styleId="TOC1">
    <w:name w:val="toc 1"/>
    <w:basedOn w:val="Normal"/>
    <w:next w:val="Normal"/>
    <w:rsid w:val="006E217E"/>
    <w:rPr>
      <w:rFonts w:ascii="Calibri" w:hAnsi="Calibri"/>
    </w:rPr>
  </w:style>
  <w:style w:type="paragraph" w:styleId="BodyText2">
    <w:name w:val="Body Text 2"/>
    <w:basedOn w:val="Normal"/>
    <w:rsid w:val="006E217E"/>
    <w:rPr>
      <w:rFonts w:ascii="仿宋_GB2312" w:eastAsia="仿宋_GB2312" w:hAnsi="Calibri" w:hint="eastAsia"/>
      <w:kern w:val="10"/>
      <w:sz w:val="24"/>
    </w:rPr>
  </w:style>
  <w:style w:type="paragraph" w:styleId="NormalWeb">
    <w:name w:val="Normal (Web)"/>
    <w:basedOn w:val="Normal"/>
    <w:rsid w:val="006E217E"/>
    <w:rPr>
      <w:rFonts w:ascii="Calibri" w:hAnsi="Calibri"/>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8004037066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2871</Words>
  <Characters>16371</Characters>
  <Application>Microsoft Office Word</Application>
  <DocSecurity>0</DocSecurity>
  <Lines>136</Lines>
  <Paragraphs>38</Paragraphs>
  <ScaleCrop>false</ScaleCrop>
  <Company>Sky123.Org</Company>
  <LinksUpToDate>false</LinksUpToDate>
  <CharactersWithSpaces>19204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2021-11-05T13:40:00Z</dcterms:created>
  <dcterms:modified xsi:type="dcterms:W3CDTF">2021-11-05T13:40:00Z</dcterms:modified>
</cp:coreProperties>
</file>