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427">
      <w:pPr>
        <w:jc w:val="center"/>
      </w:pPr>
      <w:r>
        <w:br/>
      </w:r>
      <w:r>
        <w:br/>
      </w:r>
      <w:r>
        <w:br/>
      </w:r>
    </w:p>
    <w:p w:rsidR="00A77427">
      <w:pPr>
        <w:jc w:val="center"/>
      </w:pPr>
      <w:r>
        <w:rPr>
          <w:rFonts w:ascii="黑体" w:eastAsia="黑体" w:hAnsi="黑体" w:cs="黑体"/>
          <w:b/>
          <w:bCs/>
          <w:sz w:val="48"/>
          <w:szCs w:val="48"/>
        </w:rPr>
        <w:t>富氢水项目</w:t>
      </w:r>
    </w:p>
    <w:p w:rsidR="00A77427">
      <w:pPr>
        <w:jc w:val="center"/>
      </w:pPr>
      <w:r>
        <w:rPr>
          <w:rFonts w:ascii="黑体" w:eastAsia="黑体" w:hAnsi="黑体" w:cs="黑体"/>
          <w:b/>
          <w:bCs/>
          <w:sz w:val="52"/>
          <w:szCs w:val="52"/>
        </w:rPr>
        <w:t>投资商业计划书</w:t>
      </w:r>
      <w:r>
        <w:br/>
      </w:r>
      <w:r>
        <w:br/>
      </w:r>
      <w:r>
        <w:br/>
      </w:r>
      <w:r>
        <w:br/>
      </w:r>
      <w:r>
        <w:br/>
      </w:r>
      <w:r>
        <w:br/>
      </w:r>
      <w:r>
        <w:br/>
      </w:r>
      <w:r>
        <w:br/>
      </w:r>
      <w:r>
        <w:br/>
      </w:r>
      <w:r>
        <w:br/>
      </w:r>
      <w:r>
        <w:br/>
      </w:r>
      <w:r>
        <w:br/>
      </w:r>
      <w:r>
        <w:br/>
      </w:r>
      <w:r>
        <w:br/>
      </w:r>
    </w:p>
    <w:p w:rsidR="00A77427">
      <w:pPr>
        <w:jc w:val="center"/>
        <w:sectPr w:rsidSect="00A02F19">
          <w:headerReference w:type="even" r:id="rId4"/>
          <w:headerReference w:type="default" r:id="rId5"/>
          <w:footerReference w:type="even" r:id="rId6"/>
          <w:footerReference w:type="default" r:id="rId7"/>
          <w:headerReference w:type="first" r:id="rId8"/>
          <w:footerReference w:type="first" r:id="rId9"/>
          <w:pgSz w:w="12240" w:h="15840"/>
          <w:pgMar w:top="1800" w:right="1200" w:bottom="1200" w:left="1200" w:header="720" w:footer="720" w:gutter="0"/>
          <w:cols w:space="720"/>
          <w:docGrid w:linePitch="360"/>
        </w:sectPr>
      </w:pPr>
      <w:r>
        <w:rPr>
          <w:rFonts w:ascii="黑体" w:eastAsia="黑体" w:hAnsi="黑体" w:cs="黑体"/>
          <w:b/>
          <w:bCs/>
          <w:sz w:val="32"/>
          <w:szCs w:val="32"/>
        </w:rPr>
        <w:t>xxx有限责任公司</w:t>
      </w:r>
    </w:p>
    <w:p w:rsidR="00A77427">
      <w:pPr>
        <w:jc w:val="center"/>
      </w:pPr>
      <w:r>
        <w:br/>
      </w:r>
      <w:r>
        <w:br/>
      </w:r>
      <w:r>
        <w:br/>
      </w:r>
    </w:p>
    <w:p w:rsidR="00A77427">
      <w:pPr>
        <w:jc w:val="center"/>
      </w:pPr>
      <w:r>
        <w:rPr>
          <w:rFonts w:ascii="黑体" w:eastAsia="黑体" w:hAnsi="黑体" w:cs="黑体"/>
          <w:b/>
          <w:bCs/>
          <w:sz w:val="48"/>
          <w:szCs w:val="48"/>
        </w:rPr>
        <w:t>富氢水项目</w:t>
      </w:r>
    </w:p>
    <w:p w:rsidR="00A77427">
      <w:pPr>
        <w:jc w:val="center"/>
      </w:pPr>
      <w:r>
        <w:rPr>
          <w:rFonts w:ascii="黑体" w:eastAsia="黑体" w:hAnsi="黑体" w:cs="黑体"/>
          <w:b/>
          <w:bCs/>
          <w:sz w:val="52"/>
          <w:szCs w:val="52"/>
        </w:rPr>
        <w:t>投资商业计划书</w:t>
      </w:r>
      <w:r>
        <w:br/>
      </w:r>
      <w:r>
        <w:br/>
      </w:r>
      <w:r>
        <w:br/>
      </w:r>
      <w:r>
        <w:br/>
      </w:r>
      <w:r>
        <w:br/>
      </w:r>
      <w:r>
        <w:br/>
      </w:r>
      <w:r>
        <w:br/>
      </w:r>
      <w:r>
        <w:br/>
      </w:r>
      <w:r>
        <w:br/>
      </w:r>
      <w:r>
        <w:br/>
      </w:r>
      <w:r>
        <w:br/>
      </w:r>
      <w:r>
        <w:br/>
      </w:r>
      <w:r>
        <w:br/>
      </w:r>
      <w:r>
        <w:br/>
      </w:r>
    </w:p>
    <w:p w:rsidR="00A77427">
      <w:pPr>
        <w:jc w:val="center"/>
        <w:sectPr w:rsidSect="00A02F19">
          <w:headerReference w:type="even" r:id="rId10"/>
          <w:headerReference w:type="default" r:id="rId11"/>
          <w:footerReference w:type="even" r:id="rId12"/>
          <w:footerReference w:type="default" r:id="rId13"/>
          <w:headerReference w:type="first" r:id="rId14"/>
          <w:footerReference w:type="first" r:id="rId15"/>
          <w:pgSz w:w="12240" w:h="15840"/>
          <w:pgMar w:top="1800" w:right="1200" w:bottom="1200" w:left="1200" w:header="720" w:footer="720" w:gutter="0"/>
          <w:cols w:space="720"/>
          <w:docGrid w:linePitch="360"/>
        </w:sectPr>
      </w:pPr>
      <w:r>
        <w:rPr>
          <w:rFonts w:ascii="黑体" w:eastAsia="黑体" w:hAnsi="黑体" w:cs="黑体"/>
          <w:b/>
          <w:bCs/>
          <w:sz w:val="32"/>
          <w:szCs w:val="32"/>
        </w:rPr>
        <w:t>xxx有限责任公司</w:t>
      </w:r>
    </w:p>
    <w:p w:rsidR="00A77427">
      <w:pPr>
        <w:jc w:val="center"/>
      </w:pPr>
      <w:r>
        <w:br/>
      </w:r>
      <w:r>
        <w:rPr>
          <w:rFonts w:ascii="黑体" w:eastAsia="黑体" w:hAnsi="黑体" w:cs="黑体"/>
          <w:b/>
          <w:bCs/>
          <w:sz w:val="30"/>
          <w:szCs w:val="30"/>
        </w:rPr>
        <w:t>富氢水项目投资商业计划书目录</w:t>
      </w:r>
      <w:r>
        <w:br/>
      </w:r>
    </w:p>
    <w:p w:rsidR="00A77427">
      <w:pPr>
        <w:ind w:firstLine="600"/>
      </w:pPr>
      <w:r>
        <w:rPr>
          <w:rFonts w:ascii="仿宋" w:eastAsia="仿宋" w:hAnsi="仿宋" w:cs="仿宋"/>
          <w:sz w:val="32"/>
          <w:szCs w:val="32"/>
        </w:rPr>
        <w:t>第一章 项目概况</w:t>
      </w:r>
    </w:p>
    <w:p w:rsidR="00A77427">
      <w:pPr>
        <w:ind w:firstLine="600"/>
      </w:pPr>
      <w:r>
        <w:rPr>
          <w:rFonts w:ascii="仿宋" w:eastAsia="仿宋" w:hAnsi="仿宋" w:cs="仿宋"/>
          <w:sz w:val="32"/>
          <w:szCs w:val="32"/>
        </w:rPr>
        <w:t>第二章 建设背景及必要性</w:t>
      </w:r>
    </w:p>
    <w:p w:rsidR="00A77427">
      <w:pPr>
        <w:ind w:firstLine="600"/>
      </w:pPr>
      <w:r>
        <w:rPr>
          <w:rFonts w:ascii="仿宋" w:eastAsia="仿宋" w:hAnsi="仿宋" w:cs="仿宋"/>
          <w:sz w:val="32"/>
          <w:szCs w:val="32"/>
        </w:rPr>
        <w:t>第三章 产业研究分析</w:t>
      </w:r>
    </w:p>
    <w:p w:rsidR="00A77427">
      <w:pPr>
        <w:ind w:firstLine="600"/>
      </w:pPr>
      <w:r>
        <w:rPr>
          <w:rFonts w:ascii="仿宋" w:eastAsia="仿宋" w:hAnsi="仿宋" w:cs="仿宋"/>
          <w:sz w:val="32"/>
          <w:szCs w:val="32"/>
        </w:rPr>
        <w:t>第四章 项目建设内容分析</w:t>
      </w:r>
    </w:p>
    <w:p w:rsidR="00A77427">
      <w:pPr>
        <w:ind w:firstLine="600"/>
      </w:pPr>
      <w:r>
        <w:rPr>
          <w:rFonts w:ascii="仿宋" w:eastAsia="仿宋" w:hAnsi="仿宋" w:cs="仿宋"/>
          <w:sz w:val="32"/>
          <w:szCs w:val="32"/>
        </w:rPr>
        <w:t>第五章 项目工程设计</w:t>
      </w:r>
    </w:p>
    <w:p w:rsidR="00A77427">
      <w:pPr>
        <w:ind w:firstLine="600"/>
      </w:pPr>
      <w:r>
        <w:rPr>
          <w:rFonts w:ascii="仿宋" w:eastAsia="仿宋" w:hAnsi="仿宋" w:cs="仿宋"/>
          <w:sz w:val="32"/>
          <w:szCs w:val="32"/>
        </w:rPr>
        <w:t>第六章 运营管理模式</w:t>
      </w:r>
    </w:p>
    <w:p w:rsidR="00A77427">
      <w:pPr>
        <w:ind w:firstLine="600"/>
      </w:pPr>
      <w:r>
        <w:rPr>
          <w:rFonts w:ascii="仿宋" w:eastAsia="仿宋" w:hAnsi="仿宋" w:cs="仿宋"/>
          <w:sz w:val="32"/>
          <w:szCs w:val="32"/>
        </w:rPr>
        <w:t>第七章 项目风险评价分析</w:t>
      </w:r>
    </w:p>
    <w:p w:rsidR="00A77427">
      <w:pPr>
        <w:ind w:firstLine="600"/>
      </w:pPr>
      <w:r>
        <w:rPr>
          <w:rFonts w:ascii="仿宋" w:eastAsia="仿宋" w:hAnsi="仿宋" w:cs="仿宋"/>
          <w:sz w:val="32"/>
          <w:szCs w:val="32"/>
        </w:rPr>
        <w:t>第八章 SWOT分析</w:t>
      </w:r>
    </w:p>
    <w:p w:rsidR="00A77427">
      <w:pPr>
        <w:ind w:firstLine="600"/>
      </w:pPr>
      <w:r>
        <w:rPr>
          <w:rFonts w:ascii="仿宋" w:eastAsia="仿宋" w:hAnsi="仿宋" w:cs="仿宋"/>
          <w:sz w:val="32"/>
          <w:szCs w:val="32"/>
        </w:rPr>
        <w:t>第九章 实施方案</w:t>
      </w:r>
    </w:p>
    <w:p w:rsidR="00A77427">
      <w:pPr>
        <w:ind w:firstLine="600"/>
      </w:pPr>
      <w:r>
        <w:rPr>
          <w:rFonts w:ascii="仿宋" w:eastAsia="仿宋" w:hAnsi="仿宋" w:cs="仿宋"/>
          <w:sz w:val="32"/>
          <w:szCs w:val="32"/>
        </w:rPr>
        <w:t>第十章 项目投资方案</w:t>
      </w:r>
    </w:p>
    <w:p w:rsidR="00A77427">
      <w:pPr>
        <w:ind w:firstLine="600"/>
      </w:pPr>
      <w:r>
        <w:rPr>
          <w:rFonts w:ascii="仿宋" w:eastAsia="仿宋" w:hAnsi="仿宋" w:cs="仿宋"/>
          <w:sz w:val="32"/>
          <w:szCs w:val="32"/>
        </w:rPr>
        <w:t>第十一章 项目盈利能力分析</w:t>
      </w:r>
    </w:p>
    <w:p w:rsidR="00A77427">
      <w:pPr>
        <w:ind w:firstLine="600"/>
        <w:sectPr w:rsidSect="00A02F19">
          <w:headerReference w:type="even" r:id="rId16"/>
          <w:headerReference w:type="default" r:id="rId17"/>
          <w:footerReference w:type="even" r:id="rId18"/>
          <w:footerReference w:type="default" r:id="rId19"/>
          <w:headerReference w:type="first" r:id="rId20"/>
          <w:footerReference w:type="first" r:id="rId21"/>
          <w:type w:val="nextPage"/>
          <w:pgSz w:w="12240" w:h="15840"/>
          <w:pgMar w:top="1800" w:right="1200" w:bottom="1200" w:left="1200" w:header="720" w:footer="720" w:gutter="0"/>
          <w:pgNumType w:start="2"/>
          <w:cols w:space="720"/>
          <w:titlePg w:val="0"/>
          <w:docGrid w:linePitch="360"/>
        </w:sectPr>
      </w:pPr>
      <w:r>
        <w:rPr>
          <w:rFonts w:ascii="仿宋" w:eastAsia="仿宋" w:hAnsi="仿宋" w:cs="仿宋"/>
          <w:sz w:val="32"/>
          <w:szCs w:val="32"/>
        </w:rPr>
        <w:t>第十二章 总结说明</w:t>
      </w:r>
    </w:p>
    <w:p w:rsidR="00A77427">
      <w:pPr>
        <w:jc w:val="center"/>
      </w:pPr>
      <w:r>
        <w:br/>
      </w:r>
    </w:p>
    <w:p w:rsidR="00A77427">
      <w:pPr>
        <w:jc w:val="center"/>
      </w:pPr>
      <w:r>
        <w:rPr>
          <w:rFonts w:ascii="黑体" w:eastAsia="黑体" w:hAnsi="黑体" w:cs="黑体"/>
          <w:sz w:val="32"/>
          <w:szCs w:val="32"/>
        </w:rPr>
        <w:t>摘要</w:t>
      </w:r>
    </w:p>
    <w:p w:rsidR="00A77427">
      <w:pPr>
        <w:ind w:firstLine="600"/>
      </w:pPr>
      <w:r>
        <w:rPr>
          <w:rFonts w:ascii="仿宋" w:eastAsia="仿宋" w:hAnsi="仿宋" w:cs="仿宋"/>
          <w:sz w:val="32"/>
          <w:szCs w:val="32"/>
        </w:rPr>
        <w:t>该富氢水项目计划总投资20658.40万元，其中：固定资产投资15657.32万元，占项目总投资的75.79%；流动资金5001.08万元，占项目总投资的24.21%。</w:t>
      </w:r>
    </w:p>
    <w:p w:rsidR="00A77427">
      <w:pPr>
        <w:ind w:firstLine="600"/>
      </w:pPr>
      <w:r>
        <w:rPr>
          <w:rFonts w:ascii="仿宋" w:eastAsia="仿宋" w:hAnsi="仿宋" w:cs="仿宋"/>
          <w:sz w:val="32"/>
          <w:szCs w:val="32"/>
        </w:rPr>
        <w:t>达产年营业收入33425.00万元，总成本费用26225.15万元，税金及附加349.39万元，利润总额7199.85万元，利税总额8542.32万元，税后净利润5399.89万元，达产年纳税总额3142.43万元；达产年投资利润率34.85%，投资利税率41.35%，投资回报率26.14%，全部投资回收期5.33年，提供就业职位703个。</w:t>
      </w:r>
    </w:p>
    <w:p w:rsidR="00A77427">
      <w:pPr>
        <w:ind w:firstLine="600"/>
        <w:sectPr w:rsidSect="00A02F19">
          <w:headerReference w:type="even" r:id="rId22"/>
          <w:headerReference w:type="default" r:id="rId23"/>
          <w:footerReference w:type="even" r:id="rId24"/>
          <w:footerReference w:type="default" r:id="rId25"/>
          <w:headerReference w:type="first" r:id="rId26"/>
          <w:footerReference w:type="first" r:id="rId27"/>
          <w:type w:val="nextPage"/>
          <w:pgSz w:w="12240" w:h="15840"/>
          <w:pgMar w:top="1800" w:right="1200" w:bottom="1200" w:left="1200" w:header="720" w:footer="720" w:gutter="0"/>
          <w:pgNumType w:start="3"/>
          <w:cols w:space="720"/>
          <w:titlePg w:val="0"/>
          <w:docGrid w:linePitch="360"/>
        </w:sectPr>
      </w:pPr>
      <w:r>
        <w:rPr>
          <w:rFonts w:ascii="仿宋" w:eastAsia="仿宋" w:hAnsi="仿宋" w:cs="仿宋"/>
          <w:sz w:val="32"/>
          <w:szCs w:val="32"/>
        </w:rPr>
        <w:t>坚持安全生产的原则。项目承办单位要认真贯彻执行国家有关建设项目消防、安全、卫生、劳动保护和环境保护的管理规定，认真贯彻落实“三同时”原则，项目设计上充分考虑生产设施在上述各方面的投资，务必做到环境保护、安全生产及消防工作贯穿于项目的设计、建设和投产的整个过程。</w:t>
      </w:r>
    </w:p>
    <w:p w:rsidR="00A77427">
      <w:pPr>
        <w:jc w:val="center"/>
      </w:pPr>
      <w:r>
        <w:rPr>
          <w:rFonts w:ascii="黑体" w:eastAsia="黑体" w:hAnsi="黑体" w:cs="黑体"/>
          <w:b/>
          <w:bCs/>
          <w:sz w:val="32"/>
          <w:szCs w:val="32"/>
        </w:rPr>
        <w:t>第一章  项目概况</w:t>
      </w:r>
      <w:r>
        <w:br/>
      </w:r>
    </w:p>
    <w:p w:rsidR="00A77427">
      <w:pPr>
        <w:ind w:firstLine="600"/>
      </w:pPr>
      <w:r>
        <w:rPr>
          <w:rFonts w:ascii="黑体" w:eastAsia="黑体" w:hAnsi="黑体" w:cs="黑体"/>
          <w:b/>
          <w:bCs/>
          <w:sz w:val="32"/>
          <w:szCs w:val="32"/>
        </w:rPr>
        <w:t>一、项目名称及建设性质</w:t>
      </w:r>
    </w:p>
    <w:p w:rsidR="00A77427">
      <w:pPr>
        <w:ind w:firstLine="600"/>
      </w:pPr>
      <w:r>
        <w:rPr>
          <w:rFonts w:ascii="仿宋" w:eastAsia="仿宋" w:hAnsi="仿宋" w:cs="仿宋"/>
          <w:b/>
          <w:bCs/>
          <w:sz w:val="32"/>
          <w:szCs w:val="32"/>
        </w:rPr>
        <w:t>（一）项目名称</w:t>
      </w:r>
    </w:p>
    <w:p w:rsidR="00A77427">
      <w:pPr>
        <w:ind w:firstLine="600"/>
      </w:pPr>
      <w:r>
        <w:rPr>
          <w:rFonts w:ascii="仿宋" w:eastAsia="仿宋" w:hAnsi="仿宋" w:cs="仿宋"/>
          <w:sz w:val="32"/>
          <w:szCs w:val="32"/>
        </w:rPr>
        <w:t>富氢水项目</w:t>
      </w:r>
    </w:p>
    <w:p w:rsidR="00A77427">
      <w:pPr>
        <w:ind w:firstLine="600"/>
      </w:pPr>
      <w:r>
        <w:rPr>
          <w:rFonts w:ascii="仿宋" w:eastAsia="仿宋" w:hAnsi="仿宋" w:cs="仿宋"/>
          <w:b/>
          <w:bCs/>
          <w:sz w:val="32"/>
          <w:szCs w:val="32"/>
        </w:rPr>
        <w:t>（二）项目建设性质</w:t>
      </w:r>
    </w:p>
    <w:p w:rsidR="00A77427">
      <w:pPr>
        <w:ind w:firstLine="600"/>
      </w:pPr>
      <w:r>
        <w:rPr>
          <w:rFonts w:ascii="仿宋" w:eastAsia="仿宋" w:hAnsi="仿宋" w:cs="仿宋"/>
          <w:sz w:val="32"/>
          <w:szCs w:val="32"/>
        </w:rPr>
        <w:t>该项目属于新建项目，依托某科技园良好的产业基础和创新氛围，充分发挥区位优势，全力打造以富氢水为核心的综合性产业基地，年产值可达33000.00万元。</w:t>
      </w:r>
    </w:p>
    <w:p w:rsidR="00A77427">
      <w:pPr>
        <w:ind w:firstLine="600"/>
      </w:pPr>
      <w:r>
        <w:rPr>
          <w:rFonts w:ascii="黑体" w:eastAsia="黑体" w:hAnsi="黑体" w:cs="黑体"/>
          <w:b/>
          <w:bCs/>
          <w:sz w:val="32"/>
          <w:szCs w:val="32"/>
        </w:rPr>
        <w:t>二、项目承办单位</w:t>
      </w:r>
    </w:p>
    <w:p w:rsidR="00A77427">
      <w:pPr>
        <w:ind w:firstLine="600"/>
      </w:pPr>
      <w:r>
        <w:rPr>
          <w:rFonts w:ascii="仿宋" w:eastAsia="仿宋" w:hAnsi="仿宋" w:cs="仿宋"/>
          <w:sz w:val="32"/>
          <w:szCs w:val="32"/>
        </w:rPr>
        <w:t>xxx有限责任公司</w:t>
      </w:r>
    </w:p>
    <w:p w:rsidR="00A77427">
      <w:pPr>
        <w:ind w:firstLine="600"/>
      </w:pPr>
      <w:r>
        <w:rPr>
          <w:rFonts w:ascii="黑体" w:eastAsia="黑体" w:hAnsi="黑体" w:cs="黑体"/>
          <w:b/>
          <w:bCs/>
          <w:sz w:val="32"/>
          <w:szCs w:val="32"/>
        </w:rPr>
        <w:t>三、战略合作单位</w:t>
      </w:r>
    </w:p>
    <w:p w:rsidR="00A77427">
      <w:pPr>
        <w:ind w:firstLine="600"/>
      </w:pPr>
      <w:r>
        <w:rPr>
          <w:rFonts w:ascii="仿宋" w:eastAsia="仿宋" w:hAnsi="仿宋" w:cs="仿宋"/>
          <w:sz w:val="32"/>
          <w:szCs w:val="32"/>
        </w:rPr>
        <w:t>xxx有限责任公司</w:t>
      </w:r>
    </w:p>
    <w:p w:rsidR="00A77427">
      <w:pPr>
        <w:ind w:firstLine="600"/>
      </w:pPr>
      <w:r>
        <w:rPr>
          <w:rFonts w:ascii="黑体" w:eastAsia="黑体" w:hAnsi="黑体" w:cs="黑体"/>
          <w:b/>
          <w:bCs/>
          <w:sz w:val="32"/>
          <w:szCs w:val="32"/>
        </w:rPr>
        <w:t>四、项目建设背景</w:t>
      </w:r>
    </w:p>
    <w:p w:rsidR="00A77427">
      <w:pPr>
        <w:ind w:firstLine="600"/>
        <w:sectPr w:rsidSect="00A02F19">
          <w:headerReference w:type="even" r:id="rId28"/>
          <w:headerReference w:type="default" r:id="rId29"/>
          <w:footerReference w:type="even" r:id="rId30"/>
          <w:footerReference w:type="default" r:id="rId31"/>
          <w:headerReference w:type="first" r:id="rId32"/>
          <w:footerReference w:type="first" r:id="rId33"/>
          <w:type w:val="nextPage"/>
          <w:pgSz w:w="12240" w:h="15840"/>
          <w:pgMar w:top="1800" w:right="1200" w:bottom="1200" w:left="1200" w:header="720" w:footer="720" w:gutter="0"/>
          <w:pgNumType w:start="4"/>
          <w:cols w:space="720"/>
          <w:titlePg w:val="0"/>
          <w:docGrid w:linePitch="360"/>
        </w:sectPr>
      </w:pPr>
    </w:p>
    <w:p w:rsidR="00A77427">
      <w:pPr>
        <w:ind w:firstLine="600"/>
      </w:pPr>
      <w:r>
        <w:rPr>
          <w:rFonts w:ascii="仿宋" w:eastAsia="仿宋" w:hAnsi="仿宋" w:cs="仿宋"/>
          <w:sz w:val="32"/>
          <w:szCs w:val="32"/>
        </w:rPr>
        <w:t>某科技园把加快发展作为主题，以经济结构的战略性调整为主线，大力调整产业结构，加强基础设施建设，积极推进对外开放，加速观念创新、体制创新、科技创新和管理创新，努力提高经济的竞争力和经济增长的质量和效益。该项目的建设，通过科学的产业规划和发展定位可成为某科技园示范项目，有利于吸引科技创新型中小企业投资，吸引市内外、省内外、国内外的资本、人才、技术以及先进的管理方法、经验集聚某科技园，进一步巩固某科技园招商引资竞争力。</w:t>
      </w:r>
    </w:p>
    <w:p w:rsidR="00A77427">
      <w:pPr>
        <w:ind w:firstLine="600"/>
      </w:pPr>
      <w:r>
        <w:rPr>
          <w:rFonts w:ascii="黑体" w:eastAsia="黑体" w:hAnsi="黑体" w:cs="黑体"/>
          <w:b/>
          <w:bCs/>
          <w:sz w:val="32"/>
          <w:szCs w:val="32"/>
        </w:rPr>
        <w:t>五、投资估算及经济效益分析</w:t>
      </w:r>
    </w:p>
    <w:p w:rsidR="00A77427">
      <w:pPr>
        <w:ind w:firstLine="600"/>
      </w:pPr>
      <w:r>
        <w:rPr>
          <w:rFonts w:ascii="仿宋" w:eastAsia="仿宋" w:hAnsi="仿宋" w:cs="仿宋"/>
          <w:b/>
          <w:bCs/>
          <w:sz w:val="32"/>
          <w:szCs w:val="32"/>
        </w:rPr>
        <w:t>（一）项目总投资及资金构成</w:t>
      </w:r>
    </w:p>
    <w:p w:rsidR="00A77427">
      <w:pPr>
        <w:ind w:firstLine="600"/>
      </w:pPr>
      <w:r>
        <w:rPr>
          <w:rFonts w:ascii="仿宋" w:eastAsia="仿宋" w:hAnsi="仿宋" w:cs="仿宋"/>
          <w:sz w:val="32"/>
          <w:szCs w:val="32"/>
        </w:rPr>
        <w:t>项目预计总投资20658.40万元，其中：固定资产投资15657.32万元，占项目总投资的75.79%；流动资金5001.08万元，占项目总投资的24.21%。</w:t>
      </w:r>
    </w:p>
    <w:p w:rsidR="00A77427">
      <w:pPr>
        <w:ind w:firstLine="600"/>
      </w:pPr>
      <w:r>
        <w:rPr>
          <w:rFonts w:ascii="仿宋" w:eastAsia="仿宋" w:hAnsi="仿宋" w:cs="仿宋"/>
          <w:b/>
          <w:bCs/>
          <w:sz w:val="32"/>
          <w:szCs w:val="32"/>
        </w:rPr>
        <w:t>（二）资金筹措</w:t>
      </w:r>
    </w:p>
    <w:p w:rsidR="00A77427">
      <w:pPr>
        <w:ind w:firstLine="600"/>
      </w:pPr>
      <w:r>
        <w:rPr>
          <w:rFonts w:ascii="仿宋" w:eastAsia="仿宋" w:hAnsi="仿宋" w:cs="仿宋"/>
          <w:sz w:val="32"/>
          <w:szCs w:val="32"/>
        </w:rPr>
        <w:t>该项目现阶段投资均由企业自筹。</w:t>
      </w:r>
    </w:p>
    <w:p w:rsidR="00A77427">
      <w:pPr>
        <w:ind w:firstLine="600"/>
      </w:pPr>
      <w:r>
        <w:rPr>
          <w:rFonts w:ascii="仿宋" w:eastAsia="仿宋" w:hAnsi="仿宋" w:cs="仿宋"/>
          <w:b/>
          <w:bCs/>
          <w:sz w:val="32"/>
          <w:szCs w:val="32"/>
        </w:rPr>
        <w:t>（三）项目预期经济效益规划目标</w:t>
      </w:r>
    </w:p>
    <w:p w:rsidR="00A77427">
      <w:pPr>
        <w:ind w:firstLine="600"/>
      </w:pPr>
      <w:r>
        <w:rPr>
          <w:rFonts w:ascii="仿宋" w:eastAsia="仿宋" w:hAnsi="仿宋" w:cs="仿宋"/>
          <w:sz w:val="32"/>
          <w:szCs w:val="32"/>
        </w:rPr>
        <w:t>项目预期达产年营业收入33425.00万元，总成本费用26225.15万元，税金及附加349.39万元，利润总额7199.85万元，利税总额8542.32万元，税后净利润5399.89万元，达产年纳税总额3142.43万元；达产年投资利润率34.85%，投资利税率41.35%，投资回报率26.14%，全部投资回收期5.33年，提供就业职位703个。</w:t>
      </w:r>
    </w:p>
    <w:p w:rsidR="00A77427">
      <w:pPr>
        <w:ind w:firstLine="600"/>
      </w:pPr>
      <w:r>
        <w:rPr>
          <w:rFonts w:ascii="黑体" w:eastAsia="黑体" w:hAnsi="黑体" w:cs="黑体"/>
          <w:b/>
          <w:bCs/>
          <w:sz w:val="32"/>
          <w:szCs w:val="32"/>
        </w:rPr>
        <w:t>十、项目评价</w:t>
      </w:r>
    </w:p>
    <w:p w:rsidR="00A77427">
      <w:pPr>
        <w:ind w:firstLine="600"/>
        <w:sectPr w:rsidSect="00A02F19">
          <w:headerReference w:type="even" r:id="rId34"/>
          <w:headerReference w:type="default" r:id="rId35"/>
          <w:footerReference w:type="even" r:id="rId36"/>
          <w:footerReference w:type="default" r:id="rId37"/>
          <w:headerReference w:type="first" r:id="rId38"/>
          <w:footerReference w:type="first" r:id="rId39"/>
          <w:type w:val="nextPage"/>
          <w:pgSz w:w="12240" w:h="15840"/>
          <w:pgMar w:top="1800" w:right="1200" w:bottom="1200" w:left="1200" w:header="720" w:footer="720" w:gutter="0"/>
          <w:pgNumType w:start="5"/>
          <w:cols w:space="720"/>
          <w:titlePg w:val="0"/>
          <w:docGrid w:linePitch="360"/>
        </w:sectPr>
      </w:pPr>
    </w:p>
    <w:p w:rsidR="00A77427">
      <w:pPr>
        <w:ind w:firstLine="600"/>
      </w:pPr>
      <w:r>
        <w:rPr>
          <w:rFonts w:ascii="仿宋" w:eastAsia="仿宋" w:hAnsi="仿宋" w:cs="仿宋"/>
          <w:sz w:val="32"/>
          <w:szCs w:val="32"/>
        </w:rPr>
        <w:t>1、本期工程项目符合国家产业发展政策和规划要求，符合某科技园及某科技园富氢水行业布局和结构调整政策；项目的建设对促进某科技园富氢水产业结构、技术结构、组织结构、产品结构的调整优化有着积极的推动意义。</w:t>
      </w:r>
    </w:p>
    <w:p w:rsidR="00A77427">
      <w:pPr>
        <w:ind w:firstLine="600"/>
      </w:pPr>
      <w:r>
        <w:rPr>
          <w:rFonts w:ascii="仿宋" w:eastAsia="仿宋" w:hAnsi="仿宋" w:cs="仿宋"/>
          <w:sz w:val="32"/>
          <w:szCs w:val="32"/>
        </w:rPr>
        <w:t>2、xxx实业发展公司为适应国内外市场需求，拟建“富氢水项目”，项目的建设能够有力促进某科技园经济发展，为社会提供就业职位703个，达产年纳税总额3142.43万元，可以促进某科技园区域经济的繁荣发展和社会稳定，为地方财政收入做出积极的贡献。</w:t>
      </w:r>
    </w:p>
    <w:p w:rsidR="00A77427">
      <w:pPr>
        <w:ind w:firstLine="600"/>
      </w:pPr>
      <w:r>
        <w:rPr>
          <w:rFonts w:ascii="仿宋" w:eastAsia="仿宋" w:hAnsi="仿宋" w:cs="仿宋"/>
          <w:sz w:val="32"/>
          <w:szCs w:val="32"/>
        </w:rPr>
        <w:t>3、项目达产年投资利润率34.85%，投资利税率41.35%，全部投资回报率26.14%，全部投资回收期5.33年，固定资产投资回收期5.33年（含建设期），项目具有较强的盈利能力和抗风险能力。</w:t>
      </w:r>
    </w:p>
    <w:p w:rsidR="00A77427">
      <w:pPr>
        <w:ind w:firstLine="600"/>
        <w:sectPr w:rsidSect="00A02F19">
          <w:headerReference w:type="even" r:id="rId40"/>
          <w:headerReference w:type="default" r:id="rId41"/>
          <w:footerReference w:type="even" r:id="rId42"/>
          <w:footerReference w:type="default" r:id="rId43"/>
          <w:headerReference w:type="first" r:id="rId44"/>
          <w:footerReference w:type="first" r:id="rId45"/>
          <w:type w:val="nextPage"/>
          <w:pgSz w:w="12240" w:h="15840"/>
          <w:pgMar w:top="1800" w:right="1200" w:bottom="1200" w:left="1200" w:header="720" w:footer="720" w:gutter="0"/>
          <w:pgNumType w:start="6"/>
          <w:cols w:space="720"/>
          <w:titlePg w:val="0"/>
          <w:docGrid w:linePitch="360"/>
        </w:sectPr>
      </w:pPr>
    </w:p>
    <w:p w:rsidR="00A77427">
      <w:pPr>
        <w:ind w:firstLine="600"/>
        <w:sectPr w:rsidSect="00A02F19">
          <w:headerReference w:type="even" r:id="rId46"/>
          <w:headerReference w:type="default" r:id="rId47"/>
          <w:footerReference w:type="even" r:id="rId48"/>
          <w:footerReference w:type="default" r:id="rId49"/>
          <w:headerReference w:type="first" r:id="rId50"/>
          <w:footerReference w:type="first" r:id="rId51"/>
          <w:type w:val="nextPage"/>
          <w:pgSz w:w="12240" w:h="15840"/>
          <w:pgMar w:top="1800" w:right="1200" w:bottom="1200" w:left="1200" w:header="720" w:footer="720" w:gutter="0"/>
          <w:pgNumType w:start="7"/>
          <w:cols w:space="720"/>
          <w:titlePg w:val="0"/>
          <w:docGrid w:linePitch="360"/>
        </w:sectPr>
      </w:pPr>
      <w:r>
        <w:rPr>
          <w:rFonts w:ascii="仿宋" w:eastAsia="仿宋" w:hAnsi="仿宋" w:cs="仿宋"/>
          <w:sz w:val="32"/>
          <w:szCs w:val="32"/>
        </w:rPr>
        <w:t>4、中共中央、国务院发布《关于深化投融资体制改革的意见》，提出建立完善企业自主决策、融资渠道畅通，职能转变到位、政府行为规范，宏观调控有效、法治保障健全的新型投融资体制。改善企业投资管理，充分激发社会投资动力和活力，完善政府投资体制，发挥好政府投资的引导和带动作用，创新融资机制，畅通投资项目融资渠道。民间投资是我国制造业发展的主要力量，约占制造业投资的85%以上，党中央、国务院一直高度重视民间投资的健康发展。为贯彻党的十九大精神，落实国务院对促进民间投资的一系列工作部署，工业和信息化部与发展改革委、科技部、财政部等15个相关部门和单位联合印发了《关于发挥民间投资作用推进实施制造强国战略的指导意见》，围绕《中国制造2025》，明确了促进民营制造业企业健康发展的指导思想、主要任务和保障措施，旨在释放民间投资活力，引导民营制造业企业转型升级，加快制造强国建设。</w:t>
      </w:r>
    </w:p>
    <w:p w:rsidR="00A77427">
      <w:pPr>
        <w:jc w:val="center"/>
      </w:pPr>
      <w:r>
        <w:rPr>
          <w:rFonts w:ascii="黑体" w:eastAsia="黑体" w:hAnsi="黑体" w:cs="黑体"/>
          <w:b/>
          <w:bCs/>
          <w:sz w:val="32"/>
          <w:szCs w:val="32"/>
        </w:rPr>
        <w:t>第二章  建设背景及必要性</w:t>
      </w:r>
      <w:r>
        <w:br/>
      </w:r>
    </w:p>
    <w:p w:rsidR="00A77427">
      <w:pPr>
        <w:ind w:firstLine="600"/>
      </w:pPr>
      <w:r>
        <w:rPr>
          <w:rFonts w:ascii="黑体" w:eastAsia="黑体" w:hAnsi="黑体" w:cs="黑体"/>
          <w:b/>
          <w:bCs/>
          <w:sz w:val="32"/>
          <w:szCs w:val="32"/>
        </w:rPr>
        <w:t>一、项目承办单位背景分析</w:t>
      </w:r>
    </w:p>
    <w:p w:rsidR="00A77427">
      <w:pPr>
        <w:ind w:firstLine="600"/>
      </w:pPr>
      <w:r>
        <w:rPr>
          <w:rFonts w:ascii="仿宋" w:eastAsia="仿宋" w:hAnsi="仿宋" w:cs="仿宋"/>
          <w:b/>
          <w:bCs/>
          <w:sz w:val="32"/>
          <w:szCs w:val="32"/>
        </w:rPr>
        <w:t>（一）公司概况</w:t>
      </w:r>
    </w:p>
    <w:p w:rsidR="00A77427">
      <w:pPr>
        <w:ind w:firstLine="600"/>
      </w:pPr>
    </w:p>
    <w:p w:rsidR="00A77427">
      <w:pPr>
        <w:ind w:firstLine="600"/>
        <w:sectPr w:rsidSect="00A02F19">
          <w:headerReference w:type="even" r:id="rId52"/>
          <w:headerReference w:type="default" r:id="rId53"/>
          <w:footerReference w:type="even" r:id="rId54"/>
          <w:footerReference w:type="default" r:id="rId55"/>
          <w:headerReference w:type="first" r:id="rId56"/>
          <w:footerReference w:type="first" r:id="rId57"/>
          <w:type w:val="nextPage"/>
          <w:pgSz w:w="12240" w:h="15840"/>
          <w:pgMar w:top="1800" w:right="1200" w:bottom="1200" w:left="1200" w:header="720" w:footer="720" w:gutter="0"/>
          <w:pgNumType w:start="8"/>
          <w:cols w:space="720"/>
          <w:titlePg w:val="0"/>
          <w:docGrid w:linePitch="360"/>
        </w:sectPr>
      </w:pPr>
      <w:r>
        <w:rPr>
          <w:rFonts w:ascii="仿宋" w:eastAsia="仿宋" w:hAnsi="仿宋" w:cs="仿宋"/>
          <w:sz w:val="32"/>
          <w:szCs w:val="32"/>
        </w:rPr>
        <w:t>公司不断加强新产品的研制开发力度，通过开发新品种、优化产品结构来增强市场竞争力，产品畅销全国各地，深受广大客户的好评；通过多年经验积累，建立了稳定的原料供给和产品销售网络；公司不断强化和提高企业管理水平，健全质量管理和质量保证体系，严格按照ISO9000标准组织生产，并坚持以质量求效益的发展之路，不断强化和提高企业管理水平，实现企业发展速度与产品结构、质量、效益相统一，坚持在结构调整中发展总量的原则，走可持续发展的新型工业化道路。公司是按照现代企业制度建立的有限责任公司，公司最高机构为股东大会，日常经营管理为总经理负责制，企业设有技术、质量、采购、销售、客户服务、生产、综合管理、后勤及财务等部门，公司致力于为市场提供品质优良的项目产品，凭借强大的技术支持和全新服务理念，不断为顾客提供系统的解决方案、优质的产品和贴心的服务。</w:t>
      </w:r>
    </w:p>
    <w:p w:rsidR="00A77427">
      <w:pPr>
        <w:ind w:firstLine="600"/>
      </w:pPr>
      <w:r>
        <w:rPr>
          <w:rFonts w:ascii="仿宋" w:eastAsia="仿宋" w:hAnsi="仿宋" w:cs="仿宋"/>
          <w:sz w:val="32"/>
          <w:szCs w:val="32"/>
        </w:rPr>
        <w:t>产品的研发效率和质量是产品创新的保障，公司将进一步加大研发基础建设。通过研发平台的建设，使产品研发管理更加规范化和信息化；通过产品监测中心的建设，不断完善产品标准，提高专业检测能力，提升产品可靠性。undefined</w:t>
      </w:r>
    </w:p>
    <w:p w:rsidR="00A77427">
      <w:pPr>
        <w:ind w:firstLine="600"/>
      </w:pPr>
      <w:r>
        <w:rPr>
          <w:rFonts w:ascii="仿宋" w:eastAsia="仿宋" w:hAnsi="仿宋" w:cs="仿宋"/>
          <w:b/>
          <w:bCs/>
          <w:sz w:val="32"/>
          <w:szCs w:val="32"/>
        </w:rPr>
        <w:t>（二）公司经济效益分析</w:t>
      </w:r>
    </w:p>
    <w:p w:rsidR="00A77427">
      <w:pPr>
        <w:ind w:firstLine="600"/>
      </w:pPr>
      <w:r>
        <w:rPr>
          <w:rFonts w:ascii="仿宋" w:eastAsia="仿宋" w:hAnsi="仿宋" w:cs="仿宋"/>
          <w:sz w:val="32"/>
          <w:szCs w:val="32"/>
        </w:rPr>
        <w:t>上一年度，xxx实业发展公司实现营业收入30701.85万元，同比增长18.91%（4882.68万元）。其中，主营业业务富氢水销售收入为27355.86万元，占营业总收入的89.10%。</w:t>
      </w:r>
      <w:r>
        <w:br/>
      </w:r>
    </w:p>
    <w:p w:rsidR="00A7742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500"/>
        <w:gridCol w:w="1300"/>
        <w:gridCol w:w="1300"/>
        <w:gridCol w:w="1300"/>
        <w:gridCol w:w="1300"/>
        <w:gridCol w:w="130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pPr>
              <w:jc w:val="left"/>
            </w:pPr>
            <w:r w:rsidRPr="00722E63">
              <w:rPr>
                <w:rFonts w:ascii="仿宋" w:eastAsia="仿宋" w:hAnsi="仿宋"/>
                <w:b/>
                <w:color w:val="auto"/>
                <w:sz w:val="22"/>
                <w:szCs w:val="22"/>
              </w:rPr>
              <w:t>序号</w:t>
            </w:r>
          </w:p>
        </w:tc>
        <w:tc>
          <w:tcPr>
            <w:tcW w:w="2500" w:type="dxa"/>
            <w:shd w:val="clear" w:color="auto" w:fill="auto"/>
            <w:vAlign w:val="center"/>
          </w:tcPr>
          <w:p w:rsidR="00995B51" w:rsidRPr="00722E63">
            <w:pPr>
              <w:jc w:val="left"/>
            </w:pPr>
            <w:r w:rsidRPr="00722E63">
              <w:rPr>
                <w:rFonts w:ascii="仿宋" w:eastAsia="仿宋" w:hAnsi="仿宋"/>
                <w:b/>
                <w:color w:val="auto"/>
                <w:sz w:val="22"/>
                <w:szCs w:val="22"/>
              </w:rPr>
              <w:t>项目</w:t>
            </w:r>
          </w:p>
        </w:tc>
        <w:tc>
          <w:tcPr>
            <w:tcW w:w="1300" w:type="dxa"/>
            <w:shd w:val="clear" w:color="auto" w:fill="auto"/>
            <w:vAlign w:val="center"/>
          </w:tcPr>
          <w:p w:rsidR="00995B51" w:rsidRPr="00722E63">
            <w:pPr>
              <w:jc w:val="center"/>
            </w:pPr>
            <w:r w:rsidRPr="00722E63">
              <w:rPr>
                <w:rFonts w:ascii="仿宋" w:eastAsia="仿宋" w:hAnsi="仿宋"/>
                <w:b/>
                <w:color w:val="auto"/>
                <w:sz w:val="22"/>
                <w:szCs w:val="22"/>
              </w:rPr>
              <w:t>第一季度</w:t>
            </w:r>
          </w:p>
        </w:tc>
        <w:tc>
          <w:tcPr>
            <w:tcW w:w="1300" w:type="dxa"/>
            <w:shd w:val="clear" w:color="auto" w:fill="auto"/>
            <w:vAlign w:val="center"/>
          </w:tcPr>
          <w:p w:rsidR="00995B51" w:rsidRPr="00722E63">
            <w:pPr>
              <w:jc w:val="center"/>
            </w:pPr>
            <w:r w:rsidRPr="00722E63">
              <w:rPr>
                <w:rFonts w:ascii="仿宋" w:eastAsia="仿宋" w:hAnsi="仿宋"/>
                <w:b/>
                <w:color w:val="auto"/>
                <w:sz w:val="22"/>
                <w:szCs w:val="22"/>
              </w:rPr>
              <w:t>第二季度</w:t>
            </w:r>
          </w:p>
        </w:tc>
        <w:tc>
          <w:tcPr>
            <w:tcW w:w="1300" w:type="dxa"/>
            <w:shd w:val="clear" w:color="auto" w:fill="auto"/>
            <w:vAlign w:val="center"/>
          </w:tcPr>
          <w:p w:rsidR="00995B51" w:rsidRPr="00722E63">
            <w:pPr>
              <w:jc w:val="center"/>
            </w:pPr>
            <w:r w:rsidRPr="00722E63">
              <w:rPr>
                <w:rFonts w:ascii="仿宋" w:eastAsia="仿宋" w:hAnsi="仿宋"/>
                <w:b/>
                <w:color w:val="auto"/>
                <w:sz w:val="22"/>
                <w:szCs w:val="22"/>
              </w:rPr>
              <w:t>第三季度</w:t>
            </w:r>
          </w:p>
        </w:tc>
        <w:tc>
          <w:tcPr>
            <w:tcW w:w="1300" w:type="dxa"/>
            <w:shd w:val="clear" w:color="auto" w:fill="auto"/>
            <w:vAlign w:val="center"/>
          </w:tcPr>
          <w:p w:rsidR="00995B51" w:rsidRPr="00722E63">
            <w:pPr>
              <w:jc w:val="center"/>
            </w:pPr>
            <w:r w:rsidRPr="00722E63">
              <w:rPr>
                <w:rFonts w:ascii="仿宋" w:eastAsia="仿宋" w:hAnsi="仿宋"/>
                <w:b/>
                <w:color w:val="auto"/>
                <w:sz w:val="22"/>
                <w:szCs w:val="22"/>
              </w:rPr>
              <w:t>第四季度</w:t>
            </w:r>
          </w:p>
        </w:tc>
        <w:tc>
          <w:tcPr>
            <w:tcW w:w="1300" w:type="dxa"/>
            <w:shd w:val="clear" w:color="auto" w:fill="auto"/>
            <w:vAlign w:val="center"/>
          </w:tcPr>
          <w:p w:rsidR="00995B51" w:rsidRPr="00722E63">
            <w:pPr>
              <w:jc w:val="center"/>
            </w:pPr>
            <w:r w:rsidRPr="00722E63">
              <w:rPr>
                <w:rFonts w:ascii="仿宋" w:eastAsia="仿宋" w:hAnsi="仿宋"/>
                <w:b/>
                <w:color w:val="auto"/>
                <w:sz w:val="22"/>
                <w:szCs w:val="22"/>
              </w:rPr>
              <w:t>合计</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1</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营业收入</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6447.39</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8596.52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7982.48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7675.46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30701.85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主营业务收入</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5744.73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7659.64</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7112.52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6838.97</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27355.86</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2.1</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富氢水(A)</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1895.76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2527.68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2347.13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2256.86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9027.43</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富氢水(B)</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1321.29</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1761.72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1635.88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1572.96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6291.85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富氢水(C)</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976.60</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1302.14</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1209.13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1162.62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4650.50</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2.4</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富氢水(D)</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689.37</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919.16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853.50</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820.68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3282.70</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2.5</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富氢水(E)</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459.58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612.77</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569.00</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547.12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2188.47</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富氢水(F)</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287.24</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382.98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355.63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341.95</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1367.79</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2.7</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114.89</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153.19</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142.25</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136.78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547.12</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其他业务收入</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702.66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936.88</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869.96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836.50</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3345.99</w:t>
            </w:r>
          </w:p>
        </w:tc>
      </w:tr>
    </w:tbl>
    <w:p w:rsidR="00A77427">
      <w:pPr>
        <w:ind w:firstLine="600"/>
        <w:sectPr w:rsidSect="00A02F19">
          <w:headerReference w:type="even" r:id="rId58"/>
          <w:headerReference w:type="default" r:id="rId59"/>
          <w:footerReference w:type="even" r:id="rId60"/>
          <w:footerReference w:type="default" r:id="rId61"/>
          <w:headerReference w:type="first" r:id="rId62"/>
          <w:footerReference w:type="first" r:id="rId63"/>
          <w:type w:val="nextPage"/>
          <w:pgSz w:w="12240" w:h="15840"/>
          <w:pgMar w:top="1800" w:right="1200" w:bottom="1200" w:left="1200" w:header="720" w:footer="720" w:gutter="0"/>
          <w:pgNumType w:start="9"/>
          <w:cols w:space="720"/>
          <w:titlePg w:val="0"/>
          <w:docGrid w:linePitch="360"/>
        </w:sectPr>
      </w:pPr>
    </w:p>
    <w:p w:rsidR="00A77427">
      <w:pPr>
        <w:ind w:firstLine="600"/>
      </w:pPr>
      <w:r>
        <w:rPr>
          <w:rFonts w:ascii="仿宋" w:eastAsia="仿宋" w:hAnsi="仿宋" w:cs="仿宋"/>
          <w:sz w:val="32"/>
          <w:szCs w:val="32"/>
        </w:rPr>
        <w:t>根据初步统计测算，公司实现利润总额6535.32万元，较去年同期相比增长834.54万元，增长率14.64%；实现净利润4901.49万元，较去年同期相比增长1072.05万元，增长率28.00%。</w:t>
      </w:r>
      <w:r>
        <w:br/>
      </w:r>
    </w:p>
    <w:p w:rsidR="00A77427">
      <w:pPr>
        <w:jc w:val="center"/>
      </w:pPr>
      <w:r>
        <w:rPr>
          <w:rFonts w:ascii="仿宋" w:eastAsia="仿宋" w:hAnsi="仿宋" w:cs="仿宋"/>
          <w:b/>
          <w:bCs/>
          <w:sz w:val="28"/>
          <w:szCs w:val="28"/>
        </w:rPr>
        <w:t>上年度主要经济指标</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3350"/>
        <w:gridCol w:w="3350"/>
        <w:gridCol w:w="33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3350" w:type="dxa"/>
            <w:shd w:val="clear" w:color="auto" w:fill="auto"/>
            <w:vAlign w:val="center"/>
          </w:tcPr>
          <w:p w:rsidR="00995B51" w:rsidRPr="00722E63">
            <w:pPr>
              <w:jc w:val="left"/>
            </w:pPr>
            <w:r w:rsidRPr="00722E63">
              <w:rPr>
                <w:rFonts w:ascii="仿宋" w:eastAsia="仿宋" w:hAnsi="仿宋"/>
                <w:b/>
                <w:color w:val="auto"/>
                <w:sz w:val="22"/>
                <w:szCs w:val="22"/>
              </w:rPr>
              <w:t>项目</w:t>
            </w:r>
          </w:p>
        </w:tc>
        <w:tc>
          <w:tcPr>
            <w:tcW w:w="3350" w:type="dxa"/>
            <w:shd w:val="clear" w:color="auto" w:fill="auto"/>
            <w:vAlign w:val="center"/>
          </w:tcPr>
          <w:p w:rsidR="00995B51" w:rsidRPr="00722E63">
            <w:pPr>
              <w:jc w:val="left"/>
            </w:pPr>
            <w:r w:rsidRPr="00722E63">
              <w:rPr>
                <w:rFonts w:ascii="仿宋" w:eastAsia="仿宋" w:hAnsi="仿宋"/>
                <w:b/>
                <w:color w:val="auto"/>
                <w:sz w:val="22"/>
                <w:szCs w:val="22"/>
              </w:rPr>
              <w:t>单位</w:t>
            </w:r>
          </w:p>
        </w:tc>
        <w:tc>
          <w:tcPr>
            <w:tcW w:w="3350" w:type="dxa"/>
            <w:shd w:val="clear" w:color="auto" w:fill="auto"/>
            <w:vAlign w:val="center"/>
          </w:tcPr>
          <w:p w:rsidR="00995B51" w:rsidRPr="00722E63">
            <w:pPr>
              <w:jc w:val="center"/>
            </w:pPr>
            <w:r w:rsidRPr="00722E63">
              <w:rPr>
                <w:rFonts w:ascii="仿宋" w:eastAsia="仿宋" w:hAnsi="仿宋"/>
                <w:b/>
                <w:color w:val="auto"/>
                <w:sz w:val="22"/>
                <w:szCs w:val="22"/>
              </w:rPr>
              <w:t>指标</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完成营业收入</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30701.85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完成主营业务收入</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27355.86</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主营业务收入占比</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89.10%</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营业收入增长率（同比）</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18.91%</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营业收入增长量（同比）</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4882.68</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利润总额</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6535.32</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利润总额增长率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14.64%</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利润总额增长量</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834.54</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净利润</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4901.49</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净利润增长率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28.00%</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净利润增长量</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1072.05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投资利润率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38.34%</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投资回报率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28.75%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财务内部收益率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22.48%</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企业总资产</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37458.99</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流动资产总额占比</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37.41%</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流动资产总额</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万元</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14014.46</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资产负债率</w:t>
            </w:r>
          </w:p>
        </w:tc>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29.74%</w:t>
            </w:r>
          </w:p>
        </w:tc>
      </w:tr>
    </w:tbl>
    <w:p w:rsidR="00A77427">
      <w:pPr>
        <w:ind w:firstLine="600"/>
      </w:pPr>
    </w:p>
    <w:p w:rsidR="00A77427">
      <w:pPr>
        <w:ind w:firstLine="600"/>
        <w:sectPr w:rsidSect="00A02F19">
          <w:headerReference w:type="even" r:id="rId64"/>
          <w:headerReference w:type="default" r:id="rId65"/>
          <w:footerReference w:type="even" r:id="rId66"/>
          <w:footerReference w:type="default" r:id="rId67"/>
          <w:headerReference w:type="first" r:id="rId68"/>
          <w:footerReference w:type="first" r:id="rId69"/>
          <w:type w:val="nextPage"/>
          <w:pgSz w:w="12240" w:h="15840"/>
          <w:pgMar w:top="1800" w:right="1200" w:bottom="1200" w:left="1200" w:header="720" w:footer="720" w:gutter="0"/>
          <w:pgNumType w:start="10"/>
          <w:cols w:space="720"/>
          <w:titlePg w:val="0"/>
          <w:docGrid w:linePitch="360"/>
        </w:sectPr>
      </w:pPr>
      <w:r>
        <w:rPr>
          <w:rFonts w:ascii="黑体" w:eastAsia="黑体" w:hAnsi="黑体" w:cs="黑体"/>
          <w:b/>
          <w:bCs/>
          <w:sz w:val="32"/>
          <w:szCs w:val="32"/>
        </w:rPr>
        <w:t>二、产业政策及发展规划</w:t>
      </w:r>
    </w:p>
    <w:p w:rsidR="00A77427">
      <w:pPr>
        <w:ind w:firstLine="600"/>
      </w:pPr>
      <w:r>
        <w:rPr>
          <w:rFonts w:ascii="仿宋" w:eastAsia="仿宋" w:hAnsi="仿宋" w:cs="仿宋"/>
          <w:sz w:val="32"/>
          <w:szCs w:val="32"/>
        </w:rPr>
        <w:t>“十三五”时期重要战略机遇期的判断，从国际环境看，尽管国际金融危机给世界经济造成深度冲击，世界经济增长速度减缓，各种形式的保护主义抬头，气候变化、能源资源安全、公共卫生安全等全球性问题更加突出，国际和地区热点问题此起彼伏，但和平、发展仍是当今时代的两大主题，世界多极化和经济全球化深入发展，国际力量对比继续朝着有利于世界和平与发展的方向演化，我国同各大国、周边国家、发展中国家等的新型国际关系持续平稳发展，各国加强对华经济技术合作的意愿进一步增强，我国国际影响力和国际地位明显提高，相对稳定的外部环境总体上有利于我国集中精力搞建设、谋发展。</w:t>
      </w:r>
    </w:p>
    <w:p w:rsidR="00A77427">
      <w:pPr>
        <w:ind w:firstLine="600"/>
      </w:pPr>
      <w:r>
        <w:rPr>
          <w:rFonts w:ascii="黑体" w:eastAsia="黑体" w:hAnsi="黑体" w:cs="黑体"/>
          <w:b/>
          <w:bCs/>
          <w:sz w:val="32"/>
          <w:szCs w:val="32"/>
        </w:rPr>
        <w:t>三、鼓励中小企业发展</w:t>
      </w:r>
    </w:p>
    <w:p w:rsidR="00A77427">
      <w:pPr>
        <w:ind w:firstLine="600"/>
        <w:sectPr w:rsidSect="00A02F19">
          <w:headerReference w:type="even" r:id="rId70"/>
          <w:headerReference w:type="default" r:id="rId71"/>
          <w:footerReference w:type="even" r:id="rId72"/>
          <w:footerReference w:type="default" r:id="rId73"/>
          <w:headerReference w:type="first" r:id="rId74"/>
          <w:footerReference w:type="first" r:id="rId75"/>
          <w:type w:val="nextPage"/>
          <w:pgSz w:w="12240" w:h="15840"/>
          <w:pgMar w:top="1800" w:right="1200" w:bottom="1200" w:left="1200" w:header="720" w:footer="720" w:gutter="0"/>
          <w:pgNumType w:start="11"/>
          <w:cols w:space="720"/>
          <w:titlePg w:val="0"/>
          <w:docGrid w:linePitch="360"/>
        </w:sectPr>
      </w:pPr>
    </w:p>
    <w:p w:rsidR="00A77427">
      <w:pPr>
        <w:ind w:firstLine="600"/>
      </w:pPr>
      <w:r>
        <w:rPr>
          <w:rFonts w:ascii="仿宋" w:eastAsia="仿宋" w:hAnsi="仿宋" w:cs="仿宋"/>
          <w:sz w:val="32"/>
          <w:szCs w:val="32"/>
        </w:rPr>
        <w:t>中共中央、国务院发布《关于深化投融资体制改革的意见》，提出建立完善企业自主决策、融资渠道畅通，职能转变到位、政府行为规范，宏观调控有效、法治保障健全的新型投融资体制。改善企业投资管理，充分激发社会投资动力和活力，完善政府投资体制，发挥好政府投资的引导和带动作用，创新融资机制，畅通投资项目融资渠道。民间投资是我国制造业发展的主要力量，约占制造业投资的85%以上，党中央、国务院一直高度重视民间投资的健康发展。为贯彻党的十九大精神，落实国务院对促进民间投资的一系列工作部署，工业和信息化部与发展改革委、科技部、财政部等15个相关部门和单位联合印发了《关于发挥民间投资作用推进实施制造强国战略的指导意见》，围绕《中国制造2025》，明确了促进民营制造业企业健康发展的指导思想、主要任务和保障措施，旨在释放民间投资活力，引导民营制造业企业转型升级，加快制造强国建设。</w:t>
      </w:r>
    </w:p>
    <w:p w:rsidR="00A77427">
      <w:pPr>
        <w:ind w:firstLine="600"/>
        <w:sectPr w:rsidSect="00A02F19">
          <w:headerReference w:type="even" r:id="rId76"/>
          <w:headerReference w:type="default" r:id="rId77"/>
          <w:footerReference w:type="even" r:id="rId78"/>
          <w:footerReference w:type="default" r:id="rId79"/>
          <w:headerReference w:type="first" r:id="rId80"/>
          <w:footerReference w:type="first" r:id="rId81"/>
          <w:type w:val="nextPage"/>
          <w:pgSz w:w="12240" w:h="15840"/>
          <w:pgMar w:top="1800" w:right="1200" w:bottom="1200" w:left="1200" w:header="720" w:footer="720" w:gutter="0"/>
          <w:pgNumType w:start="12"/>
          <w:cols w:space="720"/>
          <w:titlePg w:val="0"/>
          <w:docGrid w:linePitch="360"/>
        </w:sectPr>
      </w:pPr>
      <w:r>
        <w:rPr>
          <w:rFonts w:ascii="仿宋" w:eastAsia="仿宋" w:hAnsi="仿宋" w:cs="仿宋"/>
          <w:sz w:val="32"/>
          <w:szCs w:val="32"/>
        </w:rPr>
        <w:t>加快创业板市场建设，完善中小企业上市育成机制，扩大中小企业上市规模，增加直接融资。完善创业投资和融资租赁政策，大力发展创业投资和融资租赁企业。鼓励有关部门和地方政府设立创业投资引导基金，引导社会资金设立主要支持中小企业的创业投资企业，积极发展股权投资基金。发挥融资租赁、典当、信托等融资方式在中小企业融资中的作用。稳步扩大中小企业集合债券和短期融资券的发行规模，积极培育和规范发展产权交易市场，为中小企业产权和股权交易提供服务。加强统筹规划，完善服务网络和服务设施，积极培育各级中小企业综合服务机构。通过资格认定、业务委托、奖励等方式，发挥工商联以及行业协会（商会）和综合服务机构的作用，引导和带动专业服务机构的发展。建立和完善财政补助机制，支持服务机构开展信息、培训、技术、创业、质量检验、企业管理等服务。</w:t>
      </w:r>
    </w:p>
    <w:p w:rsidR="00A77427">
      <w:pPr>
        <w:ind w:firstLine="600"/>
      </w:pPr>
      <w:r>
        <w:rPr>
          <w:rFonts w:ascii="黑体" w:eastAsia="黑体" w:hAnsi="黑体" w:cs="黑体"/>
          <w:b/>
          <w:bCs/>
          <w:sz w:val="32"/>
          <w:szCs w:val="32"/>
        </w:rPr>
        <w:t>四、宏观经济形势分析</w:t>
      </w:r>
    </w:p>
    <w:p w:rsidR="00A77427">
      <w:pPr>
        <w:ind w:firstLine="600"/>
      </w:pPr>
      <w:r>
        <w:rPr>
          <w:rFonts w:ascii="仿宋" w:eastAsia="仿宋" w:hAnsi="仿宋" w:cs="仿宋"/>
          <w:sz w:val="32"/>
          <w:szCs w:val="32"/>
        </w:rPr>
        <w:t>把握加快经济结构优化升级的新机遇，坚持以供给侧结构性改革为主线不动摇，在“巩固、增强、提升、畅通”八个字上下功夫，加快推动产业结构升级和发展方式转变，为高质量发展打开新局面。把握提升科技创新能力的新机遇，在开放的环境中推动自主创新，补上核心技术等发展短板，把创新主动权、发展主动权牢牢掌握在自己手中。</w:t>
      </w:r>
    </w:p>
    <w:p w:rsidR="00A77427">
      <w:pPr>
        <w:ind w:firstLine="600"/>
      </w:pPr>
      <w:r>
        <w:rPr>
          <w:rFonts w:ascii="黑体" w:eastAsia="黑体" w:hAnsi="黑体" w:cs="黑体"/>
          <w:b/>
          <w:bCs/>
          <w:sz w:val="32"/>
          <w:szCs w:val="32"/>
        </w:rPr>
        <w:t>五、区域经济发展概况</w:t>
      </w:r>
    </w:p>
    <w:p w:rsidR="00A77427">
      <w:pPr>
        <w:ind w:firstLine="600"/>
      </w:pPr>
      <w:r>
        <w:rPr>
          <w:rFonts w:ascii="仿宋" w:eastAsia="仿宋" w:hAnsi="仿宋" w:cs="仿宋"/>
          <w:sz w:val="32"/>
          <w:szCs w:val="32"/>
        </w:rPr>
        <w:t>地区生产总值3650.40亿元，比上年增长11.90%。其中，第一产业增加值292.03亿元，增长7.05%；第二产业增加值2263.25亿元，增长9.02%第三产业增加值1095.12亿元，增长5.83%。</w:t>
      </w:r>
    </w:p>
    <w:p w:rsidR="00A77427">
      <w:pPr>
        <w:ind w:firstLine="600"/>
      </w:pPr>
      <w:r>
        <w:rPr>
          <w:rFonts w:ascii="仿宋" w:eastAsia="仿宋" w:hAnsi="仿宋" w:cs="仿宋"/>
          <w:sz w:val="32"/>
          <w:szCs w:val="32"/>
        </w:rPr>
        <w:t>一般公共预算收入206.55亿元，同比增长11.59%，一般公共预算支出592.25亿元，同比增长6.22%。国税收入365.00亿元，同比增长11.07%；地税收入亿元98.70，同比增长6.53%。</w:t>
      </w:r>
    </w:p>
    <w:p w:rsidR="00A77427">
      <w:pPr>
        <w:ind w:firstLine="600"/>
        <w:sectPr w:rsidSect="00A02F19">
          <w:headerReference w:type="even" r:id="rId82"/>
          <w:headerReference w:type="default" r:id="rId83"/>
          <w:footerReference w:type="even" r:id="rId84"/>
          <w:footerReference w:type="default" r:id="rId85"/>
          <w:headerReference w:type="first" r:id="rId86"/>
          <w:footerReference w:type="first" r:id="rId87"/>
          <w:type w:val="nextPage"/>
          <w:pgSz w:w="12240" w:h="15840"/>
          <w:pgMar w:top="1800" w:right="1200" w:bottom="1200" w:left="1200" w:header="720" w:footer="720" w:gutter="0"/>
          <w:pgNumType w:start="13"/>
          <w:cols w:space="720"/>
          <w:titlePg w:val="0"/>
          <w:docGrid w:linePitch="360"/>
        </w:sectPr>
      </w:pPr>
      <w:r>
        <w:rPr>
          <w:rFonts w:ascii="仿宋" w:eastAsia="仿宋" w:hAnsi="仿宋" w:cs="仿宋"/>
          <w:sz w:val="32"/>
          <w:szCs w:val="32"/>
        </w:rPr>
        <w:t>居民消费价格上涨1.02%。其中，食品烟酒上涨1.18%，衣着上涨0.97%，居住上涨0.81%，生活用品及服务上涨1.00%，教育文化和娱乐上涨1.11%，医疗保健上涨0.80%，其他用品和服务上涨0.80%，交通和通信上涨0.77%。</w:t>
      </w:r>
    </w:p>
    <w:p w:rsidR="00A77427">
      <w:pPr>
        <w:ind w:firstLine="600"/>
      </w:pPr>
      <w:r>
        <w:rPr>
          <w:rFonts w:ascii="仿宋" w:eastAsia="仿宋" w:hAnsi="仿宋" w:cs="仿宋"/>
          <w:sz w:val="32"/>
          <w:szCs w:val="32"/>
        </w:rPr>
        <w:t>固定资产投资完成4485.20亿元，比上年增长7.87%。其中，建设项目投资完成3946.98亿元，增长10.45%；房地产开发投资完成538.22亿元，增长8.06%。在固定资产投资中，第一产业投资完成224.26亿元，同比增长8.65%；第二产业投资完成3408.75亿元，同比增长10.32%；第三产业投资完成852.19亿元，增长5.23%。高新技术产业投资952.14亿元，增长11.89%。民间投资3566.88亿元，增长9.74%。城市基础设施投资528.56亿元，增长11.53%。重点项目1302个，完成投资2154.53亿元，增长10.60%。</w:t>
      </w:r>
    </w:p>
    <w:p w:rsidR="00A77427">
      <w:pPr>
        <w:ind w:firstLine="600"/>
      </w:pPr>
      <w:r>
        <w:rPr>
          <w:rFonts w:ascii="仿宋" w:eastAsia="仿宋" w:hAnsi="仿宋" w:cs="仿宋"/>
          <w:sz w:val="32"/>
          <w:szCs w:val="32"/>
        </w:rPr>
        <w:t>全市实现社会消费品零售总额1826.63亿元，比上年增长10.54%。城镇实现零售额1155.58亿元，增长9.09%；乡村实现零售额519.59亿元，增长8.27%。限额以上批发零售企业商品零售额亿元499.33，增长8.45%。</w:t>
      </w:r>
    </w:p>
    <w:p w:rsidR="00A77427">
      <w:pPr>
        <w:ind w:firstLine="600"/>
      </w:pPr>
      <w:r>
        <w:rPr>
          <w:rFonts w:ascii="仿宋" w:eastAsia="仿宋" w:hAnsi="仿宋" w:cs="仿宋"/>
          <w:sz w:val="32"/>
          <w:szCs w:val="32"/>
        </w:rPr>
        <w:t>实际利用外资50013.04万美元，同比增长59.76%。外贸进出口总值382.68亿元，同比增长54.64%。其中，出口总值248.74亿元，同比增长53.19%；进口总值133.94亿元，同比增长54.03%。</w:t>
      </w:r>
    </w:p>
    <w:p w:rsidR="00A77427">
      <w:pPr>
        <w:ind w:firstLine="600"/>
      </w:pPr>
      <w:r>
        <w:rPr>
          <w:rFonts w:ascii="黑体" w:eastAsia="黑体" w:hAnsi="黑体" w:cs="黑体"/>
          <w:b/>
          <w:bCs/>
          <w:sz w:val="32"/>
          <w:szCs w:val="32"/>
        </w:rPr>
        <w:t>六、项目必要性分析</w:t>
      </w:r>
    </w:p>
    <w:p w:rsidR="00A77427">
      <w:pPr>
        <w:ind w:firstLine="600"/>
        <w:sectPr w:rsidSect="00A02F19">
          <w:headerReference w:type="even" r:id="rId88"/>
          <w:headerReference w:type="default" r:id="rId89"/>
          <w:footerReference w:type="even" r:id="rId90"/>
          <w:footerReference w:type="default" r:id="rId91"/>
          <w:headerReference w:type="first" r:id="rId92"/>
          <w:footerReference w:type="first" r:id="rId93"/>
          <w:type w:val="nextPage"/>
          <w:pgSz w:w="12240" w:h="15840"/>
          <w:pgMar w:top="1800" w:right="1200" w:bottom="1200" w:left="1200" w:header="720" w:footer="720" w:gutter="0"/>
          <w:pgNumType w:start="14"/>
          <w:cols w:space="720"/>
          <w:titlePg w:val="0"/>
          <w:docGrid w:linePitch="360"/>
        </w:sectPr>
      </w:pPr>
      <w:r>
        <w:rPr>
          <w:rFonts w:ascii="仿宋" w:eastAsia="仿宋" w:hAnsi="仿宋" w:cs="仿宋"/>
          <w:b/>
          <w:bCs/>
          <w:sz w:val="32"/>
          <w:szCs w:val="32"/>
        </w:rPr>
        <w:t>（一）符合富氢水产业政策要求</w:t>
      </w:r>
    </w:p>
    <w:p w:rsidR="00A77427">
      <w:pPr>
        <w:ind w:firstLine="600"/>
        <w:sectPr w:rsidSect="00A02F19">
          <w:headerReference w:type="even" r:id="rId94"/>
          <w:headerReference w:type="default" r:id="rId95"/>
          <w:footerReference w:type="even" r:id="rId96"/>
          <w:footerReference w:type="default" r:id="rId97"/>
          <w:headerReference w:type="first" r:id="rId98"/>
          <w:footerReference w:type="first" r:id="rId99"/>
          <w:type w:val="nextPage"/>
          <w:pgSz w:w="12240" w:h="15840"/>
          <w:pgMar w:top="1800" w:right="1200" w:bottom="1200" w:left="1200" w:header="720" w:footer="720" w:gutter="0"/>
          <w:pgNumType w:start="15"/>
          <w:cols w:space="720"/>
          <w:titlePg w:val="0"/>
          <w:docGrid w:linePitch="360"/>
        </w:sectPr>
      </w:pPr>
    </w:p>
    <w:p w:rsidR="00A77427">
      <w:pPr>
        <w:ind w:firstLine="600"/>
      </w:pPr>
      <w:r>
        <w:rPr>
          <w:rFonts w:ascii="仿宋" w:eastAsia="仿宋" w:hAnsi="仿宋" w:cs="仿宋"/>
          <w:sz w:val="32"/>
          <w:szCs w:val="32"/>
        </w:rPr>
        <w:t>1、综观国内外形势，世界经济仍处于复苏过程中，贸易保护主义、单边主义抬头，中美经贸摩擦影响日益显现，我国发展外部环境发生深刻变化，经济下行压力有所加大，一些领域风险挑战增大。但更要看到，我国发展仍处于并将长期处于重要战略机遇期，经济结构优化升级、提升科技创新能力、深化改革开放、加快绿色发展、参与全球经济治理体系变革带来新机遇。当前，我市产业结构调整思路更加清晰，新旧动能加快转换，发展基础不断夯实，政策措施逐步落地，高质量发展体制机制正在形成。我们有条件、有能力克服前进中的困难，抓住机遇、用好机遇，把机遇转化为项目实体、转化为发展动能、转化为民生福祉，实现高质量发展。当前，我市产业发展水平走在全国前列，具备了跟进新一轮科技革命和产业变革的基础和条件，要抢抓重大机遇，在发展理念、生产模式和业态创新上以变应变、率先行动，打造产业竞争新优势。同时，尽管国际贸易投资方式转变将给我市外向型产业带来工业增速放缓、就业岗位减少、社会风险加大等挑战，但也带来倒逼淘汰落后行业及低附加值产业链环节、推动产业转型升级的机遇。从国内发展环境来看，经济增速从高速增长转向中高速增长，传统比较优势弱化，要素供给增长放缓，化解产能过剩任务艰巨，宏观经济步入“新常态”。经济结构调整加快，进入工业化中后期阶段。城镇化深度发展，区域协调发展格局进一步优化。</w:t>
      </w:r>
    </w:p>
    <w:p w:rsidR="00A77427">
      <w:pPr>
        <w:ind w:firstLine="600"/>
      </w:pPr>
      <w:r>
        <w:rPr>
          <w:rFonts w:ascii="仿宋" w:eastAsia="仿宋" w:hAnsi="仿宋" w:cs="仿宋"/>
          <w:sz w:val="32"/>
          <w:szCs w:val="32"/>
        </w:rPr>
        <w:t>2、中央经济工作会议提出2019年要重点抓好七项工作，其中第一项就是推动制造业高质量发展。这一任务同前两年一脉相承，2016年底召开的中央经济工作会议提出要着力振兴实体经济，2017年强调要推动高质量发展。可以说，制造业高质量发展既是前两年中央经济工作思路的继承和延续，也是对当前经济工作重点的进一步聚焦和深化，反映了中央对实体经济发展的高度重视，也蕴含了经济工作的重要政策取向。</w:t>
      </w:r>
    </w:p>
    <w:p w:rsidR="00A77427">
      <w:pPr>
        <w:ind w:firstLine="600"/>
      </w:pPr>
      <w:r>
        <w:rPr>
          <w:rFonts w:ascii="仿宋" w:eastAsia="仿宋" w:hAnsi="仿宋" w:cs="仿宋"/>
          <w:sz w:val="32"/>
          <w:szCs w:val="32"/>
        </w:rPr>
        <w:t>3、通过投资项目的建设可为社会提供众多就业职位，可为当地农村剩余劳动力和大学毕业生提供就业机会，有利于缓解当地就业压力，同时，可增加当地就业人的员的收入，进而提高当地人民生活水平和质量，对社会的发展具有促进作用。项目承办单位通过自身拥有的专业技术和前期调研、询价掌握的市场信息等准备工作，已经建立起来的基础条件与优势将使各项工作顺利开展。undefined</w:t>
      </w:r>
    </w:p>
    <w:p w:rsidR="00A77427">
      <w:pPr>
        <w:ind w:firstLine="600"/>
      </w:pPr>
      <w:r>
        <w:rPr>
          <w:rFonts w:ascii="仿宋" w:eastAsia="仿宋" w:hAnsi="仿宋" w:cs="仿宋"/>
          <w:b/>
          <w:bCs/>
          <w:sz w:val="32"/>
          <w:szCs w:val="32"/>
        </w:rPr>
        <w:t>（二）顺应宏观经济环境发展方向</w:t>
      </w:r>
    </w:p>
    <w:p w:rsidR="00A77427">
      <w:pPr>
        <w:ind w:firstLine="600"/>
        <w:sectPr w:rsidSect="00A02F19">
          <w:headerReference w:type="even" r:id="rId100"/>
          <w:headerReference w:type="default" r:id="rId101"/>
          <w:footerReference w:type="even" r:id="rId102"/>
          <w:footerReference w:type="default" r:id="rId103"/>
          <w:headerReference w:type="first" r:id="rId104"/>
          <w:footerReference w:type="first" r:id="rId105"/>
          <w:type w:val="nextPage"/>
          <w:pgSz w:w="12240" w:h="15840"/>
          <w:pgMar w:top="1800" w:right="1200" w:bottom="1200" w:left="1200" w:header="720" w:footer="720" w:gutter="0"/>
          <w:pgNumType w:start="16"/>
          <w:cols w:space="720"/>
          <w:titlePg w:val="0"/>
          <w:docGrid w:linePitch="360"/>
        </w:sectPr>
      </w:pPr>
    </w:p>
    <w:p w:rsidR="00A77427">
      <w:pPr>
        <w:ind w:firstLine="600"/>
      </w:pPr>
      <w:r>
        <w:rPr>
          <w:rFonts w:ascii="仿宋" w:eastAsia="仿宋" w:hAnsi="仿宋" w:cs="仿宋"/>
          <w:sz w:val="32"/>
          <w:szCs w:val="32"/>
        </w:rPr>
        <w:t>1、把握加快经济结构优化升级的新机遇，坚持以供给侧结构性改革为主线不动摇，在“巩固、增强、提升、畅通”八个字上下功夫，加快推动产业结构升级和发展方式转变，为高质量发展打开新局面。把握提升科技创新能力的新机遇，在开放的环境中推动自主创新，补上核心技术等发展短板，把创新主动权、发展主动权牢牢掌握在自己手中。</w:t>
      </w:r>
    </w:p>
    <w:p w:rsidR="00A77427">
      <w:pPr>
        <w:ind w:firstLine="600"/>
        <w:sectPr w:rsidSect="00A02F19">
          <w:headerReference w:type="even" r:id="rId106"/>
          <w:headerReference w:type="default" r:id="rId107"/>
          <w:footerReference w:type="even" r:id="rId108"/>
          <w:footerReference w:type="default" r:id="rId109"/>
          <w:headerReference w:type="first" r:id="rId110"/>
          <w:footerReference w:type="first" r:id="rId111"/>
          <w:type w:val="nextPage"/>
          <w:pgSz w:w="12240" w:h="15840"/>
          <w:pgMar w:top="1800" w:right="1200" w:bottom="1200" w:left="1200" w:header="720" w:footer="720" w:gutter="0"/>
          <w:pgNumType w:start="17"/>
          <w:cols w:space="720"/>
          <w:titlePg w:val="0"/>
          <w:docGrid w:linePitch="360"/>
        </w:sectPr>
      </w:pPr>
    </w:p>
    <w:p w:rsidR="00A77427">
      <w:pPr>
        <w:ind w:firstLine="600"/>
      </w:pPr>
      <w:r>
        <w:rPr>
          <w:rFonts w:ascii="仿宋" w:eastAsia="仿宋" w:hAnsi="仿宋" w:cs="仿宋"/>
          <w:sz w:val="32"/>
          <w:szCs w:val="32"/>
        </w:rPr>
        <w:t>2、在新常态背景中，我国的经济一定会有新的发展，在经济发展的同时在获得一定新的机遇，可能也会面临着一定的困难。在本文可以通过在新常态下我国经济发展情况，我国的经济发展存在着较为明显的减速，所以应该引起重视。此外，在发展的角度上看，新常态的经济法发展主要是贸易区进行，是通过市场的发展来得到进一步的发展，粗放型经济发展模式的消失，代表着我国经济市场恢复了正常。从长期视角来看，全球性的经济发展面临着新矛盾和新挑战，从本质角度来讲，经济发展是一项长期任务，所以针对这样一种现象，要采用新常态的经济发展逻辑。新常态所示经济发展台阶需要正确的指引，新常态作为一种新方式，在经济发展中的应用要极为重视。从国内看，我国经济发展进入新常态，消费、投资、出口、生产要素相对优势等都发生了较大变化，经济正处于新旧动能转换阶段，正从高速增长转向中高速增长，势必面临诸多矛盾叠加、风险隐患增多的严峻挑战。但进入新常态，没有改变我国发展仍处于可以大有作为的重要战略机遇期的判断，改变的是重要战略机遇期的内涵和条件；没有改变我国经济发展总体向好的基本面，改变的是经济发展方式和经济结构。“十三五”时期中国经济的基础、条件和动力在于：一方面，我国经济有巨大潜力和内在韧性。这种潜力和韧性来自新型工业化、信息化、城镇化、农业现代化深入推进所蕴含的扩大内需强劲需求；来自我国地域幅员辽阔且产业类型多样，经济的支撑非独木一根，而是“四梁八柱”；来自大众创业、万众创新蕴藏着无穷创意和无限财富；来自多年来我国发展取得的巨大成就、积累的丰富经验。另一方面，全面深化改革正在源源不断释放改革红利。“十二五”期间尤其是十八大以来，各方面改革呈现蹄疾步稳、纵深推进的良好态势，在一些重要领域和关键环节取得新突破，给经济发展注入了持续强劲的动能。能不能认清机遇、抓住机遇、用好机遇，是能不能赢得主动、赢得优势、赢得未来的关键。面对我国发展仍处于可以大有作为的重要战略机遇期，面对我国经济发展进入新常态，各地各部门观念上要适应，认识上要到位，方法上要对路，工作上要得力，准确把握战略机遇期内涵的深刻变化，牢固树立并切实贯彻创新、协调、绿色、开放、共享的发展理念，破解发展难题，厚植发展优势，更加有效地应对各种风险和挑战，继续集中力量把自己的事情办好，不断开拓发展新境界。</w:t>
      </w:r>
    </w:p>
    <w:p w:rsidR="00A77427">
      <w:pPr>
        <w:ind w:firstLine="600"/>
      </w:pPr>
      <w:r>
        <w:rPr>
          <w:rFonts w:ascii="仿宋" w:eastAsia="仿宋" w:hAnsi="仿宋" w:cs="仿宋"/>
          <w:b/>
          <w:bCs/>
          <w:sz w:val="32"/>
          <w:szCs w:val="32"/>
        </w:rPr>
        <w:t>（三）项目建设有利条件</w:t>
      </w:r>
    </w:p>
    <w:p w:rsidR="00A77427">
      <w:pPr>
        <w:ind w:firstLine="600"/>
      </w:pPr>
      <w:r>
        <w:rPr>
          <w:rFonts w:ascii="仿宋" w:eastAsia="仿宋" w:hAnsi="仿宋" w:cs="仿宋"/>
          <w:sz w:val="32"/>
          <w:szCs w:val="32"/>
        </w:rPr>
        <w:t>项目承办单位现有资产运营优良，财务管理制度健全且完善，企业的资金雄厚，凭借优异的产品质量、严谨科学的管理和灵活通畅的销售网络，连年实现盈利，能够为项目建设提供充足的计划自筹资金。项目建设所选区域交通运输条件十分便利，拥有集公路、铁路、航空于一体的现代化交通运输网络，物流运输方便快捷，为投资项目原料进货、产品销售和对外交流等提供了多条便捷通道，对于项目实现既定目标十分有利。</w:t>
      </w:r>
    </w:p>
    <w:p w:rsidR="00A77427">
      <w:pPr>
        <w:ind w:firstLine="600"/>
      </w:pPr>
      <w:r>
        <w:rPr>
          <w:rFonts w:ascii="仿宋" w:eastAsia="仿宋" w:hAnsi="仿宋" w:cs="仿宋"/>
          <w:b/>
          <w:bCs/>
          <w:sz w:val="32"/>
          <w:szCs w:val="32"/>
        </w:rPr>
        <w:t>（四）企业可持续发展的必然选择</w:t>
      </w:r>
    </w:p>
    <w:p w:rsidR="00A77427">
      <w:pPr>
        <w:ind w:firstLine="600"/>
        <w:sectPr w:rsidSect="00A02F19">
          <w:headerReference w:type="even" r:id="rId112"/>
          <w:headerReference w:type="default" r:id="rId113"/>
          <w:footerReference w:type="even" r:id="rId114"/>
          <w:footerReference w:type="default" r:id="rId115"/>
          <w:headerReference w:type="first" r:id="rId116"/>
          <w:footerReference w:type="first" r:id="rId117"/>
          <w:type w:val="nextPage"/>
          <w:pgSz w:w="12240" w:h="15840"/>
          <w:pgMar w:top="1800" w:right="1200" w:bottom="1200" w:left="1200" w:header="720" w:footer="720" w:gutter="0"/>
          <w:pgNumType w:start="18"/>
          <w:cols w:space="720"/>
          <w:titlePg w:val="0"/>
          <w:docGrid w:linePitch="360"/>
        </w:sectPr>
      </w:pPr>
    </w:p>
    <w:p w:rsidR="00A77427">
      <w:pPr>
        <w:ind w:firstLine="600"/>
        <w:sectPr w:rsidSect="00A02F19">
          <w:headerReference w:type="even" r:id="rId118"/>
          <w:headerReference w:type="default" r:id="rId119"/>
          <w:footerReference w:type="even" r:id="rId120"/>
          <w:footerReference w:type="default" r:id="rId121"/>
          <w:headerReference w:type="first" r:id="rId122"/>
          <w:footerReference w:type="first" r:id="rId123"/>
          <w:type w:val="nextPage"/>
          <w:pgSz w:w="12240" w:h="15840"/>
          <w:pgMar w:top="1800" w:right="1200" w:bottom="1200" w:left="1200" w:header="720" w:footer="720" w:gutter="0"/>
          <w:pgNumType w:start="19"/>
          <w:cols w:space="720"/>
          <w:titlePg w:val="0"/>
          <w:docGrid w:linePitch="360"/>
        </w:sectPr>
      </w:pPr>
      <w:r>
        <w:rPr>
          <w:rFonts w:ascii="仿宋" w:eastAsia="仿宋" w:hAnsi="仿宋" w:cs="仿宋"/>
          <w:sz w:val="32"/>
          <w:szCs w:val="32"/>
        </w:rPr>
        <w:t>考虑到项目建设地的投资环境、劳动力条件和政策优势，项目承办单位决定在项目建设地实施投资项目建设，投资项目的生产规模和工艺技术装备将达到国际先进水平，有利于进一步提升产品质量，丰富产品品种并可以配合其他相关产品形成突出优势，使市场占有率以及竞争力得到进一步巩固和增强。目前，项目承办单位建立了企业内部研发中心，可以根据客户的需求，研制、开发适应市场需求的产品，并已在材料和设备及制造工艺上取得新的突破，项目承办单位已取得了丰硕的成果，公司所生产的产品质量指标均已达到国内领先水平，同国际技术水平接轨；通过保持人才、技术、设备、研发能力、市场营销、生产材料供应等方面的优势，产、学、研相结合的经营模式，无论是对项目承办单位自身还是国内相关产业的发展都具有深远的影响。</w:t>
      </w:r>
    </w:p>
    <w:p w:rsidR="00A77427">
      <w:pPr>
        <w:jc w:val="center"/>
      </w:pPr>
      <w:r>
        <w:rPr>
          <w:rFonts w:ascii="黑体" w:eastAsia="黑体" w:hAnsi="黑体" w:cs="黑体"/>
          <w:b/>
          <w:bCs/>
          <w:sz w:val="32"/>
          <w:szCs w:val="32"/>
        </w:rPr>
        <w:t>第三章  产业研究分析</w:t>
      </w:r>
      <w:r>
        <w:br/>
      </w:r>
    </w:p>
    <w:p w:rsidR="00A77427">
      <w:pPr>
        <w:ind w:firstLine="600"/>
      </w:pPr>
      <w:r>
        <w:rPr>
          <w:rFonts w:ascii="仿宋" w:eastAsia="仿宋" w:hAnsi="仿宋" w:cs="仿宋"/>
          <w:sz w:val="32"/>
          <w:szCs w:val="32"/>
        </w:rPr>
        <w:t>目前，区域内拥有各类富氢水企业611家，规模以上企业47家，从业人员30550人。截至2017年底，区域内富氢水产值163423.46万元，较2016年143631.10万元增长13.78%。产值前十位企业合计收入79387.69万元，较去年71436.78万元同比增长11.13%。</w:t>
      </w:r>
    </w:p>
    <w:p w:rsidR="00A77427">
      <w:pPr>
        <w:ind w:firstLine="600"/>
        <w:sectPr w:rsidSect="00A02F19">
          <w:headerReference w:type="even" r:id="rId124"/>
          <w:headerReference w:type="default" r:id="rId125"/>
          <w:footerReference w:type="even" r:id="rId126"/>
          <w:footerReference w:type="default" r:id="rId127"/>
          <w:headerReference w:type="first" r:id="rId128"/>
          <w:footerReference w:type="first" r:id="rId129"/>
          <w:type w:val="nextPage"/>
          <w:pgSz w:w="12240" w:h="15840"/>
          <w:pgMar w:top="1800" w:right="1200" w:bottom="1200" w:left="1200" w:header="720" w:footer="720" w:gutter="0"/>
          <w:pgNumType w:start="20"/>
          <w:cols w:space="720"/>
          <w:titlePg w:val="0"/>
          <w:docGrid w:linePitch="360"/>
        </w:sectPr>
      </w:pPr>
      <w:r>
        <w:rPr>
          <w:rFonts w:ascii="仿宋" w:eastAsia="仿宋" w:hAnsi="仿宋" w:cs="仿宋"/>
          <w:sz w:val="32"/>
          <w:szCs w:val="32"/>
        </w:rPr>
        <w:t>区域内富氢水企业经营状况良好。以AAA为例，2017年产值19449.98万元，较上年度17025.54万元增长14.24%，其中主营业务收入19049.58万元。2017年实现利润总额5877.31万元，同比增长24.36%；实现净利润1599.31万元，同比增长17.42%；纳税总额101.81万元，同比增长19.67%。2017年底，AAA资产总额38656.04万元，资产负债率34.81%。</w:t>
      </w:r>
    </w:p>
    <w:p w:rsidR="00A77427">
      <w:pPr>
        <w:jc w:val="center"/>
      </w:pPr>
      <w:r>
        <w:rPr>
          <w:rFonts w:ascii="黑体" w:eastAsia="黑体" w:hAnsi="黑体" w:cs="黑体"/>
          <w:b/>
          <w:bCs/>
          <w:sz w:val="32"/>
          <w:szCs w:val="32"/>
        </w:rPr>
        <w:t>第四章  项目建设内容分析</w:t>
      </w:r>
      <w:r>
        <w:br/>
      </w:r>
    </w:p>
    <w:p w:rsidR="00A77427">
      <w:pPr>
        <w:ind w:firstLine="600"/>
      </w:pPr>
      <w:r>
        <w:rPr>
          <w:rFonts w:ascii="黑体" w:eastAsia="黑体" w:hAnsi="黑体" w:cs="黑体"/>
          <w:b/>
          <w:bCs/>
          <w:sz w:val="32"/>
          <w:szCs w:val="32"/>
        </w:rPr>
        <w:t>一、产品规划</w:t>
      </w:r>
    </w:p>
    <w:p w:rsidR="00A77427">
      <w:pPr>
        <w:ind w:firstLine="600"/>
      </w:pPr>
      <w:r>
        <w:rPr>
          <w:rFonts w:ascii="仿宋" w:eastAsia="仿宋" w:hAnsi="仿宋" w:cs="仿宋"/>
          <w:b/>
          <w:bCs/>
          <w:sz w:val="32"/>
          <w:szCs w:val="32"/>
        </w:rPr>
        <w:t>（一）产品放方案</w:t>
      </w:r>
    </w:p>
    <w:p w:rsidR="00A77427">
      <w:pPr>
        <w:ind w:firstLine="600"/>
      </w:pPr>
      <w:r>
        <w:rPr>
          <w:rFonts w:ascii="仿宋" w:eastAsia="仿宋" w:hAnsi="仿宋" w:cs="仿宋"/>
          <w:sz w:val="32"/>
          <w:szCs w:val="32"/>
        </w:rPr>
        <w:t>项目产品主要从国家及地方产业发展政策、市场需求状况、资源供应情况、企业资金筹措能力、工艺技术水平的先进程度、项目经济效益及投资风险性等方面综合考虑确定。该项目主要产品为富氢水，具体品种将根据市场需求状况进行必要的调整，各年经营纲领是根据人员能力水平，并参考市场需求预测情况确定，同时，把产量和销量视为一致，本报告将按照初步产品方案进行测算，根据确定的产品方案和建设规模及预测的富氢水产品价格根据市场情况，预计年产值33425.00万元。</w:t>
      </w:r>
    </w:p>
    <w:p w:rsidR="00A77427">
      <w:pPr>
        <w:ind w:firstLine="600"/>
      </w:pPr>
      <w:r>
        <w:rPr>
          <w:rFonts w:ascii="仿宋" w:eastAsia="仿宋" w:hAnsi="仿宋" w:cs="仿宋"/>
          <w:b/>
          <w:bCs/>
          <w:sz w:val="32"/>
          <w:szCs w:val="32"/>
        </w:rPr>
        <w:t>（二）营销策略</w:t>
      </w:r>
    </w:p>
    <w:p w:rsidR="00A77427">
      <w:pPr>
        <w:ind w:firstLine="600"/>
        <w:sectPr w:rsidSect="00A02F19">
          <w:headerReference w:type="even" r:id="rId130"/>
          <w:headerReference w:type="default" r:id="rId131"/>
          <w:footerReference w:type="even" r:id="rId132"/>
          <w:footerReference w:type="default" r:id="rId133"/>
          <w:headerReference w:type="first" r:id="rId134"/>
          <w:footerReference w:type="first" r:id="rId135"/>
          <w:type w:val="nextPage"/>
          <w:pgSz w:w="12240" w:h="15840"/>
          <w:pgMar w:top="1800" w:right="1200" w:bottom="1200" w:left="1200" w:header="720" w:footer="720" w:gutter="0"/>
          <w:pgNumType w:start="21"/>
          <w:cols w:space="720"/>
          <w:titlePg w:val="0"/>
          <w:docGrid w:linePitch="360"/>
        </w:sectPr>
      </w:pPr>
      <w:r>
        <w:rPr>
          <w:rFonts w:ascii="仿宋" w:eastAsia="仿宋" w:hAnsi="仿宋" w:cs="仿宋"/>
          <w:sz w:val="32"/>
          <w:szCs w:val="32"/>
        </w:rPr>
        <w:t>采取灵活的定价办法，项目承办单位应当依据原辅材料的价格、加工内容、需求对象和市场动态原则，以盈利为目标，经过科学测算，确定项目产品销售价格，为了迅速进入市场并保持竞争能力，项目产品一上市，可以采取灵活的价格策略，迅速提升项目承办单位的知名度和项目产品的美誉度。</w:t>
      </w:r>
      <w:r>
        <w:br/>
      </w:r>
    </w:p>
    <w:p w:rsidR="00A77427">
      <w:pPr>
        <w:jc w:val="center"/>
      </w:pPr>
      <w:r>
        <w:rPr>
          <w:rFonts w:ascii="仿宋" w:eastAsia="仿宋" w:hAnsi="仿宋" w:cs="仿宋"/>
          <w:b/>
          <w:bCs/>
          <w:sz w:val="28"/>
          <w:szCs w:val="28"/>
        </w:rPr>
        <w:t>产品方案一览表</w:t>
      </w:r>
    </w:p>
    <w:tbl>
      <w:tblPr>
        <w:tblStyle w:val="TableNormal"/>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
      <w:tblGrid>
        <w:gridCol w:w="1000"/>
        <w:gridCol w:w="2250"/>
        <w:gridCol w:w="2250"/>
        <w:gridCol w:w="2250"/>
        <w:gridCol w:w="2250"/>
      </w:tblGrid>
      <w:tr w:rsidTr="007F1D13">
        <w:tblPrEx>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tblPrEx>
        <w:tc>
          <w:tcPr>
            <w:tcW w:w="1000" w:type="dxa"/>
            <w:shd w:val="clear" w:color="auto" w:fill="auto"/>
            <w:vAlign w:val="center"/>
          </w:tcPr>
          <w:p w:rsidR="00995B51" w:rsidRPr="00722E63">
            <w:pPr>
              <w:jc w:val="left"/>
            </w:pPr>
            <w:r w:rsidRPr="00722E63">
              <w:rPr>
                <w:rFonts w:ascii="仿宋" w:eastAsia="仿宋" w:hAnsi="仿宋"/>
                <w:b/>
                <w:color w:val="auto"/>
                <w:sz w:val="22"/>
                <w:szCs w:val="22"/>
              </w:rPr>
              <w:t>序号</w:t>
            </w:r>
          </w:p>
        </w:tc>
        <w:tc>
          <w:tcPr>
            <w:tcW w:w="2250" w:type="dxa"/>
            <w:shd w:val="clear" w:color="auto" w:fill="auto"/>
            <w:vAlign w:val="center"/>
          </w:tcPr>
          <w:p w:rsidR="00995B51" w:rsidRPr="00722E63">
            <w:pPr>
              <w:jc w:val="left"/>
            </w:pPr>
            <w:r w:rsidRPr="00722E63">
              <w:rPr>
                <w:rFonts w:ascii="仿宋" w:eastAsia="仿宋" w:hAnsi="仿宋"/>
                <w:b/>
                <w:color w:val="auto"/>
                <w:sz w:val="22"/>
                <w:szCs w:val="22"/>
              </w:rPr>
              <w:t>产品名称</w:t>
            </w:r>
          </w:p>
        </w:tc>
        <w:tc>
          <w:tcPr>
            <w:tcW w:w="2250" w:type="dxa"/>
            <w:shd w:val="clear" w:color="auto" w:fill="auto"/>
            <w:vAlign w:val="center"/>
          </w:tcPr>
          <w:p w:rsidR="00995B51" w:rsidRPr="00722E63">
            <w:pPr>
              <w:jc w:val="left"/>
            </w:pPr>
            <w:r w:rsidRPr="00722E63">
              <w:rPr>
                <w:rFonts w:ascii="仿宋" w:eastAsia="仿宋" w:hAnsi="仿宋"/>
                <w:b/>
                <w:color w:val="auto"/>
                <w:sz w:val="22"/>
                <w:szCs w:val="22"/>
              </w:rPr>
              <w:t>单位</w:t>
            </w:r>
          </w:p>
        </w:tc>
        <w:tc>
          <w:tcPr>
            <w:tcW w:w="2250" w:type="dxa"/>
            <w:shd w:val="clear" w:color="auto" w:fill="auto"/>
            <w:vAlign w:val="center"/>
          </w:tcPr>
          <w:p w:rsidR="00995B51" w:rsidRPr="00722E63">
            <w:pPr>
              <w:jc w:val="left"/>
            </w:pPr>
            <w:r w:rsidRPr="00722E63">
              <w:rPr>
                <w:rFonts w:ascii="仿宋" w:eastAsia="仿宋" w:hAnsi="仿宋"/>
                <w:b/>
                <w:color w:val="auto"/>
                <w:sz w:val="22"/>
                <w:szCs w:val="22"/>
              </w:rPr>
              <w:t>年产量</w:t>
            </w:r>
          </w:p>
        </w:tc>
        <w:tc>
          <w:tcPr>
            <w:tcW w:w="2250" w:type="dxa"/>
            <w:shd w:val="clear" w:color="auto" w:fill="auto"/>
            <w:vAlign w:val="center"/>
          </w:tcPr>
          <w:p w:rsidR="00995B51" w:rsidRPr="00722E63">
            <w:pPr>
              <w:jc w:val="left"/>
            </w:pPr>
            <w:r w:rsidRPr="00722E63">
              <w:rPr>
                <w:rFonts w:ascii="仿宋" w:eastAsia="仿宋" w:hAnsi="仿宋"/>
                <w:b/>
                <w:color w:val="auto"/>
                <w:sz w:val="22"/>
                <w:szCs w:val="22"/>
              </w:rPr>
              <w:t>年产值</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1</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富氢水A</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15041.25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2</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富氢水B</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8356.25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3</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富氢水C</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5013.75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4</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富氢水D</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2674.00</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5</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富氢水E</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1671.25</w:t>
            </w:r>
          </w:p>
        </w:tc>
      </w:tr>
      <w:tr w:rsidTr="007F1D13">
        <w:tblPrEx>
          <w:tblW w:w="0" w:type="auto"/>
          <w:tblLook w:val="04A0"/>
        </w:tblPrEx>
        <w:tc>
          <w:tcPr>
            <w:tcW w:w="0" w:type="dxa"/>
            <w:shd w:val="clear" w:color="auto" w:fill="auto"/>
            <w:vAlign w:val="center"/>
          </w:tcPr>
          <w:p w:rsidR="00995B51" w:rsidRPr="00722E63">
            <w:pPr>
              <w:jc w:val="left"/>
            </w:pPr>
            <w:r w:rsidRPr="00722E63">
              <w:rPr>
                <w:rFonts w:ascii="仿宋" w:eastAsia="仿宋" w:hAnsi="仿宋"/>
                <w:color w:val="auto"/>
                <w:sz w:val="20"/>
                <w:szCs w:val="20"/>
              </w:rPr>
              <w:t>6</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富氢水F</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668.50</w:t>
            </w:r>
          </w:p>
        </w:tc>
      </w:tr>
      <w:tr w:rsidTr="007F1D13">
        <w:tblPrEx>
          <w:tblW w:w="0" w:type="auto"/>
          <w:tblLook w:val="04A0"/>
        </w:tblPrEx>
        <w:tc>
          <w:tcPr>
            <w:tcW w:w="0" w:type="dxa"/>
            <w:shd w:val="clear" w:color="auto" w:fill="auto"/>
            <w:vAlign w:val="center"/>
          </w:tcPr>
          <w:p w:rsidR="00995B51" w:rsidRPr="00722E63">
            <w:pPr>
              <w:jc w:val="left"/>
            </w:pPr>
          </w:p>
        </w:tc>
        <w:tc>
          <w:tcPr>
            <w:tcW w:w="0" w:type="dxa"/>
            <w:shd w:val="clear" w:color="auto" w:fill="auto"/>
            <w:vAlign w:val="center"/>
          </w:tcPr>
          <w:p w:rsidR="00995B51" w:rsidRPr="00722E63">
            <w:pPr>
              <w:jc w:val="left"/>
            </w:pPr>
            <w:r w:rsidRPr="00722E63">
              <w:rPr>
                <w:rFonts w:ascii="仿宋" w:eastAsia="仿宋" w:hAnsi="仿宋"/>
                <w:color w:val="auto"/>
                <w:sz w:val="20"/>
                <w:szCs w:val="20"/>
              </w:rPr>
              <w:t>合计</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单位</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xxx</w:t>
            </w:r>
          </w:p>
        </w:tc>
        <w:tc>
          <w:tcPr>
            <w:tcW w:w="0" w:type="dxa"/>
            <w:shd w:val="clear" w:color="auto" w:fill="auto"/>
            <w:vAlign w:val="center"/>
          </w:tcPr>
          <w:p w:rsidR="00995B51" w:rsidRPr="00722E63">
            <w:pPr>
              <w:jc w:val="left"/>
            </w:pPr>
            <w:r w:rsidRPr="00722E63">
              <w:rPr>
                <w:rFonts w:ascii="仿宋" w:eastAsia="仿宋" w:hAnsi="仿宋"/>
                <w:color w:val="auto"/>
                <w:sz w:val="20"/>
                <w:szCs w:val="20"/>
              </w:rPr>
              <w:t>33425.00</w:t>
            </w:r>
          </w:p>
        </w:tc>
      </w:tr>
    </w:tbl>
    <w:p w:rsidR="00A77427">
      <w:pPr>
        <w:ind w:firstLine="600"/>
      </w:pPr>
    </w:p>
    <w:p w:rsidR="00A77427">
      <w:pPr>
        <w:ind w:firstLine="600"/>
      </w:pPr>
      <w:r>
        <w:rPr>
          <w:rFonts w:ascii="黑体" w:eastAsia="黑体" w:hAnsi="黑体" w:cs="黑体"/>
          <w:b/>
          <w:bCs/>
          <w:sz w:val="32"/>
          <w:szCs w:val="32"/>
        </w:rPr>
        <w:t>二、建设规模</w:t>
      </w:r>
    </w:p>
    <w:p w:rsidR="00A77427">
      <w:pPr>
        <w:ind w:firstLine="600"/>
      </w:pPr>
      <w:r>
        <w:rPr>
          <w:rFonts w:ascii="仿宋" w:eastAsia="仿宋" w:hAnsi="仿宋" w:cs="仿宋"/>
          <w:b/>
          <w:bCs/>
          <w:sz w:val="32"/>
          <w:szCs w:val="32"/>
        </w:rPr>
        <w:t>（一）用地规模</w:t>
      </w:r>
    </w:p>
    <w:p w:rsidR="00A77427">
      <w:pPr>
        <w:ind w:firstLine="600"/>
      </w:pPr>
      <w:r>
        <w:rPr>
          <w:rFonts w:ascii="仿宋" w:eastAsia="仿宋" w:hAnsi="仿宋" w:cs="仿宋"/>
          <w:sz w:val="32"/>
          <w:szCs w:val="32"/>
        </w:rPr>
        <w:t>该项目占地面积57555.43平方米（折合约86.29亩），其中：净用地面积57555.43平方米（红线范围折合约86.29亩）。项目规划总建筑面积84606.48平方米，其中：规划建设主体工程58391.65平方米，计容建筑面积84606.48平方米；预计建筑工程投资7276.27万元。</w:t>
      </w:r>
    </w:p>
    <w:p w:rsidR="00A77427">
      <w:pPr>
        <w:ind w:firstLine="600"/>
      </w:pPr>
      <w:r>
        <w:rPr>
          <w:rFonts w:ascii="仿宋" w:eastAsia="仿宋" w:hAnsi="仿宋" w:cs="仿宋"/>
          <w:b/>
          <w:bCs/>
          <w:sz w:val="32"/>
          <w:szCs w:val="32"/>
        </w:rPr>
        <w:t>（二）产能规模</w:t>
      </w:r>
    </w:p>
    <w:p w:rsidR="00A77427">
      <w:pPr>
        <w:ind w:firstLine="600"/>
        <w:sectPr w:rsidSect="00A02F19">
          <w:headerReference w:type="even" r:id="rId136"/>
          <w:headerReference w:type="default" r:id="rId137"/>
          <w:footerReference w:type="even" r:id="rId138"/>
          <w:footerReference w:type="default" r:id="rId139"/>
          <w:headerReference w:type="first" r:id="rId140"/>
          <w:footerReference w:type="first" r:id="rId141"/>
          <w:type w:val="nextPage"/>
          <w:pgSz w:w="12240" w:h="15840"/>
          <w:pgMar w:top="1800" w:right="1200" w:bottom="1200" w:left="1200" w:header="720" w:footer="720" w:gutter="0"/>
          <w:pgNumType w:start="22"/>
          <w:cols w:space="720"/>
          <w:titlePg w:val="0"/>
          <w:docGrid w:linePitch="360"/>
        </w:sectPr>
      </w:pPr>
      <w:r>
        <w:rPr>
          <w:rFonts w:ascii="仿宋" w:eastAsia="仿宋" w:hAnsi="仿宋" w:cs="仿宋"/>
          <w:sz w:val="32"/>
          <w:szCs w:val="32"/>
        </w:rPr>
        <w:t>项目计划总投资20658.40万元；预计年实现营业收入33425.00万元。</w:t>
      </w:r>
    </w:p>
    <w:p w:rsidR="00A77427">
      <w:pPr>
        <w:jc w:val="center"/>
      </w:pPr>
      <w:r>
        <w:rPr>
          <w:rFonts w:ascii="黑体" w:eastAsia="黑体" w:hAnsi="黑体" w:cs="黑体"/>
          <w:b/>
          <w:bCs/>
          <w:sz w:val="32"/>
          <w:szCs w:val="32"/>
        </w:rPr>
        <w:t>第五章  项目工程设计</w:t>
      </w:r>
      <w:r>
        <w:br/>
      </w:r>
    </w:p>
    <w:p w:rsidR="00A77427">
      <w:pPr>
        <w:ind w:firstLine="600"/>
      </w:pPr>
      <w:r>
        <w:rPr>
          <w:rFonts w:ascii="黑体" w:eastAsia="黑体" w:hAnsi="黑体" w:cs="黑体"/>
          <w:b/>
          <w:bCs/>
          <w:sz w:val="32"/>
          <w:szCs w:val="32"/>
        </w:rPr>
        <w:t>一、建筑工程设计原则</w:t>
      </w:r>
    </w:p>
    <w:p w:rsidR="00A77427">
      <w:pPr>
        <w:ind w:firstLine="600"/>
      </w:pPr>
      <w:r>
        <w:rPr>
          <w:rFonts w:ascii="仿宋" w:eastAsia="仿宋" w:hAnsi="仿宋" w:cs="仿宋"/>
          <w:sz w:val="32"/>
          <w:szCs w:val="32"/>
        </w:rPr>
        <w:t>项目承办单位本着“适用、安全、经济、美观”的原则并遵照国家建筑设计规范进行项目建筑工程设计；在满足投资项目生产工艺设备要求的前提下，力求布局合理、造型美观、色彩协调、施工方便，努力建设既有时代感又有地方特色的工业建筑群的新形象。项目承办单位本着“适用、安全、经济、美观”的原则并遵照国家建筑设计规范进行项目建筑工程设计；在满足投资项目生产工艺设备要求的前提下，力求布局合理、造型美观、色彩协调、施工方便，努力建设既有时代感又有地方特色的工业建筑群的新形象。</w:t>
      </w:r>
    </w:p>
    <w:p w:rsidR="00A77427">
      <w:pPr>
        <w:ind w:firstLine="600"/>
      </w:pPr>
      <w:r>
        <w:rPr>
          <w:rFonts w:ascii="黑体" w:eastAsia="黑体" w:hAnsi="黑体" w:cs="黑体"/>
          <w:b/>
          <w:bCs/>
          <w:sz w:val="32"/>
          <w:szCs w:val="32"/>
        </w:rPr>
        <w:t>二、项目工程建设标准规范</w:t>
      </w:r>
    </w:p>
    <w:p w:rsidR="00A77427">
      <w:pPr>
        <w:ind w:firstLine="600"/>
      </w:pPr>
      <w:r>
        <w:rPr>
          <w:rFonts w:ascii="仿宋" w:eastAsia="仿宋" w:hAnsi="仿宋" w:cs="仿宋"/>
          <w:sz w:val="32"/>
          <w:szCs w:val="32"/>
        </w:rPr>
        <w:t>1、《无障碍设计规范》</w:t>
      </w:r>
    </w:p>
    <w:p w:rsidR="00A77427">
      <w:pPr>
        <w:ind w:firstLine="600"/>
      </w:pPr>
      <w:r>
        <w:rPr>
          <w:rFonts w:ascii="仿宋" w:eastAsia="仿宋" w:hAnsi="仿宋" w:cs="仿宋"/>
          <w:sz w:val="32"/>
          <w:szCs w:val="32"/>
        </w:rPr>
        <w:t>2、《民用建筑供暖通风与空气调节设计规范》</w:t>
      </w:r>
    </w:p>
    <w:p w:rsidR="00A77427">
      <w:pPr>
        <w:ind w:firstLine="600"/>
      </w:pPr>
      <w:r>
        <w:rPr>
          <w:rFonts w:ascii="仿宋" w:eastAsia="仿宋" w:hAnsi="仿宋" w:cs="仿宋"/>
          <w:sz w:val="32"/>
          <w:szCs w:val="32"/>
        </w:rPr>
        <w:t>3、《民用建筑设计通则》</w:t>
      </w:r>
    </w:p>
    <w:p w:rsidR="00A77427">
      <w:pPr>
        <w:ind w:firstLine="600"/>
      </w:pPr>
      <w:r>
        <w:rPr>
          <w:rFonts w:ascii="仿宋" w:eastAsia="仿宋" w:hAnsi="仿宋" w:cs="仿宋"/>
          <w:sz w:val="32"/>
          <w:szCs w:val="32"/>
        </w:rPr>
        <w:t>4、《屋面工程技术规范》</w:t>
      </w:r>
    </w:p>
    <w:p w:rsidR="00A77427">
      <w:pPr>
        <w:ind w:firstLine="600"/>
      </w:pPr>
      <w:r>
        <w:rPr>
          <w:rFonts w:ascii="仿宋" w:eastAsia="仿宋" w:hAnsi="仿宋" w:cs="仿宋"/>
          <w:sz w:val="32"/>
          <w:szCs w:val="32"/>
        </w:rPr>
        <w:t>5、《建筑工程抗震设防分类标准》</w:t>
      </w:r>
    </w:p>
    <w:p w:rsidR="00A77427">
      <w:pPr>
        <w:ind w:firstLine="600"/>
      </w:pPr>
      <w:r>
        <w:rPr>
          <w:rFonts w:ascii="仿宋" w:eastAsia="仿宋" w:hAnsi="仿宋" w:cs="仿宋"/>
          <w:sz w:val="32"/>
          <w:szCs w:val="32"/>
        </w:rPr>
        <w:t>6、《地下工程防水技术规范》</w:t>
      </w:r>
    </w:p>
    <w:p w:rsidR="00A77427">
      <w:pPr>
        <w:ind w:firstLine="600"/>
        <w:sectPr w:rsidSect="00A02F19">
          <w:headerReference w:type="even" r:id="rId142"/>
          <w:headerReference w:type="default" r:id="rId143"/>
          <w:footerReference w:type="even" r:id="rId144"/>
          <w:footerReference w:type="default" r:id="rId145"/>
          <w:headerReference w:type="first" r:id="rId146"/>
          <w:footerReference w:type="first" r:id="rId147"/>
          <w:type w:val="nextPage"/>
          <w:pgSz w:w="12240" w:h="15840"/>
          <w:pgMar w:top="1800" w:right="1200" w:bottom="1200" w:left="1200" w:header="720" w:footer="720" w:gutter="0"/>
          <w:pgNumType w:start="23"/>
          <w:cols w:space="720"/>
          <w:titlePg w:val="0"/>
          <w:docGrid w:linePitch="360"/>
        </w:sectPr>
      </w:pPr>
      <w:r>
        <w:rPr>
          <w:rFonts w:ascii="仿宋" w:eastAsia="仿宋" w:hAnsi="仿宋" w:cs="仿宋"/>
          <w:sz w:val="32"/>
          <w:szCs w:val="32"/>
        </w:rPr>
        <w:t>7、《自动喷水灭火系统设计规范》</w:t>
      </w:r>
    </w:p>
    <w:p w:rsidR="00A77427">
      <w:pPr>
        <w:ind w:firstLine="600"/>
      </w:pPr>
      <w:r>
        <w:rPr>
          <w:rFonts w:ascii="仿宋" w:eastAsia="仿宋" w:hAnsi="仿宋" w:cs="仿宋"/>
          <w:sz w:val="32"/>
          <w:szCs w:val="32"/>
        </w:rPr>
        <w:t>8、《建筑结构可靠度设计统一标准》</w:t>
      </w:r>
    </w:p>
    <w:p w:rsidR="00A77427">
      <w:pPr>
        <w:ind w:firstLine="600"/>
      </w:pPr>
      <w:r>
        <w:rPr>
          <w:rFonts w:ascii="仿宋" w:eastAsia="仿宋" w:hAnsi="仿宋" w:cs="仿宋"/>
          <w:sz w:val="32"/>
          <w:szCs w:val="32"/>
        </w:rPr>
        <w:t>9、《汽车库、修车库、停车库设计防火规范》</w:t>
      </w:r>
    </w:p>
    <w:p w:rsidR="00A77427">
      <w:pPr>
        <w:ind w:firstLine="600"/>
      </w:pPr>
      <w:r>
        <w:rPr>
          <w:rFonts w:ascii="黑体" w:eastAsia="黑体" w:hAnsi="黑体" w:cs="黑体"/>
          <w:b/>
          <w:bCs/>
          <w:sz w:val="32"/>
          <w:szCs w:val="32"/>
        </w:rPr>
        <w:t>三、项目总平面设计要求</w:t>
      </w:r>
    </w:p>
    <w:p w:rsidR="00A77427">
      <w:pPr>
        <w:ind w:firstLine="600"/>
      </w:pPr>
      <w:r>
        <w:rPr>
          <w:rFonts w:ascii="仿宋" w:eastAsia="仿宋" w:hAnsi="仿宋" w:cs="仿宋"/>
          <w:sz w:val="32"/>
          <w:szCs w:val="32"/>
        </w:rPr>
        <w:t>本工程项目位于项目建设地，本次设计通过与建设方的多次沟通、考察、论证，最后达成共识。针对项目承办单位提出的“高标准、高质量、快进度”的要求，为了达到这一共同的目标，投资项目在整个设计过程中，始终贯彻这一原则，以“尊重自然、享受自然、爱护自然”为基点，全力提高员工的“学习力、创造力和凝聚力”，实现项目承办单位经济快速发展的奋斗目标。</w:t>
      </w:r>
    </w:p>
    <w:p w:rsidR="00A77427">
      <w:pPr>
        <w:ind w:firstLine="600"/>
      </w:pPr>
      <w:r>
        <w:rPr>
          <w:rFonts w:ascii="黑体" w:eastAsia="黑体" w:hAnsi="黑体" w:cs="黑体"/>
          <w:b/>
          <w:bCs/>
          <w:sz w:val="32"/>
          <w:szCs w:val="32"/>
        </w:rPr>
        <w:t>四、建筑设计规范和标准</w:t>
      </w:r>
    </w:p>
    <w:p w:rsidR="00A77427">
      <w:pPr>
        <w:ind w:firstLine="600"/>
      </w:pPr>
      <w:r>
        <w:rPr>
          <w:rFonts w:ascii="仿宋" w:eastAsia="仿宋" w:hAnsi="仿宋" w:cs="仿宋"/>
          <w:sz w:val="32"/>
          <w:szCs w:val="32"/>
        </w:rPr>
        <w:t>1、《砌体结构设计规范》</w:t>
      </w:r>
    </w:p>
    <w:p w:rsidR="00A77427">
      <w:pPr>
        <w:ind w:firstLine="600"/>
      </w:pPr>
      <w:r>
        <w:rPr>
          <w:rFonts w:ascii="仿宋" w:eastAsia="仿宋" w:hAnsi="仿宋" w:cs="仿宋"/>
          <w:sz w:val="32"/>
          <w:szCs w:val="32"/>
        </w:rPr>
        <w:t>2、《建筑地基基础设计规范》</w:t>
      </w:r>
    </w:p>
    <w:p w:rsidR="00A77427">
      <w:pPr>
        <w:ind w:firstLine="600"/>
      </w:pPr>
      <w:r>
        <w:rPr>
          <w:rFonts w:ascii="仿宋" w:eastAsia="仿宋" w:hAnsi="仿宋" w:cs="仿宋"/>
          <w:sz w:val="32"/>
          <w:szCs w:val="32"/>
        </w:rPr>
        <w:t>3、《建筑结构荷载规范》</w:t>
      </w:r>
    </w:p>
    <w:p w:rsidR="00A77427">
      <w:pPr>
        <w:ind w:firstLine="600"/>
      </w:pPr>
      <w:r>
        <w:rPr>
          <w:rFonts w:ascii="仿宋" w:eastAsia="仿宋" w:hAnsi="仿宋" w:cs="仿宋"/>
          <w:sz w:val="32"/>
          <w:szCs w:val="32"/>
        </w:rPr>
        <w:t>4、《混凝土结构设计规范》</w:t>
      </w:r>
    </w:p>
    <w:p w:rsidR="00A77427">
      <w:pPr>
        <w:ind w:firstLine="600"/>
      </w:pPr>
      <w:r>
        <w:rPr>
          <w:rFonts w:ascii="仿宋" w:eastAsia="仿宋" w:hAnsi="仿宋" w:cs="仿宋"/>
          <w:sz w:val="32"/>
          <w:szCs w:val="32"/>
        </w:rPr>
        <w:t>5、《建筑抗震设计规范》</w:t>
      </w:r>
    </w:p>
    <w:p w:rsidR="00A77427">
      <w:pPr>
        <w:ind w:firstLine="600"/>
      </w:pPr>
      <w:r>
        <w:rPr>
          <w:rFonts w:ascii="仿宋" w:eastAsia="仿宋" w:hAnsi="仿宋" w:cs="仿宋"/>
          <w:sz w:val="32"/>
          <w:szCs w:val="32"/>
        </w:rPr>
        <w:t>6、《钢结构设计规范》</w:t>
      </w:r>
    </w:p>
    <w:p w:rsidR="00A77427">
      <w:pPr>
        <w:ind w:firstLine="600"/>
        <w:sectPr w:rsidSect="00A02F19">
          <w:headerReference w:type="even" r:id="rId148"/>
          <w:headerReference w:type="default" r:id="rId149"/>
          <w:footerReference w:type="even" r:id="rId150"/>
          <w:footerReference w:type="default" r:id="rId151"/>
          <w:headerReference w:type="first" r:id="rId152"/>
          <w:footerReference w:type="first" r:id="rId153"/>
          <w:type w:val="nextPage"/>
          <w:pgSz w:w="12240" w:h="15840"/>
          <w:pgMar w:top="1800" w:right="1200" w:bottom="1200" w:left="1200" w:header="720" w:footer="720" w:gutter="0"/>
          <w:pgNumType w:start="24"/>
          <w:cols w:space="720"/>
          <w:titlePg w:val="0"/>
          <w:docGrid w:linePitch="360"/>
        </w:sectPr>
      </w:pPr>
      <w:r>
        <w:rPr>
          <w:rFonts w:ascii="黑体" w:eastAsia="黑体" w:hAnsi="黑体" w:cs="黑体"/>
          <w:b/>
          <w:bCs/>
          <w:sz w:val="32"/>
          <w:szCs w:val="32"/>
        </w:rPr>
        <w:t>五、土建工程设计年限及安全等级</w:t>
      </w:r>
    </w:p>
    <w:p w:rsidR="00A77427">
      <w:pPr>
        <w:ind w:firstLine="600"/>
      </w:pPr>
      <w:r>
        <w:rPr>
          <w:rFonts w:ascii="仿宋" w:eastAsia="仿宋" w:hAnsi="仿宋" w:cs="仿宋"/>
          <w:sz w:val="32"/>
          <w:szCs w:val="32"/>
        </w:rPr>
        <w:t>砌体结构应按规范设置地圈梁及构造柱，建筑物耐火等级为Ⅱ级。根据《建筑结构可靠度设计统一标准》（GB50068）的规定，投资项目中所有建（构）筑物均按永久性建筑要求设计，使用年限为50.00年。</w:t>
      </w:r>
    </w:p>
    <w:p w:rsidR="00A77427">
      <w:pPr>
        <w:ind w:firstLine="600"/>
      </w:pPr>
      <w:r>
        <w:rPr>
          <w:rFonts w:ascii="黑体" w:eastAsia="黑体" w:hAnsi="黑体" w:cs="黑体"/>
          <w:b/>
          <w:bCs/>
          <w:sz w:val="32"/>
          <w:szCs w:val="32"/>
        </w:rPr>
        <w:t>六、建筑工程设计总体要求</w:t>
      </w:r>
    </w:p>
    <w:p w:rsidR="00A77427">
      <w:pPr>
        <w:ind w:firstLine="600"/>
      </w:pPr>
      <w:r>
        <w:rPr>
          <w:rFonts w:ascii="仿宋" w:eastAsia="仿宋" w:hAnsi="仿宋" w:cs="仿宋"/>
          <w:sz w:val="32"/>
          <w:szCs w:val="32"/>
        </w:rPr>
        <w:t>建筑设计是根据生产工艺提出的设计条件结合总图位置，进行平面布局，空间组合，结构选型，全面考虑施工、安装及检修要求，既要充分满足生产经营要求，又要注重建筑的形象。土建工程是在满足生产工艺专业所提条件的前提下，使其满足国家的有关规范规定，还结合当地的自然条件、施工能力，力求建筑的美观大方，经济实用，并使场区各建构筑物协调一致。</w:t>
      </w:r>
    </w:p>
    <w:p w:rsidR="00A77427">
      <w:pPr>
        <w:ind w:firstLine="600"/>
      </w:pPr>
      <w:r>
        <w:rPr>
          <w:rFonts w:ascii="黑体" w:eastAsia="黑体" w:hAnsi="黑体" w:cs="黑体"/>
          <w:b/>
          <w:bCs/>
          <w:sz w:val="32"/>
          <w:szCs w:val="32"/>
        </w:rPr>
        <w:t>七、土建工程建设指标</w:t>
      </w:r>
    </w:p>
    <w:p w:rsidR="00A77427">
      <w:pPr>
        <w:ind w:firstLine="600"/>
        <w:sectPr w:rsidSect="00A02F19">
          <w:headerReference w:type="even" r:id="rId154"/>
          <w:headerReference w:type="default" r:id="rId155"/>
          <w:footerReference w:type="even" r:id="rId156"/>
          <w:footerReference w:type="default" r:id="rId157"/>
          <w:headerReference w:type="first" r:id="rId158"/>
          <w:footerReference w:type="first" r:id="rId159"/>
          <w:type w:val="nextPage"/>
          <w:pgSz w:w="12240" w:h="15840"/>
          <w:pgMar w:top="1800" w:right="1200" w:bottom="1200" w:left="1200" w:header="720" w:footer="720" w:gutter="0"/>
          <w:pgNumType w:start="25"/>
          <w:cols w:space="720"/>
          <w:titlePg w:val="0"/>
          <w:docGrid w:linePitch="360"/>
        </w:sectPr>
      </w:pPr>
      <w:r>
        <w:rPr>
          <w:rFonts w:ascii="仿宋" w:eastAsia="仿宋" w:hAnsi="仿宋" w:cs="仿宋"/>
          <w:sz w:val="32"/>
          <w:szCs w:val="32"/>
        </w:rPr>
        <w:t>本期工程项目预计总建筑面积84606.48平方米，其中：计容建筑面积84606.48平方米，计划建筑工程投资7276.27万元，占项目总投资的35.22%。</w:t>
      </w:r>
    </w:p>
    <w:p w:rsidR="00A77427">
      <w:pPr>
        <w:jc w:val="center"/>
      </w:pPr>
      <w:r>
        <w:rPr>
          <w:rFonts w:ascii="黑体" w:eastAsia="黑体" w:hAnsi="黑体" w:cs="黑体"/>
          <w:b/>
          <w:bCs/>
          <w:sz w:val="32"/>
          <w:szCs w:val="32"/>
        </w:rPr>
        <w:t>第六章  运营管理模式</w:t>
      </w:r>
      <w:r>
        <w:br/>
      </w:r>
    </w:p>
    <w:p w:rsidR="00A77427">
      <w:pPr>
        <w:ind w:firstLine="600"/>
      </w:pPr>
      <w:r>
        <w:rPr>
          <w:rFonts w:ascii="黑体" w:eastAsia="黑体" w:hAnsi="黑体" w:cs="黑体"/>
          <w:b/>
          <w:bCs/>
          <w:sz w:val="32"/>
          <w:szCs w:val="32"/>
        </w:rPr>
        <w:t>一、公司的目标、主要职责和权限</w:t>
      </w:r>
    </w:p>
    <w:p w:rsidR="00A77427">
      <w:pPr>
        <w:ind w:firstLine="600"/>
      </w:pPr>
      <w:r>
        <w:rPr>
          <w:rFonts w:ascii="仿宋" w:eastAsia="仿宋" w:hAnsi="仿宋" w:cs="仿宋"/>
          <w:b/>
          <w:bCs/>
          <w:sz w:val="32"/>
          <w:szCs w:val="32"/>
        </w:rPr>
        <w:t>（一）目标</w:t>
      </w:r>
    </w:p>
    <w:p w:rsidR="00A77427">
      <w:pPr>
        <w:ind w:firstLine="600"/>
      </w:pPr>
      <w:r>
        <w:rPr>
          <w:rFonts w:ascii="仿宋" w:eastAsia="仿宋" w:hAnsi="仿宋" w:cs="仿宋"/>
          <w:sz w:val="32"/>
          <w:szCs w:val="32"/>
        </w:rPr>
        <w:t>近期目标：深化企业改革，加快结构调整，优化资源配置，加强企业管理，建立现代企业制度；精干主业，分离辅业，增强企业市场竞争力，加快发展；提高企业经济效益，完善管理制度及运营网络。</w:t>
      </w:r>
    </w:p>
    <w:p w:rsidR="00A77427">
      <w:pPr>
        <w:ind w:firstLine="600"/>
      </w:pPr>
      <w:r>
        <w:rPr>
          <w:rFonts w:ascii="仿宋" w:eastAsia="仿宋" w:hAnsi="仿宋" w:cs="仿宋"/>
          <w:sz w:val="32"/>
          <w:szCs w:val="32"/>
        </w:rPr>
        <w:t>远期目标：探索模式创新、制度创新、管理创新的产业发展新思路。坚持发展自主品牌，提升企业核心竞争力。此外，面向国际、国内两个市场，优化资源配置，实施多元化战略，向产业集团化发展，力争利用3-5年的时间把公司建设成具有先进管理水平和较强市场竞争实力的大型企业集团。</w:t>
      </w:r>
    </w:p>
    <w:p w:rsidR="00A77427">
      <w:pPr>
        <w:ind w:firstLine="600"/>
      </w:pPr>
      <w:r>
        <w:rPr>
          <w:rFonts w:ascii="仿宋" w:eastAsia="仿宋" w:hAnsi="仿宋" w:cs="仿宋"/>
          <w:b/>
          <w:bCs/>
          <w:sz w:val="32"/>
          <w:szCs w:val="32"/>
        </w:rPr>
        <w:t>（二）主要职责和权限</w:t>
      </w:r>
    </w:p>
    <w:p w:rsidR="00A77427">
      <w:pPr>
        <w:ind w:firstLine="600"/>
      </w:pPr>
      <w:r>
        <w:rPr>
          <w:rFonts w:ascii="仿宋" w:eastAsia="仿宋" w:hAnsi="仿宋" w:cs="仿宋"/>
          <w:sz w:val="32"/>
          <w:szCs w:val="32"/>
        </w:rPr>
        <w:t>1、执行国家法律、法规和产业政策，在国家宏观调控和行业监管下，以市场需求为导向，依法自主经营。</w:t>
      </w:r>
    </w:p>
    <w:p w:rsidR="00A77427">
      <w:pPr>
        <w:ind w:firstLine="600"/>
      </w:pPr>
      <w:r>
        <w:rPr>
          <w:rFonts w:ascii="仿宋" w:eastAsia="仿宋" w:hAnsi="仿宋" w:cs="仿宋"/>
          <w:sz w:val="32"/>
          <w:szCs w:val="32"/>
        </w:rPr>
        <w:t>2、根据国家和地方产业政策、富氢水行业发展规划和市场需求，制定并组织实施公司的发展战略、中长期发展规划、年度计划和重大经营决策。</w:t>
      </w:r>
      <w:r>
        <w:br/>
      </w:r>
      <w: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0" w:history="1">
        <w:r>
          <w:rPr>
            <w:rFonts w:ascii="SimSun" w:eastAsia="SimSun" w:hAnsi="SimSun" w:cs="SimSun"/>
            <w:b/>
            <w:bCs/>
            <w:color w:val="0000EE"/>
            <w:sz w:val="30"/>
            <w:szCs w:val="30"/>
            <w:u w:val="single" w:color="0000EE"/>
          </w:rPr>
          <w:t>https://d.book118.com/678022037051006027</w:t>
        </w:r>
      </w:hyperlink>
    </w:p>
    <w:p w:rsidR="00A77427">
      <w:pPr>
        <w:ind w:firstLine="600"/>
      </w:pPr>
    </w:p>
    <w:sectPr w:rsidSect="00A02F19">
      <w:headerReference w:type="even" r:id="rId161"/>
      <w:headerReference w:type="default" r:id="rId162"/>
      <w:footerReference w:type="even" r:id="rId163"/>
      <w:footerReference w:type="default" r:id="rId164"/>
      <w:headerReference w:type="first" r:id="rId165"/>
      <w:footerReference w:type="first" r:id="rId166"/>
      <w:type w:val="nextPage"/>
      <w:pgSz w:w="12240" w:h="15840"/>
      <w:pgMar w:top="1800" w:right="1200" w:bottom="1200" w:left="1200" w:header="720" w:footer="720" w:gutter="0"/>
      <w:pgNumType w:start="2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7427">
    <w:r>
      <w:rPr>
        <w:rFonts w:ascii="仿宋" w:eastAsia="仿宋" w:hAnsi="仿宋" w:cs="仿宋"/>
        <w:sz w:val="20"/>
        <w:szCs w:val="20"/>
      </w:rPr>
      <w:t>泓域咨询MACRO/   富氢水项目投资商业计划书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218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09F643A"/>
    <w:multiLevelType w:val="hybridMultilevel"/>
    <w:tmpl w:val="B8B464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722E63"/>
    <w:rsid w:val="00995B51"/>
    <w:rsid w:val="009F2180"/>
    <w:rsid w:val="00A02F19"/>
    <w:rsid w:val="00A77427"/>
    <w:rsid w:val="00A94AF2"/>
  </w:rsids>
  <m:mathPr>
    <m:mathFont m:val="Cambria Math"/>
  </m:mathPr>
  <w:themeFontLang w:val="en-US" w:bidi="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line="4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78022037051006027"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numbering" Target="numbering.xml" /><Relationship Id="rId169"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0</Words>
  <Characters>0</Characters>
  <Application>Microsoft Office Word</Application>
  <DocSecurity>0</DocSecurity>
  <Lines>1</Lines>
  <Paragraphs>1</Paragraphs>
  <ScaleCrop>false</ScaleCrop>
  <Company>officegen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officegen</cp:lastModifiedBy>
  <cp:revision>1</cp:revision>
  <dcterms:created xsi:type="dcterms:W3CDTF">2020-03-25T19:38:58Z</dcterms:created>
  <dcterms:modified xsi:type="dcterms:W3CDTF">2020-03-25T19:38:58Z</dcterms:modified>
</cp:coreProperties>
</file>