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Heading2"/>
        <w:rPr>
          <w:rFonts w:ascii="宋体" w:eastAsia="宋体"/>
        </w:rPr>
      </w:pPr>
      <w:r>
        <w:rPr>
          <w:u w:val="single"/>
        </w:rPr>
        <w:t>住宅</w:t>
      </w:r>
      <w:r>
        <w:t xml:space="preserve"> </w:t>
      </w:r>
      <w:r>
        <w:rPr>
          <w:rFonts w:ascii="宋体" w:eastAsia="宋体"/>
          <w:spacing w:val="-5"/>
        </w:rPr>
        <w:t>工程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p>
      <w:pPr>
        <w:spacing w:before="0" w:line="702" w:lineRule="exact"/>
        <w:ind w:left="587" w:right="728" w:firstLine="0"/>
        <w:jc w:val="center"/>
        <w:rPr>
          <w:rFonts w:ascii="Microsoft JhengHei" w:eastAsia="Microsoft JhengHei"/>
          <w:b/>
          <w:sz w:val="44"/>
        </w:rPr>
      </w:pPr>
      <w:r>
        <w:rPr>
          <w:rFonts w:ascii="Microsoft JhengHei" w:eastAsia="Microsoft JhengHei"/>
          <w:b/>
          <w:shadow/>
          <w:spacing w:val="-2"/>
          <w:w w:val="200"/>
          <w:sz w:val="44"/>
        </w:rPr>
        <w:t>监理实施细则</w:t>
      </w:r>
    </w:p>
    <w:p>
      <w:pPr>
        <w:pStyle w:val="BodyText"/>
        <w:spacing w:before="3"/>
        <w:rPr>
          <w:rFonts w:ascii="Microsoft JhengHei"/>
          <w:b/>
          <w:sz w:val="28"/>
        </w:rPr>
      </w:pPr>
    </w:p>
    <w:p>
      <w:pPr>
        <w:spacing w:before="0"/>
        <w:ind w:left="587" w:right="223" w:firstLine="0"/>
        <w:jc w:val="center"/>
        <w:rPr>
          <w:rFonts w:ascii="Microsoft JhengHei" w:eastAsia="Microsoft JhengHei"/>
          <w:b/>
          <w:sz w:val="48"/>
        </w:rPr>
      </w:pPr>
      <w:r>
        <w:rPr>
          <w:rFonts w:ascii="Microsoft JhengHei" w:eastAsia="Microsoft JhengHei"/>
          <w:b/>
          <w:sz w:val="48"/>
        </w:rPr>
        <w:t>（</w:t>
      </w:r>
      <w:r>
        <w:rPr>
          <w:rFonts w:ascii="Microsoft JhengHei" w:eastAsia="Microsoft JhengHei"/>
          <w:b/>
          <w:spacing w:val="65"/>
          <w:w w:val="150"/>
          <w:sz w:val="48"/>
        </w:rPr>
        <w:t xml:space="preserve"> </w:t>
      </w:r>
      <w:r>
        <w:rPr>
          <w:rFonts w:ascii="Microsoft JhengHei" w:eastAsia="Microsoft JhengHei"/>
          <w:b/>
          <w:sz w:val="52"/>
        </w:rPr>
        <w:t>平行检验</w:t>
      </w:r>
      <w:r>
        <w:rPr>
          <w:rFonts w:ascii="Microsoft JhengHei" w:eastAsia="Microsoft JhengHei"/>
          <w:b/>
          <w:spacing w:val="49"/>
          <w:w w:val="150"/>
          <w:sz w:val="52"/>
        </w:rPr>
        <w:t xml:space="preserve"> </w:t>
      </w:r>
      <w:r>
        <w:rPr>
          <w:rFonts w:ascii="Microsoft JhengHei" w:eastAsia="Microsoft JhengHei"/>
          <w:b/>
          <w:spacing w:val="-10"/>
          <w:sz w:val="48"/>
        </w:rPr>
        <w:t>）</w:t>
      </w:r>
    </w:p>
    <w:p>
      <w:pPr>
        <w:pStyle w:val="BodyText"/>
        <w:rPr>
          <w:rFonts w:ascii="Microsoft JhengHei"/>
          <w:b/>
          <w:sz w:val="52"/>
        </w:rPr>
      </w:pPr>
    </w:p>
    <w:p>
      <w:pPr>
        <w:pStyle w:val="BodyText"/>
        <w:spacing w:before="16"/>
        <w:rPr>
          <w:rFonts w:ascii="Microsoft JhengHei"/>
          <w:b/>
          <w:sz w:val="45"/>
        </w:rPr>
      </w:pPr>
    </w:p>
    <w:p>
      <w:pPr>
        <w:spacing w:before="0" w:line="624" w:lineRule="exact"/>
        <w:ind w:left="3960" w:right="4845" w:firstLine="5"/>
        <w:jc w:val="left"/>
        <w:rPr>
          <w:sz w:val="28"/>
        </w:rPr>
      </w:pPr>
      <w:r>
        <w:rPr>
          <w:rFonts w:ascii="Microsoft JhengHei" w:eastAsia="Microsoft JhengHei"/>
          <w:b/>
          <w:spacing w:val="-2"/>
          <w:sz w:val="28"/>
        </w:rPr>
        <w:t>内容提要：</w:t>
      </w:r>
      <w:r>
        <w:rPr>
          <w:rFonts w:ascii="Microsoft JhengHei" w:eastAsia="Microsoft JhengHei"/>
          <w:b/>
          <w:spacing w:val="-2"/>
          <w:sz w:val="28"/>
        </w:rPr>
        <w:t xml:space="preserve"> </w:t>
      </w:r>
      <w:r>
        <w:rPr>
          <w:spacing w:val="-2"/>
          <w:sz w:val="28"/>
        </w:rPr>
        <w:t>专业工程特点</w:t>
      </w:r>
      <w:r>
        <w:rPr>
          <w:spacing w:val="-2"/>
          <w:sz w:val="28"/>
        </w:rPr>
        <w:t>监理工作流程</w:t>
      </w:r>
      <w:r>
        <w:rPr>
          <w:spacing w:val="-2"/>
          <w:sz w:val="28"/>
        </w:rPr>
        <w:t>监理工作要点</w:t>
      </w:r>
    </w:p>
    <w:p>
      <w:pPr>
        <w:pStyle w:val="Heading5"/>
        <w:spacing w:before="219"/>
        <w:ind w:left="3960"/>
        <w:rPr>
          <w:rFonts w:ascii="宋体" w:eastAsia="宋体"/>
        </w:rPr>
      </w:pPr>
      <w:r>
        <w:rPr>
          <w:rFonts w:ascii="宋体" w:eastAsia="宋体"/>
          <w:spacing w:val="-2"/>
        </w:rPr>
        <w:t>监理工作方法及措施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2"/>
        <w:rPr>
          <w:sz w:val="26"/>
        </w:rPr>
      </w:pPr>
    </w:p>
    <w:p>
      <w:pPr>
        <w:pStyle w:val="Heading4"/>
        <w:tabs>
          <w:tab w:val="left" w:pos="8246"/>
        </w:tabs>
        <w:ind w:left="2980"/>
        <w:rPr>
          <w:rFonts w:ascii="Times New Roman" w:eastAsia="Times New Roman"/>
        </w:rPr>
      </w:pPr>
      <w:r>
        <w:t>项</w:t>
      </w:r>
      <w:r>
        <w:t>目</w:t>
      </w:r>
      <w:r>
        <w:t>监</w:t>
      </w:r>
      <w:r>
        <w:t>理</w:t>
      </w:r>
      <w:r>
        <w:t>机</w:t>
      </w:r>
      <w:r>
        <w:t>构</w:t>
      </w:r>
      <w:r>
        <w:t>（</w:t>
      </w:r>
      <w:r>
        <w:t>章</w:t>
      </w:r>
      <w:r>
        <w:rPr>
          <w:spacing w:val="-5"/>
        </w:rPr>
        <w:t>）：</w:t>
      </w:r>
      <w:r>
        <w:rPr>
          <w:rFonts w:ascii="Times New Roman" w:eastAsia="Times New Roman"/>
          <w:u w:val="thick"/>
        </w:rPr>
        <w:tab/>
      </w:r>
    </w:p>
    <w:p>
      <w:pPr>
        <w:pStyle w:val="BodyText"/>
        <w:spacing w:before="5"/>
        <w:rPr>
          <w:rFonts w:ascii="Times New Roman"/>
          <w:b/>
          <w:sz w:val="11"/>
        </w:rPr>
      </w:pPr>
    </w:p>
    <w:p>
      <w:pPr>
        <w:pStyle w:val="Heading4"/>
        <w:tabs>
          <w:tab w:val="left" w:pos="5701"/>
        </w:tabs>
        <w:spacing w:line="493" w:lineRule="exact"/>
        <w:ind w:left="587"/>
        <w:jc w:val="center"/>
        <w:rPr>
          <w:rFonts w:ascii="Times New Roman" w:eastAsia="Times New Roman"/>
        </w:rPr>
      </w:pPr>
      <w:r>
        <w:t>专</w:t>
      </w:r>
      <w:r>
        <w:t>业</w:t>
      </w:r>
      <w:r>
        <w:t>监</w:t>
      </w:r>
      <w:r>
        <w:t>理</w:t>
      </w:r>
      <w:r>
        <w:t>工</w:t>
      </w:r>
      <w:r>
        <w:t>程</w:t>
      </w:r>
      <w:r>
        <w:t>师</w:t>
      </w:r>
      <w:r>
        <w:rPr>
          <w:spacing w:val="-10"/>
        </w:rPr>
        <w:t>：</w:t>
      </w:r>
      <w:r>
        <w:rPr>
          <w:rFonts w:ascii="Times New Roman" w:eastAsia="Times New Roman"/>
          <w:u w:val="thick"/>
        </w:rPr>
        <w:tab/>
      </w:r>
    </w:p>
    <w:p>
      <w:pPr>
        <w:pStyle w:val="BodyText"/>
        <w:spacing w:before="5"/>
        <w:rPr>
          <w:rFonts w:ascii="Times New Roman"/>
          <w:b/>
          <w:sz w:val="11"/>
        </w:rPr>
      </w:pPr>
    </w:p>
    <w:p>
      <w:pPr>
        <w:pStyle w:val="Heading4"/>
        <w:tabs>
          <w:tab w:val="left" w:pos="7779"/>
        </w:tabs>
        <w:spacing w:line="493" w:lineRule="exact"/>
        <w:ind w:left="2980"/>
      </w:pPr>
      <w:r>
        <w:t>总</w:t>
      </w:r>
      <w:r>
        <w:t>监</w:t>
      </w:r>
      <w:r>
        <w:t>理</w:t>
      </w:r>
      <w:r>
        <w:t>工</w:t>
      </w:r>
      <w:r>
        <w:t>程</w:t>
      </w:r>
      <w:r>
        <w:t>师</w:t>
      </w:r>
      <w:r>
        <w:t>（</w:t>
      </w:r>
      <w:r>
        <w:t>签</w:t>
      </w:r>
      <w:r>
        <w:t>字</w:t>
      </w:r>
      <w:r>
        <w:rPr>
          <w:spacing w:val="-65"/>
        </w:rPr>
        <w:t>）：</w:t>
      </w:r>
      <w:r>
        <w:rPr>
          <w:rFonts w:ascii="Times New Roman" w:eastAsia="Times New Roman"/>
          <w:u w:val="thick"/>
        </w:rPr>
        <w:tab/>
      </w:r>
      <w:r>
        <w:rPr>
          <w:u w:val="thick"/>
        </w:rPr>
        <w:t>（</w:t>
      </w:r>
      <w:r>
        <w:t>执</w:t>
      </w:r>
      <w:r>
        <w:t>业</w:t>
      </w:r>
      <w:r>
        <w:t>印</w:t>
      </w:r>
      <w:r>
        <w:t>章</w:t>
      </w:r>
      <w:r>
        <w:rPr>
          <w:spacing w:val="-10"/>
        </w:rPr>
        <w:t>）</w:t>
      </w:r>
    </w:p>
    <w:p>
      <w:pPr>
        <w:pStyle w:val="BodyText"/>
        <w:spacing w:before="12"/>
        <w:rPr>
          <w:rFonts w:ascii="Microsoft JhengHei"/>
          <w:b/>
          <w:sz w:val="7"/>
        </w:rPr>
      </w:pPr>
    </w:p>
    <w:p>
      <w:pPr>
        <w:pStyle w:val="Heading4"/>
        <w:tabs>
          <w:tab w:val="left" w:pos="1863"/>
          <w:tab w:val="left" w:pos="5440"/>
        </w:tabs>
        <w:spacing w:line="483" w:lineRule="exact"/>
        <w:ind w:left="462"/>
        <w:jc w:val="center"/>
        <w:rPr>
          <w:rFonts w:ascii="Times New Roman" w:eastAsia="Times New Roman"/>
        </w:rPr>
      </w:pPr>
      <w:r>
        <w:rPr>
          <w:spacing w:val="-10"/>
        </w:rPr>
        <w:t>日</w:t>
      </w:r>
      <w:r>
        <w:tab/>
        <w:t>期</w:t>
      </w:r>
      <w:r>
        <w:rPr>
          <w:spacing w:val="-10"/>
        </w:rPr>
        <w:t>：</w:t>
      </w:r>
      <w:r>
        <w:rPr>
          <w:rFonts w:ascii="Times New Roman" w:eastAsia="Times New Roman"/>
          <w:u w:val="thick"/>
        </w:rPr>
        <w:tab/>
      </w:r>
    </w:p>
    <w:p>
      <w:pPr>
        <w:spacing w:after="0" w:line="483" w:lineRule="exact"/>
        <w:jc w:val="center"/>
        <w:rPr>
          <w:rFonts w:ascii="Times New Roman" w:eastAsia="Times New Roman"/>
        </w:rPr>
        <w:sectPr>
          <w:type w:val="continuous"/>
          <w:pgSz w:w="11910" w:h="16840"/>
          <w:pgMar w:top="1920" w:right="640" w:bottom="280" w:left="780" w:header="708" w:footer="708"/>
          <w:cols w:space="708"/>
        </w:sectPr>
      </w:pPr>
    </w:p>
    <w:p>
      <w:pPr>
        <w:spacing w:before="27"/>
        <w:ind w:left="587" w:right="726" w:firstLine="0"/>
        <w:jc w:val="center"/>
        <w:rPr>
          <w:sz w:val="44"/>
        </w:rPr>
      </w:pPr>
      <w:r>
        <w:rPr>
          <w:spacing w:val="-5"/>
          <w:sz w:val="44"/>
        </w:rPr>
        <w:t>目录</w:t>
      </w:r>
    </w:p>
    <w:sdt>
      <w:sdtPr>
        <w:id w:val="24633221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8305"/>
            </w:tabs>
            <w:spacing w:before="710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一、工程概</w:t>
            </w:r>
            <w:r>
              <w:rPr>
                <w:spacing w:val="-10"/>
              </w:rPr>
              <w:t>况</w:t>
            </w:r>
            <w:r>
              <w:rPr>
                <w:rFonts w:ascii="Times New Roman" w:eastAsia="Times New Roman"/>
                <w:b/>
              </w:rPr>
              <w:tab/>
            </w:r>
            <w:r>
              <w:rPr>
                <w:rFonts w:ascii="Times New Roman" w:eastAsia="Times New Roman"/>
                <w:spacing w:val="-10"/>
              </w:rPr>
              <w:t>1</w:t>
            </w:r>
          </w:hyperlink>
        </w:p>
        <w:p>
          <w:pPr>
            <w:pStyle w:val="TOC1"/>
            <w:tabs>
              <w:tab w:val="right" w:leader="dot" w:pos="8305"/>
            </w:tabs>
            <w:rPr>
              <w:rFonts w:ascii="Times New Roman" w:eastAsia="Times New Roman"/>
            </w:rPr>
          </w:pPr>
          <w:hyperlink w:anchor="_bookmark1" w:history="1">
            <w:r>
              <w:t>二、 平行检验编制的依据</w:t>
            </w:r>
            <w:r>
              <w:rPr>
                <w:spacing w:val="-10"/>
              </w:rPr>
              <w:t>：</w:t>
            </w:r>
            <w:r>
              <w:rPr>
                <w:rFonts w:ascii="Times New Roman" w:eastAsia="Times New Roman"/>
                <w:b/>
              </w:rPr>
              <w:tab/>
            </w:r>
            <w:r>
              <w:rPr>
                <w:rFonts w:ascii="Times New Roman" w:eastAsia="Times New Roman"/>
                <w:spacing w:val="-10"/>
              </w:rPr>
              <w:t>1</w:t>
            </w:r>
          </w:hyperlink>
        </w:p>
        <w:p>
          <w:pPr>
            <w:pStyle w:val="TOC1"/>
            <w:tabs>
              <w:tab w:val="right" w:leader="dot" w:pos="8305"/>
            </w:tabs>
            <w:spacing w:before="736"/>
            <w:rPr>
              <w:rFonts w:ascii="Times New Roman" w:eastAsia="Times New Roman"/>
            </w:rPr>
          </w:pPr>
          <w:hyperlink w:anchor="_bookmark2" w:history="1">
            <w:r>
              <w:t>三、 平行检验基本规定</w:t>
            </w:r>
            <w:r>
              <w:rPr>
                <w:spacing w:val="-10"/>
              </w:rPr>
              <w:t>：</w:t>
            </w:r>
            <w:r>
              <w:rPr>
                <w:rFonts w:ascii="Times New Roman" w:eastAsia="Times New Roman"/>
                <w:b/>
              </w:rPr>
              <w:tab/>
            </w:r>
            <w:r>
              <w:rPr>
                <w:rFonts w:ascii="Times New Roman" w:eastAsia="Times New Roman"/>
                <w:spacing w:val="-10"/>
              </w:rPr>
              <w:t>1</w:t>
            </w:r>
          </w:hyperlink>
        </w:p>
        <w:p>
          <w:pPr>
            <w:pStyle w:val="TOC1"/>
            <w:tabs>
              <w:tab w:val="right" w:leader="dot" w:pos="8305"/>
            </w:tabs>
            <w:rPr>
              <w:rFonts w:ascii="Times New Roman" w:eastAsia="Times New Roman"/>
            </w:rPr>
          </w:pPr>
          <w:hyperlink w:anchor="_TOC_250003" w:history="1">
            <w:r>
              <w:t>四、 质量控制监理平行检验计</w:t>
            </w:r>
            <w:r>
              <w:rPr>
                <w:spacing w:val="-10"/>
              </w:rPr>
              <w:t>划</w:t>
            </w:r>
            <w:r>
              <w:rPr>
                <w:rFonts w:ascii="Times New Roman" w:eastAsia="Times New Roman"/>
                <w:b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right" w:leader="dot" w:pos="8305"/>
            </w:tabs>
            <w:spacing w:before="736"/>
            <w:rPr>
              <w:rFonts w:ascii="Times New Roman" w:eastAsia="Times New Roman"/>
            </w:rPr>
          </w:pPr>
          <w:hyperlink w:anchor="_TOC_250002" w:history="1">
            <w:r>
              <w:t>五、平行检验实施的范围、程序、内容</w:t>
            </w:r>
            <w:r>
              <w:rPr>
                <w:spacing w:val="-10"/>
              </w:rPr>
              <w:t>：</w:t>
            </w:r>
            <w:r>
              <w:rPr>
                <w:rFonts w:ascii="Times New Roman" w:eastAsia="Times New Roman"/>
                <w:b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right" w:leader="dot" w:pos="8305"/>
            </w:tabs>
            <w:rPr>
              <w:rFonts w:ascii="Times New Roman" w:eastAsia="Times New Roman"/>
            </w:rPr>
          </w:pPr>
          <w:hyperlink w:anchor="_TOC_250001" w:history="1">
            <w:r>
              <w:t>六、建筑实体检查项</w:t>
            </w:r>
            <w:r>
              <w:rPr>
                <w:spacing w:val="-10"/>
              </w:rPr>
              <w:t>目</w:t>
            </w:r>
            <w:r>
              <w:rPr>
                <w:rFonts w:ascii="Times New Roman" w:eastAsia="Times New Roman"/>
                <w:b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right" w:leader="dot" w:pos="8305"/>
            </w:tabs>
            <w:spacing w:before="736"/>
            <w:rPr>
              <w:rFonts w:ascii="Times New Roman" w:eastAsia="Times New Roman"/>
            </w:rPr>
          </w:pPr>
          <w:hyperlink w:anchor="_TOC_250000" w:history="1">
            <w:r>
              <w:t>七、附</w:t>
            </w:r>
            <w:r>
              <w:rPr>
                <w:spacing w:val="-10"/>
              </w:rPr>
              <w:t>表</w:t>
            </w:r>
            <w:r>
              <w:rPr>
                <w:rFonts w:ascii="Times New Roman" w:eastAsia="Times New Roman"/>
                <w:b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pgSz w:w="11910" w:h="16840"/>
          <w:pgMar w:top="1740" w:right="640" w:bottom="280" w:left="780" w:header="708" w:footer="708"/>
          <w:pgNumType w:start="2"/>
          <w:cols w:space="708"/>
        </w:sectPr>
      </w:pPr>
    </w:p>
    <w:p>
      <w:pPr>
        <w:spacing w:before="0" w:line="794" w:lineRule="exact"/>
        <w:ind w:left="587" w:right="409" w:firstLine="0"/>
        <w:jc w:val="center"/>
        <w:rPr>
          <w:rFonts w:ascii="Microsoft JhengHei" w:eastAsia="Microsoft JhengHei" w:hAnsi="Microsoft JhengHei"/>
          <w:b/>
          <w:sz w:val="52"/>
        </w:rPr>
      </w:pPr>
      <w:r>
        <w:rPr>
          <w:rFonts w:ascii="Microsoft JhengHei" w:eastAsia="Microsoft JhengHei" w:hAnsi="Microsoft JhengHei"/>
          <w:b/>
          <w:sz w:val="52"/>
        </w:rPr>
        <w:t>工程</w:t>
      </w:r>
      <w:r>
        <w:rPr>
          <w:rFonts w:ascii="Times New Roman" w:eastAsia="Times New Roman" w:hAnsi="Times New Roman"/>
          <w:b/>
          <w:sz w:val="52"/>
        </w:rPr>
        <w:t>“</w:t>
      </w:r>
      <w:r>
        <w:rPr>
          <w:rFonts w:ascii="Microsoft JhengHei" w:eastAsia="Microsoft JhengHei" w:hAnsi="Microsoft JhengHei"/>
          <w:b/>
          <w:sz w:val="52"/>
        </w:rPr>
        <w:t>平行检验</w:t>
      </w:r>
      <w:r>
        <w:rPr>
          <w:rFonts w:ascii="Times New Roman" w:eastAsia="Times New Roman" w:hAnsi="Times New Roman"/>
          <w:b/>
          <w:sz w:val="52"/>
        </w:rPr>
        <w:t>”</w:t>
      </w:r>
      <w:r>
        <w:rPr>
          <w:rFonts w:ascii="Microsoft JhengHei" w:eastAsia="Microsoft JhengHei" w:hAnsi="Microsoft JhengHei"/>
          <w:b/>
          <w:spacing w:val="-3"/>
          <w:sz w:val="52"/>
        </w:rPr>
        <w:t>监理细则</w:t>
      </w:r>
    </w:p>
    <w:p>
      <w:pPr>
        <w:pStyle w:val="Heading1"/>
        <w:spacing w:line="651" w:lineRule="exact"/>
      </w:pPr>
      <w:bookmarkStart w:id="0" w:name="_bookmark0"/>
      <w:bookmarkEnd w:id="0"/>
      <w:r>
        <w:rPr>
          <w:spacing w:val="-2"/>
        </w:rPr>
        <w:t>一、工程概况</w:t>
      </w:r>
    </w:p>
    <w:p>
      <w:pPr>
        <w:pStyle w:val="BodyText"/>
        <w:spacing w:before="78" w:line="364" w:lineRule="auto"/>
        <w:ind w:left="1500" w:right="7785" w:hanging="361"/>
        <w:jc w:val="both"/>
      </w:pPr>
      <w:r>
        <w:rPr>
          <w:spacing w:val="-2"/>
        </w:rPr>
        <w:t>1、工程名称：</w:t>
      </w:r>
      <w:r>
        <w:rPr>
          <w:spacing w:val="-4"/>
        </w:rPr>
        <w:t>建设单位：</w:t>
      </w:r>
      <w:r>
        <w:rPr>
          <w:spacing w:val="-2"/>
        </w:rPr>
        <w:t>建设地点：</w:t>
      </w:r>
    </w:p>
    <w:p>
      <w:pPr>
        <w:pStyle w:val="BodyText"/>
        <w:spacing w:before="2" w:line="364" w:lineRule="auto"/>
        <w:ind w:left="1500" w:right="4305"/>
        <w:jc w:val="both"/>
      </w:pPr>
      <w:r>
        <w:rPr>
          <w:spacing w:val="-11"/>
        </w:rPr>
        <w:t xml:space="preserve">建设规模：约 </w:t>
      </w:r>
      <w:r>
        <w:rPr>
          <w:spacing w:val="-8"/>
        </w:rPr>
        <w:t>61373</w:t>
      </w:r>
      <w:r>
        <w:rPr>
          <w:spacing w:val="-14"/>
        </w:rPr>
        <w:t xml:space="preserve"> 平方米，最高层 </w:t>
      </w:r>
      <w:r>
        <w:rPr>
          <w:spacing w:val="-8"/>
        </w:rPr>
        <w:t>11</w:t>
      </w:r>
      <w:r>
        <w:rPr>
          <w:spacing w:val="-13"/>
        </w:rPr>
        <w:t xml:space="preserve"> 层；</w:t>
      </w:r>
      <w:r>
        <w:rPr>
          <w:spacing w:val="-2"/>
        </w:rPr>
        <w:t>结构形式;异形柱框架、剪力墙结构；</w:t>
      </w:r>
    </w:p>
    <w:p>
      <w:pPr>
        <w:pStyle w:val="BodyText"/>
        <w:spacing w:before="1" w:line="364" w:lineRule="auto"/>
        <w:ind w:left="1258" w:right="1186" w:hanging="120"/>
      </w:pPr>
      <w:r>
        <w:rPr>
          <w:spacing w:val="-2"/>
        </w:rPr>
        <w:t>2</w:t>
      </w:r>
      <w:r>
        <w:rPr>
          <w:spacing w:val="-5"/>
        </w:rPr>
        <w:t xml:space="preserve">、本工程为二类住宅建设，设计使用年限为 </w:t>
      </w:r>
      <w:r>
        <w:rPr>
          <w:spacing w:val="-2"/>
        </w:rPr>
        <w:t>50</w:t>
      </w:r>
      <w:r>
        <w:rPr>
          <w:spacing w:val="-9"/>
        </w:rPr>
        <w:t xml:space="preserve"> 年，结构安全等级为二级；建</w:t>
      </w:r>
      <w:r>
        <w:rPr>
          <w:spacing w:val="-2"/>
        </w:rPr>
        <w:t>筑耐火等级为二级，地下室建筑耐火等级为一级，建筑场地类别为Ⅲ类；</w:t>
      </w:r>
    </w:p>
    <w:p>
      <w:pPr>
        <w:pStyle w:val="BodyText"/>
        <w:spacing w:before="2" w:line="364" w:lineRule="auto"/>
        <w:ind w:left="1258" w:right="7786" w:hanging="120"/>
      </w:pPr>
      <w:r>
        <w:rPr>
          <w:spacing w:val="-2"/>
        </w:rPr>
        <w:t>3、参建单位：</w:t>
      </w:r>
      <w:r>
        <w:rPr>
          <w:spacing w:val="-2"/>
        </w:rPr>
        <w:t xml:space="preserve">建设单位： </w:t>
      </w:r>
      <w:r>
        <w:rPr>
          <w:spacing w:val="-2"/>
        </w:rPr>
        <w:t xml:space="preserve">设计单位： </w:t>
      </w:r>
      <w:r>
        <w:rPr>
          <w:spacing w:val="-2"/>
        </w:rPr>
        <w:t xml:space="preserve">监理单位： </w:t>
      </w:r>
      <w:r>
        <w:rPr>
          <w:spacing w:val="-2"/>
        </w:rPr>
        <w:t>施工单位：</w:t>
      </w:r>
    </w:p>
    <w:p>
      <w:pPr>
        <w:pStyle w:val="Heading1"/>
        <w:spacing w:line="548" w:lineRule="exact"/>
      </w:pPr>
      <w:bookmarkStart w:id="1" w:name="_bookmark1"/>
      <w:bookmarkEnd w:id="1"/>
      <w:r>
        <w:rPr>
          <w:spacing w:val="-1"/>
        </w:rPr>
        <w:t>二、 平行检验编制的依据：</w:t>
      </w:r>
    </w:p>
    <w:p>
      <w:pPr>
        <w:pStyle w:val="BodyText"/>
        <w:spacing w:before="78"/>
        <w:ind w:left="1138"/>
      </w:pPr>
      <w:r>
        <w:t>1</w:t>
      </w:r>
      <w:r>
        <w:rPr>
          <w:spacing w:val="-13"/>
        </w:rPr>
        <w:t>、《建设工程监理规范》</w:t>
      </w:r>
      <w:r>
        <w:t>GB50319-</w:t>
      </w:r>
      <w:r>
        <w:rPr>
          <w:spacing w:val="-4"/>
        </w:rPr>
        <w:t>2013</w:t>
      </w:r>
    </w:p>
    <w:p>
      <w:pPr>
        <w:pStyle w:val="BodyText"/>
        <w:spacing w:before="161"/>
        <w:ind w:left="1138"/>
      </w:pPr>
      <w:r>
        <w:t>2</w:t>
      </w:r>
      <w:r>
        <w:rPr>
          <w:spacing w:val="-12"/>
        </w:rPr>
        <w:t>、《建筑工程施工质量验收统一标准》</w:t>
      </w:r>
      <w:r>
        <w:t>GB50300-</w:t>
      </w:r>
      <w:r>
        <w:rPr>
          <w:spacing w:val="-4"/>
        </w:rPr>
        <w:t>2001</w:t>
      </w:r>
    </w:p>
    <w:p>
      <w:pPr>
        <w:pStyle w:val="BodyText"/>
        <w:spacing w:before="160"/>
        <w:ind w:left="1138"/>
      </w:pPr>
      <w:r>
        <w:t>3</w:t>
      </w:r>
      <w:r>
        <w:rPr>
          <w:spacing w:val="-1"/>
        </w:rPr>
        <w:t>、工程建设标准强制性条文</w:t>
      </w:r>
    </w:p>
    <w:p>
      <w:pPr>
        <w:pStyle w:val="BodyText"/>
        <w:spacing w:before="161"/>
        <w:ind w:left="1138"/>
      </w:pPr>
      <w:r>
        <w:t>4</w:t>
      </w:r>
      <w:r>
        <w:rPr>
          <w:spacing w:val="-1"/>
        </w:rPr>
        <w:t>、各分部工程质量验收规范：</w:t>
      </w:r>
    </w:p>
    <w:p>
      <w:pPr>
        <w:pStyle w:val="BodyText"/>
        <w:spacing w:before="160"/>
        <w:ind w:left="1138"/>
      </w:pPr>
      <w:r>
        <w:t>《地基基础工程施工质量验收规范》GB50202-</w:t>
      </w:r>
      <w:r>
        <w:rPr>
          <w:spacing w:val="-4"/>
        </w:rPr>
        <w:t>2002</w:t>
      </w:r>
    </w:p>
    <w:p>
      <w:pPr>
        <w:pStyle w:val="BodyText"/>
        <w:spacing w:before="161"/>
        <w:ind w:left="1138"/>
      </w:pPr>
      <w:r>
        <w:t>《砌体工程施工质量验收规范》GB50203-</w:t>
      </w:r>
      <w:r>
        <w:rPr>
          <w:spacing w:val="-4"/>
        </w:rPr>
        <w:t>2002</w:t>
      </w:r>
    </w:p>
    <w:p>
      <w:pPr>
        <w:pStyle w:val="BodyText"/>
        <w:spacing w:before="160"/>
        <w:ind w:left="1138"/>
      </w:pPr>
      <w:r>
        <w:t>《混凝土结构工程施工质量验收规范》GB50204-2002（2011</w:t>
      </w:r>
      <w:r>
        <w:rPr>
          <w:spacing w:val="-30"/>
        </w:rPr>
        <w:t xml:space="preserve"> 版</w:t>
      </w:r>
      <w:r>
        <w:rPr>
          <w:spacing w:val="-10"/>
        </w:rPr>
        <w:t>）</w:t>
      </w:r>
    </w:p>
    <w:p>
      <w:pPr>
        <w:pStyle w:val="BodyText"/>
        <w:spacing w:before="161" w:line="364" w:lineRule="auto"/>
        <w:ind w:left="1138" w:right="5026"/>
      </w:pPr>
      <w:r>
        <w:rPr>
          <w:spacing w:val="-2"/>
        </w:rPr>
        <w:t>《屋面工程质量验收规范》</w:t>
      </w:r>
      <w:r>
        <w:rPr>
          <w:spacing w:val="-2"/>
        </w:rPr>
        <w:t>GB50207-2012 5、设计图纸和技术资料</w:t>
      </w:r>
    </w:p>
    <w:p>
      <w:pPr>
        <w:pStyle w:val="BodyText"/>
        <w:spacing w:before="1"/>
        <w:ind w:left="1138"/>
      </w:pPr>
      <w:r>
        <w:t>6</w:t>
      </w:r>
      <w:r>
        <w:rPr>
          <w:spacing w:val="-1"/>
        </w:rPr>
        <w:t>、已批准的施工组织设计</w:t>
      </w:r>
    </w:p>
    <w:p>
      <w:pPr>
        <w:pStyle w:val="BodyText"/>
      </w:pPr>
    </w:p>
    <w:p>
      <w:pPr>
        <w:pStyle w:val="Heading1"/>
        <w:spacing w:before="204"/>
      </w:pPr>
      <w:bookmarkStart w:id="2" w:name="_bookmark2"/>
      <w:bookmarkEnd w:id="2"/>
      <w:r>
        <w:rPr>
          <w:spacing w:val="-1"/>
        </w:rPr>
        <w:t>三、 平行检验基本规定：</w:t>
      </w:r>
    </w:p>
    <w:p>
      <w:pPr>
        <w:spacing w:after="0"/>
        <w:sectPr>
          <w:footerReference w:type="default" r:id="rId4"/>
          <w:pgSz w:w="11910" w:h="16840"/>
          <w:pgMar w:top="1540" w:right="640" w:bottom="1160" w:left="780" w:header="0" w:footer="977"/>
          <w:pgNumType w:start="1"/>
          <w:cols w:space="708"/>
        </w:sectPr>
      </w:pPr>
    </w:p>
    <w:p>
      <w:pPr>
        <w:pStyle w:val="BodyText"/>
        <w:spacing w:before="44" w:line="364" w:lineRule="auto"/>
        <w:ind w:left="1258" w:right="1186" w:hanging="120"/>
      </w:pPr>
      <w:r>
        <w:rPr>
          <w:spacing w:val="-2"/>
        </w:rPr>
        <w:t>1</w:t>
      </w:r>
      <w:r>
        <w:rPr>
          <w:spacing w:val="-14"/>
        </w:rPr>
        <w:t>、“平行检验”的实施由项目监理机构进行，依据国家现行标准、规范、设计</w:t>
      </w:r>
      <w:r>
        <w:rPr>
          <w:spacing w:val="-2"/>
        </w:rPr>
        <w:t>文件对被检验项目自行作出判断的检查验收。</w:t>
      </w:r>
    </w:p>
    <w:p>
      <w:pPr>
        <w:pStyle w:val="BodyText"/>
        <w:spacing w:before="1"/>
        <w:ind w:left="1138"/>
      </w:pPr>
      <w:r>
        <w:t>2</w:t>
      </w:r>
      <w:r>
        <w:rPr>
          <w:spacing w:val="-1"/>
        </w:rPr>
        <w:t>、开工前，监理机构应明确实施的范围、程序。</w:t>
      </w:r>
    </w:p>
    <w:p>
      <w:pPr>
        <w:pStyle w:val="BodyText"/>
        <w:spacing w:before="161" w:line="364" w:lineRule="auto"/>
        <w:ind w:left="1258" w:right="1186" w:hanging="120"/>
      </w:pPr>
      <w:r>
        <w:rPr>
          <w:spacing w:val="-2"/>
        </w:rPr>
        <w:t>3</w:t>
      </w:r>
      <w:r>
        <w:rPr>
          <w:spacing w:val="-14"/>
        </w:rPr>
        <w:t>、“平行检验”必须在承包单位自检的基础上向监理机构报验，由项目监理机</w:t>
      </w:r>
      <w:r>
        <w:rPr>
          <w:spacing w:val="-2"/>
        </w:rPr>
        <w:t>构根据承包单位报验自检的结果进行现场复验（</w:t>
      </w:r>
      <w:r>
        <w:rPr>
          <w:spacing w:val="-32"/>
        </w:rPr>
        <w:t>即“平行检验”。</w:t>
      </w:r>
      <w:r>
        <w:rPr>
          <w:spacing w:val="-2"/>
        </w:rPr>
        <w:t>）</w:t>
      </w:r>
    </w:p>
    <w:p>
      <w:pPr>
        <w:pStyle w:val="BodyText"/>
        <w:spacing w:before="1" w:line="364" w:lineRule="auto"/>
        <w:ind w:left="1258" w:right="1157" w:hanging="1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26.6pt;height:262.6pt;margin-top:42.74pt;margin-left:84.35pt;mso-position-horizontal-relative:page;position:absolute;z-index:251658240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0"/>
                    <w:gridCol w:w="1003"/>
                    <w:gridCol w:w="2052"/>
                    <w:gridCol w:w="1433"/>
                    <w:gridCol w:w="3404"/>
                  </w:tblGrid>
                  <w:tr>
                    <w:tblPrEx>
                      <w:tblW w:w="0" w:type="auto"/>
                      <w:jc w:val="left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633" w:type="dxa"/>
                        <w:gridSpan w:val="2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项目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检验比例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检测方法</w:t>
                        </w: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备注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633" w:type="dxa"/>
                        <w:gridSpan w:val="2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砼强度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10%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9"/>
                            <w:sz w:val="24"/>
                          </w:rPr>
                          <w:t xml:space="preserve">每一层不少于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个构件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633" w:type="dxa"/>
                        <w:gridSpan w:val="2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钢筋保护层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2%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块板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630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before="1" w:line="187" w:lineRule="auto"/>
                          <w:ind w:left="193" w:right="18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垂</w:t>
                        </w:r>
                        <w:r>
                          <w:rPr>
                            <w:spacing w:val="-10"/>
                            <w:sz w:val="24"/>
                          </w:rPr>
                          <w:t>直</w:t>
                        </w:r>
                        <w:r>
                          <w:rPr>
                            <w:spacing w:val="-10"/>
                            <w:sz w:val="24"/>
                          </w:rPr>
                          <w:t>度</w:t>
                        </w:r>
                      </w:p>
                    </w:tc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外墙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 xml:space="preserve">每幢不少于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35"/>
                            <w:sz w:val="24"/>
                          </w:rPr>
                          <w:t xml:space="preserve"> 处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20m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查一处</w:t>
                        </w:r>
                        <w:r>
                          <w:rPr>
                            <w:sz w:val="24"/>
                          </w:rPr>
                          <w:t>（大阳角</w:t>
                        </w:r>
                        <w:r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6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内墙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自然间 </w:t>
                        </w:r>
                        <w:r>
                          <w:rPr>
                            <w:spacing w:val="-5"/>
                            <w:sz w:val="24"/>
                          </w:rPr>
                          <w:t>10%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间</w:t>
                        </w:r>
                        <w:r>
                          <w:rPr>
                            <w:sz w:val="24"/>
                          </w:rPr>
                          <w:t>，2</w:t>
                        </w:r>
                        <w:r>
                          <w:rPr>
                            <w:spacing w:val="-35"/>
                            <w:sz w:val="24"/>
                          </w:rPr>
                          <w:t xml:space="preserve"> 处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6"/>
                      <w:jc w:val="left"/>
                    </w:trPr>
                    <w:tc>
                      <w:tcPr>
                        <w:tcW w:w="6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before="82"/>
                          <w:ind w:left="212" w:right="2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框架</w:t>
                        </w:r>
                      </w:p>
                      <w:p>
                        <w:pPr>
                          <w:pStyle w:val="TableParagraph"/>
                          <w:spacing w:before="160"/>
                          <w:ind w:right="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柱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构件的 </w:t>
                        </w:r>
                        <w:r>
                          <w:rPr>
                            <w:spacing w:val="-5"/>
                            <w:sz w:val="24"/>
                          </w:rPr>
                          <w:t>10%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个构件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633" w:type="dxa"/>
                        <w:gridSpan w:val="2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室内净高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10%</w:t>
                        </w:r>
                        <w:r>
                          <w:rPr>
                            <w:spacing w:val="-4"/>
                            <w:sz w:val="24"/>
                          </w:rPr>
                          <w:t>自然间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间，每间不少于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35"/>
                            <w:sz w:val="24"/>
                          </w:rPr>
                          <w:t xml:space="preserve"> 点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633" w:type="dxa"/>
                        <w:gridSpan w:val="2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结构板厚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10%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间，每间不少于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35"/>
                            <w:sz w:val="24"/>
                          </w:rPr>
                          <w:t xml:space="preserve"> 点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633" w:type="dxa"/>
                        <w:gridSpan w:val="2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轴线尺寸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10%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自然间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633" w:type="dxa"/>
                        <w:gridSpan w:val="2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平整度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spacing w:before="8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10%</w:t>
                        </w:r>
                      </w:p>
                    </w:tc>
                    <w:tc>
                      <w:tcPr>
                        <w:tcW w:w="14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4" w:type="dxa"/>
                      </w:tcPr>
                      <w:p>
                        <w:pPr>
                          <w:pStyle w:val="TableParagraph"/>
                          <w:spacing w:before="82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 xml:space="preserve">不少于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自然间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-4"/>
        </w:rPr>
        <w:t>4</w:t>
      </w:r>
      <w:r>
        <w:rPr>
          <w:spacing w:val="-16"/>
        </w:rPr>
        <w:t>、“平行检验”的应按照一定比例进行</w:t>
      </w:r>
      <w:r>
        <w:rPr>
          <w:spacing w:val="-4"/>
        </w:rPr>
        <w:t>（具体检验项目按工程情况确定</w:t>
      </w:r>
      <w:r>
        <w:rPr>
          <w:spacing w:val="-120"/>
        </w:rPr>
        <w:t>）</w:t>
      </w:r>
      <w:r>
        <w:rPr>
          <w:spacing w:val="-4"/>
        </w:rPr>
        <w:t>。其最</w:t>
      </w:r>
      <w:r>
        <w:rPr>
          <w:spacing w:val="-2"/>
        </w:rPr>
        <w:t>低比例规定如下：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364" w:lineRule="auto"/>
        <w:ind w:left="1258" w:right="1157" w:hanging="120"/>
      </w:pPr>
      <w:r>
        <w:rPr>
          <w:spacing w:val="-4"/>
        </w:rPr>
        <w:t>5、对于专业检测、试验机构出具的检验、试验报告，监理机构应收集验看检测</w:t>
      </w:r>
      <w:r>
        <w:rPr>
          <w:spacing w:val="-2"/>
        </w:rPr>
        <w:t>试验报告是否合格。</w:t>
      </w:r>
    </w:p>
    <w:p>
      <w:pPr>
        <w:pStyle w:val="BodyText"/>
        <w:spacing w:before="1" w:line="364" w:lineRule="auto"/>
        <w:ind w:left="1258" w:right="1037" w:hanging="120"/>
      </w:pPr>
      <w:r>
        <w:rPr>
          <w:spacing w:val="-4"/>
        </w:rPr>
        <w:t>6</w:t>
      </w:r>
      <w:r>
        <w:rPr>
          <w:spacing w:val="-16"/>
        </w:rPr>
        <w:t>、“平行检验”活动必须由监理机构组织，承包单位参加。监理机构应按公正、</w:t>
      </w:r>
      <w:r>
        <w:rPr>
          <w:spacing w:val="-2"/>
        </w:rPr>
        <w:t>独立、自主的原则进行。以确保“平行检验”所获得的数据和质量评估结论准</w:t>
      </w:r>
      <w:r>
        <w:rPr>
          <w:spacing w:val="-6"/>
        </w:rPr>
        <w:t>确。</w:t>
      </w:r>
    </w:p>
    <w:p>
      <w:pPr>
        <w:pStyle w:val="BodyText"/>
        <w:spacing w:before="2" w:line="364" w:lineRule="auto"/>
        <w:ind w:left="1258" w:right="1186" w:hanging="120"/>
      </w:pPr>
      <w:r>
        <w:rPr>
          <w:spacing w:val="-2"/>
        </w:rPr>
        <w:t>7</w:t>
      </w:r>
      <w:r>
        <w:rPr>
          <w:spacing w:val="-14"/>
        </w:rPr>
        <w:t>、“平行检验”的结论分正常和异常，监理机构检验的数据在国家标准、规范</w:t>
      </w:r>
      <w:r>
        <w:rPr>
          <w:spacing w:val="-2"/>
        </w:rPr>
        <w:t>和设计文件等规定允许的误差范围内为正常，超出允许误差范围为异常。</w:t>
      </w:r>
    </w:p>
    <w:p>
      <w:pPr>
        <w:pStyle w:val="BodyText"/>
        <w:spacing w:before="1" w:line="364" w:lineRule="auto"/>
        <w:ind w:left="1258" w:right="1246" w:hanging="120"/>
      </w:pPr>
      <w:r>
        <w:rPr>
          <w:spacing w:val="-5"/>
        </w:rPr>
        <w:t xml:space="preserve">当异常数据偏差在规范允许误差范围的 </w:t>
      </w:r>
      <w:r>
        <w:rPr>
          <w:spacing w:val="-2"/>
        </w:rPr>
        <w:t>15%以内时监理机构应在报监时通知质</w:t>
      </w:r>
      <w:r>
        <w:rPr>
          <w:spacing w:val="-4"/>
        </w:rPr>
        <w:t>监部门；</w:t>
      </w:r>
    </w:p>
    <w:p>
      <w:pPr>
        <w:pStyle w:val="BodyText"/>
        <w:spacing w:before="1" w:line="364" w:lineRule="auto"/>
        <w:ind w:left="1258" w:right="1246" w:hanging="120"/>
      </w:pPr>
      <w:r>
        <w:rPr>
          <w:spacing w:val="-5"/>
        </w:rPr>
        <w:t xml:space="preserve">当异常数据偏差在规范允许误差范围的 </w:t>
      </w:r>
      <w:r>
        <w:rPr>
          <w:spacing w:val="-2"/>
        </w:rPr>
        <w:t>15%以外时监理机构应会同建设单位、</w:t>
      </w:r>
      <w:r>
        <w:rPr>
          <w:spacing w:val="-2"/>
        </w:rPr>
        <w:t>施工单位提出新的平行检测方案。</w:t>
      </w:r>
    </w:p>
    <w:p>
      <w:pPr>
        <w:spacing w:after="0" w:line="364" w:lineRule="auto"/>
        <w:sectPr>
          <w:footerReference w:type="default" r:id="rId5"/>
          <w:pgSz w:w="11910" w:h="16840"/>
          <w:pgMar w:top="1460" w:right="640" w:bottom="1160" w:left="780" w:header="0" w:footer="977"/>
          <w:pgNumType w:start="2"/>
          <w:cols w:space="708"/>
        </w:sectPr>
      </w:pPr>
    </w:p>
    <w:p>
      <w:pPr>
        <w:pStyle w:val="BodyText"/>
        <w:spacing w:before="44"/>
        <w:ind w:left="1138"/>
      </w:pPr>
      <w:r>
        <w:rPr>
          <w:spacing w:val="-1"/>
        </w:rPr>
        <w:t>如三方对新的平行检测方案不统一时，可提交质量监督部门确认。</w:t>
      </w:r>
    </w:p>
    <w:p>
      <w:pPr>
        <w:pStyle w:val="Heading1"/>
        <w:spacing w:before="44"/>
      </w:pPr>
      <w:bookmarkStart w:id="3" w:name="_TOC_250003"/>
      <w:bookmarkEnd w:id="3"/>
      <w:r>
        <w:rPr>
          <w:spacing w:val="-1"/>
        </w:rPr>
        <w:t>四、 质量控制监理平行检验计划</w:t>
      </w:r>
    </w:p>
    <w:tbl>
      <w:tblPr>
        <w:tblStyle w:val="TableNormal1"/>
        <w:tblW w:w="0" w:type="auto"/>
        <w:jc w:val="left"/>
        <w:tblInd w:w="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1507"/>
        <w:gridCol w:w="2777"/>
        <w:gridCol w:w="1849"/>
        <w:gridCol w:w="1835"/>
      </w:tblGrid>
      <w:tr>
        <w:tblPrEx>
          <w:tblW w:w="0" w:type="auto"/>
          <w:jc w:val="left"/>
          <w:tblInd w:w="93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41" w:lineRule="exact"/>
              <w:ind w:left="153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z w:val="24"/>
              </w:rPr>
              <w:t>序</w:t>
            </w:r>
          </w:p>
          <w:p>
            <w:pPr>
              <w:pStyle w:val="TableParagraph"/>
              <w:spacing w:before="26"/>
              <w:ind w:left="153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z w:val="24"/>
              </w:rPr>
              <w:t>号</w:t>
            </w:r>
          </w:p>
        </w:tc>
        <w:tc>
          <w:tcPr>
            <w:tcW w:w="1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12"/>
              </w:rPr>
            </w:pPr>
          </w:p>
          <w:p>
            <w:pPr>
              <w:pStyle w:val="TableParagraph"/>
              <w:ind w:left="158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2"/>
                <w:sz w:val="24"/>
              </w:rPr>
              <w:t>检验控制点</w:t>
            </w:r>
          </w:p>
        </w:tc>
        <w:tc>
          <w:tcPr>
            <w:tcW w:w="27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12"/>
              </w:rPr>
            </w:pPr>
          </w:p>
          <w:p>
            <w:pPr>
              <w:pStyle w:val="TableParagraph"/>
              <w:ind w:left="91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检验内容</w:t>
            </w:r>
          </w:p>
        </w:tc>
        <w:tc>
          <w:tcPr>
            <w:tcW w:w="1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12"/>
              </w:rPr>
            </w:pPr>
          </w:p>
          <w:p>
            <w:pPr>
              <w:pStyle w:val="TableParagraph"/>
              <w:ind w:left="209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2"/>
                <w:sz w:val="24"/>
              </w:rPr>
              <w:t>检验方式方法</w:t>
            </w:r>
          </w:p>
        </w:tc>
        <w:tc>
          <w:tcPr>
            <w:tcW w:w="183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441" w:lineRule="exact"/>
              <w:ind w:left="426" w:right="397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参与验收</w:t>
            </w:r>
          </w:p>
          <w:p>
            <w:pPr>
              <w:pStyle w:val="TableParagraph"/>
              <w:spacing w:before="26"/>
              <w:ind w:left="426" w:right="397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5"/>
                <w:sz w:val="24"/>
              </w:rPr>
              <w:t>单位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地基基础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36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23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定位测量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复核测量结果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78" w:line="364" w:lineRule="auto"/>
              <w:ind w:left="107" w:right="255"/>
              <w:rPr>
                <w:sz w:val="24"/>
              </w:rPr>
            </w:pPr>
            <w:r>
              <w:rPr>
                <w:spacing w:val="-2"/>
                <w:sz w:val="24"/>
              </w:rPr>
              <w:t>监理、施工、</w:t>
            </w:r>
            <w:r>
              <w:rPr>
                <w:spacing w:val="-6"/>
                <w:sz w:val="24"/>
              </w:rPr>
              <w:t>设计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地基验槽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复核土质、持力层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监理、施工、</w:t>
            </w:r>
          </w:p>
          <w:p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地勘、质监站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模板工程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几何尺寸、支护稳定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3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钢筋工程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原材检验：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11"/>
                <w:sz w:val="24"/>
              </w:rPr>
              <w:t>品种、级别、规格、数量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 w:line="364" w:lineRule="auto"/>
              <w:ind w:left="115" w:right="516"/>
              <w:rPr>
                <w:sz w:val="24"/>
              </w:rPr>
            </w:pPr>
            <w:r>
              <w:rPr>
                <w:spacing w:val="-2"/>
                <w:sz w:val="24"/>
              </w:rPr>
              <w:t>见证取样、</w:t>
            </w:r>
            <w:r>
              <w:rPr>
                <w:spacing w:val="-2"/>
                <w:sz w:val="24"/>
              </w:rPr>
              <w:t>复试报告、</w:t>
            </w:r>
          </w:p>
          <w:p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观察实测、共检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 w:line="364" w:lineRule="auto"/>
              <w:ind w:left="107" w:right="75"/>
              <w:rPr>
                <w:sz w:val="24"/>
              </w:rPr>
            </w:pPr>
            <w:r>
              <w:rPr>
                <w:spacing w:val="-2"/>
                <w:sz w:val="24"/>
              </w:rPr>
              <w:t>监理、施工、</w:t>
            </w:r>
            <w:r>
              <w:rPr>
                <w:spacing w:val="-11"/>
                <w:sz w:val="24"/>
              </w:rPr>
              <w:t>质监站、防雷办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混凝土工程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配合比设计、强度检验、</w:t>
            </w:r>
          </w:p>
          <w:p>
            <w:pPr>
              <w:pStyle w:val="TableParagraph"/>
              <w:spacing w:before="16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外加剂质量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见证取样</w:t>
            </w:r>
          </w:p>
          <w:p>
            <w:pPr>
              <w:pStyle w:val="TableParagraph"/>
              <w:spacing w:before="161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试验报告、共检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15"/>
                <w:sz w:val="24"/>
              </w:rPr>
              <w:t>基础沉降观</w:t>
            </w:r>
          </w:p>
          <w:p>
            <w:pPr>
              <w:pStyle w:val="TableParagraph"/>
              <w:spacing w:before="161"/>
              <w:ind w:left="115"/>
              <w:rPr>
                <w:sz w:val="24"/>
              </w:rPr>
            </w:pPr>
            <w:r>
              <w:rPr>
                <w:sz w:val="24"/>
              </w:rPr>
              <w:t>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定期观测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仪器测量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10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rFonts w:ascii="Microsoft JhengHei"/>
                <w:b/>
                <w:sz w:val="36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Microsoft JhengHei"/>
                <w:b/>
                <w:sz w:val="35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桩基工程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Microsoft JhengHei"/>
                <w:b/>
                <w:sz w:val="35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主控项目、一般项目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spacing w:line="364" w:lineRule="auto"/>
              <w:ind w:left="115" w:right="83"/>
              <w:rPr>
                <w:sz w:val="24"/>
              </w:rPr>
            </w:pPr>
            <w:r>
              <w:rPr>
                <w:spacing w:val="-8"/>
                <w:sz w:val="24"/>
              </w:rPr>
              <w:t>观察、实测、试</w:t>
            </w:r>
            <w:r>
              <w:rPr>
                <w:spacing w:val="-4"/>
                <w:sz w:val="24"/>
              </w:rPr>
              <w:t>验报告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81" w:line="364" w:lineRule="auto"/>
              <w:ind w:left="107" w:right="2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监理、施工、</w:t>
            </w:r>
            <w:r>
              <w:rPr>
                <w:spacing w:val="-2"/>
                <w:sz w:val="24"/>
              </w:rPr>
              <w:t>地勘、设计、</w:t>
            </w:r>
            <w:r>
              <w:rPr>
                <w:spacing w:val="-4"/>
                <w:sz w:val="24"/>
              </w:rPr>
              <w:t>质监站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土方回填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观察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基础验收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观察、实测、</w:t>
            </w:r>
          </w:p>
          <w:p>
            <w:pPr>
              <w:pStyle w:val="TableParagraph"/>
              <w:spacing w:before="1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资料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监理、施工、</w:t>
            </w:r>
          </w:p>
          <w:p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设计、质监站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二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主体结构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放线测量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复核测量结果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摸板工程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几何尺寸、支护稳定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钢筋工程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原材料检验</w:t>
            </w:r>
          </w:p>
          <w:p>
            <w:pPr>
              <w:pStyle w:val="TableParagraph"/>
              <w:spacing w:before="161"/>
              <w:ind w:left="115"/>
              <w:rPr>
                <w:sz w:val="24"/>
              </w:rPr>
            </w:pPr>
            <w:r>
              <w:rPr>
                <w:spacing w:val="-11"/>
                <w:sz w:val="24"/>
              </w:rPr>
              <w:t>品种、级别、规格、数量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见证取样、实测</w:t>
            </w:r>
          </w:p>
          <w:p>
            <w:pPr>
              <w:pStyle w:val="TableParagraph"/>
              <w:spacing w:before="161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复试报告、共检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</w:tbl>
    <w:p>
      <w:pPr>
        <w:spacing w:after="0"/>
        <w:rPr>
          <w:sz w:val="24"/>
        </w:rPr>
        <w:sectPr>
          <w:footerReference w:type="default" r:id="rId6"/>
          <w:pgSz w:w="11910" w:h="16840"/>
          <w:pgMar w:top="1460" w:right="640" w:bottom="1160" w:left="780" w:header="0" w:footer="977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1507"/>
        <w:gridCol w:w="2777"/>
        <w:gridCol w:w="1849"/>
        <w:gridCol w:w="1835"/>
      </w:tblGrid>
      <w:tr>
        <w:tblPrEx>
          <w:tblW w:w="0" w:type="auto"/>
          <w:jc w:val="left"/>
          <w:tblInd w:w="93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3"/>
          <w:jc w:val="left"/>
        </w:trPr>
        <w:tc>
          <w:tcPr>
            <w:tcW w:w="54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line="364" w:lineRule="auto"/>
              <w:ind w:left="115" w:right="83"/>
              <w:rPr>
                <w:sz w:val="24"/>
              </w:rPr>
            </w:pPr>
            <w:r>
              <w:rPr>
                <w:spacing w:val="14"/>
                <w:sz w:val="24"/>
              </w:rPr>
              <w:t>砼原材料及</w:t>
            </w:r>
            <w:r>
              <w:rPr>
                <w:spacing w:val="-4"/>
                <w:sz w:val="24"/>
              </w:rPr>
              <w:t>配合比</w:t>
            </w:r>
          </w:p>
        </w:tc>
        <w:tc>
          <w:tcPr>
            <w:tcW w:w="27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 w:line="364" w:lineRule="auto"/>
              <w:ind w:left="115" w:right="1444"/>
              <w:rPr>
                <w:sz w:val="24"/>
              </w:rPr>
            </w:pPr>
            <w:r>
              <w:rPr>
                <w:spacing w:val="-2"/>
                <w:sz w:val="24"/>
              </w:rPr>
              <w:t>配合比设计</w:t>
            </w:r>
            <w:r>
              <w:rPr>
                <w:spacing w:val="-2"/>
                <w:sz w:val="24"/>
              </w:rPr>
              <w:t>外加剂质量</w:t>
            </w: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强度检验</w:t>
            </w:r>
          </w:p>
        </w:tc>
        <w:tc>
          <w:tcPr>
            <w:tcW w:w="1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 w:line="364" w:lineRule="auto"/>
              <w:ind w:left="115" w:right="756"/>
              <w:rPr>
                <w:sz w:val="24"/>
              </w:rPr>
            </w:pPr>
            <w:r>
              <w:rPr>
                <w:spacing w:val="-4"/>
                <w:sz w:val="24"/>
              </w:rPr>
              <w:t>见证取样</w:t>
            </w:r>
            <w:r>
              <w:rPr>
                <w:spacing w:val="-3"/>
                <w:sz w:val="24"/>
              </w:rPr>
              <w:t>试验报告</w:t>
            </w: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实测、共检</w:t>
            </w:r>
          </w:p>
        </w:tc>
        <w:tc>
          <w:tcPr>
            <w:tcW w:w="183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40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rPr>
                <w:rFonts w:ascii="Microsoft JhengHei"/>
                <w:b/>
                <w:sz w:val="2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砼浇筑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砼强度等级及试件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施工缝或后浇带位置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见证取样、实测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试验报告、观察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3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隐蔽工程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平面尺寸、标高、</w:t>
            </w:r>
          </w:p>
          <w:p>
            <w:pPr>
              <w:pStyle w:val="TableParagraph"/>
              <w:spacing w:line="470" w:lineRule="atLeast"/>
              <w:ind w:left="115" w:right="83"/>
              <w:rPr>
                <w:sz w:val="24"/>
              </w:rPr>
            </w:pPr>
            <w:r>
              <w:rPr>
                <w:spacing w:val="-2"/>
                <w:sz w:val="24"/>
              </w:rPr>
              <w:t>预留空洞或螺栓、钢筋</w:t>
            </w:r>
            <w:r>
              <w:rPr>
                <w:spacing w:val="-8"/>
                <w:sz w:val="24"/>
              </w:rPr>
              <w:t>品种、级别、规格、数量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3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砌体工程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原材料检验</w:t>
            </w:r>
          </w:p>
          <w:p>
            <w:pPr>
              <w:pStyle w:val="TableParagraph"/>
              <w:spacing w:before="8" w:line="460" w:lineRule="atLeast"/>
              <w:ind w:left="115" w:right="1684"/>
              <w:rPr>
                <w:sz w:val="24"/>
              </w:rPr>
            </w:pPr>
            <w:r>
              <w:rPr>
                <w:spacing w:val="-4"/>
                <w:sz w:val="24"/>
              </w:rPr>
              <w:t>沙浆强度</w:t>
            </w:r>
            <w:r>
              <w:rPr>
                <w:spacing w:val="-3"/>
                <w:sz w:val="24"/>
              </w:rPr>
              <w:t>砌筑质量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见证取样</w:t>
            </w:r>
          </w:p>
          <w:p>
            <w:pPr>
              <w:pStyle w:val="TableParagraph"/>
              <w:spacing w:before="8" w:line="460" w:lineRule="atLeast"/>
              <w:ind w:left="115" w:right="516"/>
              <w:rPr>
                <w:sz w:val="24"/>
              </w:rPr>
            </w:pPr>
            <w:r>
              <w:rPr>
                <w:spacing w:val="-4"/>
                <w:sz w:val="24"/>
              </w:rPr>
              <w:t>试验报告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实测、共检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钢筋焊接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原材料检验</w:t>
            </w:r>
          </w:p>
          <w:p>
            <w:pPr>
              <w:pStyle w:val="TableParagraph"/>
              <w:spacing w:before="8" w:line="460" w:lineRule="atLeast"/>
              <w:ind w:left="115" w:right="484"/>
              <w:rPr>
                <w:sz w:val="24"/>
              </w:rPr>
            </w:pPr>
            <w:r>
              <w:rPr>
                <w:spacing w:val="-2"/>
                <w:sz w:val="24"/>
              </w:rPr>
              <w:t>焊接工艺、焊接证书</w:t>
            </w:r>
            <w:r>
              <w:rPr>
                <w:spacing w:val="-2"/>
                <w:sz w:val="24"/>
              </w:rPr>
              <w:t>焊缝尺寸、表面缺陷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见证取样</w:t>
            </w:r>
          </w:p>
          <w:p>
            <w:pPr>
              <w:pStyle w:val="TableParagraph"/>
              <w:spacing w:before="8" w:line="460" w:lineRule="atLeast"/>
              <w:ind w:left="115" w:right="756"/>
              <w:rPr>
                <w:sz w:val="24"/>
              </w:rPr>
            </w:pPr>
            <w:r>
              <w:rPr>
                <w:spacing w:val="-4"/>
                <w:sz w:val="24"/>
              </w:rPr>
              <w:t>试验报告</w:t>
            </w:r>
            <w:r>
              <w:rPr>
                <w:spacing w:val="-3"/>
                <w:sz w:val="24"/>
              </w:rPr>
              <w:t>观察检验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4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rFonts w:ascii="Microsoft JhengHei"/>
                <w:b/>
                <w:sz w:val="28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钢结构安装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构件验收、垂直度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主体结构尺寸、侧弯曲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spacing w:line="364" w:lineRule="auto"/>
              <w:ind w:left="115" w:right="516"/>
              <w:rPr>
                <w:sz w:val="24"/>
              </w:rPr>
            </w:pPr>
            <w:r>
              <w:rPr>
                <w:spacing w:val="-4"/>
                <w:sz w:val="24"/>
              </w:rPr>
              <w:t>检测报告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实测、观察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rFonts w:ascii="Microsoft JhengHei"/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40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rPr>
                <w:rFonts w:ascii="Microsoft JhengHei"/>
                <w:b/>
                <w:sz w:val="20"/>
              </w:rPr>
            </w:pPr>
          </w:p>
          <w:p>
            <w:pPr>
              <w:pStyle w:val="TableParagraph"/>
              <w:ind w:left="142" w:right="1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防火涂料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68" w:lineRule="exact"/>
              <w:ind w:left="115" w:right="484"/>
              <w:rPr>
                <w:sz w:val="24"/>
              </w:rPr>
            </w:pPr>
            <w:r>
              <w:rPr>
                <w:spacing w:val="-2"/>
                <w:sz w:val="24"/>
              </w:rPr>
              <w:t>涂料性能、涂层厚度</w:t>
            </w:r>
            <w:r>
              <w:rPr>
                <w:spacing w:val="-4"/>
                <w:sz w:val="24"/>
              </w:rPr>
              <w:t>强度试验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68" w:lineRule="exact"/>
              <w:ind w:left="115" w:right="83"/>
              <w:rPr>
                <w:sz w:val="24"/>
              </w:rPr>
            </w:pPr>
            <w:r>
              <w:rPr>
                <w:spacing w:val="-8"/>
                <w:sz w:val="24"/>
              </w:rPr>
              <w:t>见证取样、实测</w:t>
            </w:r>
            <w:r>
              <w:rPr>
                <w:spacing w:val="-9"/>
                <w:sz w:val="24"/>
              </w:rPr>
              <w:t>试验报告、观察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142" w:right="1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主体验收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line="364" w:lineRule="auto"/>
              <w:ind w:left="115" w:right="276"/>
              <w:rPr>
                <w:sz w:val="24"/>
              </w:rPr>
            </w:pPr>
            <w:r>
              <w:rPr>
                <w:spacing w:val="-2"/>
                <w:sz w:val="24"/>
              </w:rPr>
              <w:t>实测、观察、</w:t>
            </w:r>
            <w:r>
              <w:rPr>
                <w:spacing w:val="-6"/>
                <w:sz w:val="24"/>
              </w:rPr>
              <w:t>资料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监理、施工、</w:t>
            </w:r>
          </w:p>
          <w:p>
            <w:pPr>
              <w:pStyle w:val="TableParagraph"/>
              <w:spacing w:before="8" w:line="460" w:lineRule="atLeast"/>
              <w:ind w:left="107" w:right="255"/>
              <w:rPr>
                <w:sz w:val="24"/>
              </w:rPr>
            </w:pPr>
            <w:r>
              <w:rPr>
                <w:spacing w:val="-2"/>
                <w:sz w:val="24"/>
              </w:rPr>
              <w:t>设计、勘察、</w:t>
            </w:r>
            <w:r>
              <w:rPr>
                <w:spacing w:val="-4"/>
                <w:sz w:val="24"/>
              </w:rPr>
              <w:t>质监站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三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建筑地面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砼垫层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原材料检验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强度等级、平整度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试验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22"/>
                <w:sz w:val="24"/>
              </w:rPr>
              <w:t>水泥</w:t>
            </w:r>
            <w:r>
              <w:rPr>
                <w:sz w:val="24"/>
              </w:rPr>
              <w:t>（</w:t>
            </w:r>
            <w:r>
              <w:rPr>
                <w:spacing w:val="-39"/>
                <w:sz w:val="24"/>
              </w:rPr>
              <w:t xml:space="preserve"> 砼</w:t>
            </w:r>
            <w:r>
              <w:rPr>
                <w:spacing w:val="-10"/>
                <w:sz w:val="24"/>
              </w:rPr>
              <w:t>）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面层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原材料检验、强度等级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平整度、坡度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试验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石材面层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原材品种、质量、结合层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平整度、坡度、拼缝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实测、观察、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</w:tbl>
    <w:p>
      <w:pPr>
        <w:spacing w:after="0"/>
        <w:rPr>
          <w:sz w:val="24"/>
        </w:rPr>
        <w:sectPr>
          <w:footerReference w:type="default" r:id="rId7"/>
          <w:type w:val="continuous"/>
          <w:pgSz w:w="11910" w:h="16840"/>
          <w:pgMar w:top="1400" w:right="640" w:bottom="1160" w:left="780" w:header="0" w:footer="977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1507"/>
        <w:gridCol w:w="2777"/>
        <w:gridCol w:w="1849"/>
        <w:gridCol w:w="1835"/>
      </w:tblGrid>
      <w:tr>
        <w:tblPrEx>
          <w:tblW w:w="0" w:type="auto"/>
          <w:jc w:val="left"/>
          <w:tblInd w:w="93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15"/>
                <w:sz w:val="24"/>
              </w:rPr>
              <w:t>活动地板面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z w:val="24"/>
              </w:rPr>
              <w:t>层</w:t>
            </w:r>
          </w:p>
        </w:tc>
        <w:tc>
          <w:tcPr>
            <w:tcW w:w="27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原材质量检验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平整度、坡度、拼缝</w:t>
            </w:r>
          </w:p>
        </w:tc>
        <w:tc>
          <w:tcPr>
            <w:tcW w:w="1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四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建筑装饰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3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装饰抹灰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材料品种、性能</w:t>
            </w:r>
          </w:p>
          <w:p>
            <w:pPr>
              <w:pStyle w:val="TableParagraph"/>
              <w:spacing w:line="470" w:lineRule="atLeast"/>
              <w:ind w:left="115" w:right="484"/>
              <w:rPr>
                <w:sz w:val="24"/>
              </w:rPr>
            </w:pPr>
            <w:r>
              <w:rPr>
                <w:spacing w:val="-2"/>
                <w:sz w:val="24"/>
              </w:rPr>
              <w:t>基层表面、粘结质量</w:t>
            </w:r>
            <w:r>
              <w:rPr>
                <w:spacing w:val="-2"/>
                <w:sz w:val="24"/>
              </w:rPr>
              <w:t>面层质量、分格缝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line="364" w:lineRule="auto"/>
              <w:ind w:left="115" w:right="516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  <w:r>
              <w:rPr>
                <w:spacing w:val="-6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92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line="468" w:lineRule="exact"/>
              <w:ind w:left="115" w:right="83"/>
              <w:rPr>
                <w:sz w:val="24"/>
              </w:rPr>
            </w:pPr>
            <w:r>
              <w:rPr>
                <w:spacing w:val="14"/>
                <w:sz w:val="24"/>
              </w:rPr>
              <w:t>塑钢门窗安</w:t>
            </w:r>
            <w:r>
              <w:rPr>
                <w:spacing w:val="-10"/>
                <w:sz w:val="24"/>
              </w:rPr>
              <w:t>装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line="468" w:lineRule="exact"/>
              <w:ind w:left="115" w:right="4"/>
              <w:rPr>
                <w:sz w:val="24"/>
              </w:rPr>
            </w:pPr>
            <w:r>
              <w:rPr>
                <w:spacing w:val="-2"/>
                <w:sz w:val="24"/>
              </w:rPr>
              <w:t>成品质量、框、扇安装、</w:t>
            </w:r>
            <w:r>
              <w:rPr>
                <w:spacing w:val="-2"/>
                <w:sz w:val="24"/>
              </w:rPr>
              <w:t>配件安装、密封填料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line="468" w:lineRule="exact"/>
              <w:ind w:left="115" w:right="516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  <w:r>
              <w:rPr>
                <w:spacing w:val="-6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Microsoft JhengHei"/>
                <w:b/>
                <w:sz w:val="21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特殊门安装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成品质量、性能</w:t>
            </w:r>
          </w:p>
          <w:p>
            <w:pPr>
              <w:pStyle w:val="TableParagraph"/>
              <w:spacing w:line="470" w:lineRule="atLeast"/>
              <w:ind w:left="115" w:right="484"/>
              <w:rPr>
                <w:sz w:val="24"/>
              </w:rPr>
            </w:pPr>
            <w:r>
              <w:rPr>
                <w:spacing w:val="-2"/>
                <w:sz w:val="24"/>
              </w:rPr>
              <w:t>品种规格、方向位置</w:t>
            </w:r>
            <w:r>
              <w:rPr>
                <w:spacing w:val="-2"/>
                <w:sz w:val="24"/>
              </w:rPr>
              <w:t>机械、自动化装置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 w:line="364" w:lineRule="auto"/>
              <w:ind w:left="115" w:right="516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  <w:r>
              <w:rPr>
                <w:spacing w:val="-6"/>
                <w:sz w:val="24"/>
              </w:rPr>
              <w:t>共检</w:t>
            </w: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运行试验、共检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2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15"/>
              <w:rPr>
                <w:sz w:val="24"/>
              </w:rPr>
            </w:pPr>
            <w:r>
              <w:rPr>
                <w:spacing w:val="15"/>
                <w:sz w:val="24"/>
              </w:rPr>
              <w:t>装饰面板安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z w:val="24"/>
              </w:rPr>
              <w:t>装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15" w:right="-44"/>
              <w:rPr>
                <w:sz w:val="24"/>
              </w:rPr>
            </w:pPr>
            <w:r>
              <w:rPr>
                <w:spacing w:val="-20"/>
                <w:sz w:val="24"/>
              </w:rPr>
              <w:t>原材质量、饰面板孔、槽、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安装、接缝质量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五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屋面工程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屋面保温层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原材料检验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含水率、厚度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 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屋面找平层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原材料及配合比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坡度、平整度、分格缝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</w:p>
          <w:p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  <w:tr>
        <w:tblPrEx>
          <w:tblW w:w="0" w:type="auto"/>
          <w:jc w:val="left"/>
          <w:tblInd w:w="9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54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Microsoft JhengHei"/>
                <w:b/>
                <w:sz w:val="30"/>
              </w:rPr>
            </w:pPr>
          </w:p>
          <w:p>
            <w:pPr>
              <w:pStyle w:val="TableParagraph"/>
              <w:ind w:lef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卷材防水层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pacing w:val="-9"/>
                <w:sz w:val="24"/>
              </w:rPr>
              <w:t>原材料品种、性能、规格</w:t>
            </w:r>
          </w:p>
          <w:p>
            <w:pPr>
              <w:pStyle w:val="TableParagraph"/>
              <w:spacing w:before="8" w:line="460" w:lineRule="atLeast"/>
              <w:ind w:left="115" w:right="83"/>
              <w:rPr>
                <w:sz w:val="24"/>
              </w:rPr>
            </w:pPr>
            <w:r>
              <w:rPr>
                <w:spacing w:val="-11"/>
                <w:sz w:val="24"/>
              </w:rPr>
              <w:t>配套材料吸性能、细部构</w:t>
            </w:r>
            <w:r>
              <w:rPr>
                <w:spacing w:val="-2"/>
                <w:sz w:val="24"/>
              </w:rPr>
              <w:t>造、接缝搭接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Microsoft JhengHei"/>
                <w:b/>
                <w:sz w:val="17"/>
              </w:rPr>
            </w:pPr>
          </w:p>
          <w:p>
            <w:pPr>
              <w:pStyle w:val="TableParagraph"/>
              <w:spacing w:line="364" w:lineRule="auto"/>
              <w:ind w:left="115" w:right="516"/>
              <w:rPr>
                <w:sz w:val="24"/>
              </w:rPr>
            </w:pPr>
            <w:r>
              <w:rPr>
                <w:spacing w:val="-2"/>
                <w:sz w:val="24"/>
              </w:rPr>
              <w:t>实测、观察</w:t>
            </w:r>
            <w:r>
              <w:rPr>
                <w:spacing w:val="-6"/>
                <w:sz w:val="24"/>
              </w:rPr>
              <w:t>共检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Microsoft JhengHei"/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监理、施工</w:t>
            </w:r>
          </w:p>
        </w:tc>
      </w:tr>
    </w:tbl>
    <w:p>
      <w:pPr>
        <w:pStyle w:val="BodyText"/>
        <w:spacing w:before="7"/>
        <w:rPr>
          <w:rFonts w:ascii="Microsoft JhengHei"/>
          <w:b/>
          <w:sz w:val="27"/>
        </w:rPr>
      </w:pPr>
    </w:p>
    <w:p>
      <w:pPr>
        <w:pStyle w:val="BodyText"/>
        <w:spacing w:before="74"/>
        <w:ind w:left="1020"/>
      </w:pPr>
      <w:r>
        <w:t>注：</w:t>
      </w:r>
      <w:r>
        <w:rPr>
          <w:rFonts w:ascii="Times New Roman" w:eastAsia="Times New Roman"/>
        </w:rPr>
        <w:t>1</w:t>
      </w:r>
      <w:r>
        <w:rPr>
          <w:spacing w:val="-1"/>
        </w:rPr>
        <w:t>、检验标准是相关规范、标准和设计图纸及说明。</w:t>
      </w:r>
    </w:p>
    <w:p>
      <w:pPr>
        <w:pStyle w:val="BodyText"/>
        <w:spacing w:before="161"/>
        <w:ind w:left="1500"/>
      </w:pPr>
      <w:r>
        <w:rPr>
          <w:rFonts w:ascii="Times New Roman" w:eastAsia="Times New Roman"/>
        </w:rPr>
        <w:t>2</w:t>
      </w:r>
      <w:r>
        <w:rPr>
          <w:spacing w:val="-1"/>
        </w:rPr>
        <w:t>、平行检查分记录表格式和监理日志表述。</w:t>
      </w:r>
    </w:p>
    <w:p>
      <w:pPr>
        <w:pStyle w:val="BodyText"/>
        <w:spacing w:before="160"/>
        <w:ind w:left="1500"/>
      </w:pPr>
      <w:r>
        <w:rPr>
          <w:rFonts w:ascii="Times New Roman" w:eastAsia="Times New Roman"/>
        </w:rPr>
        <w:t>3</w:t>
      </w:r>
      <w:r>
        <w:rPr>
          <w:spacing w:val="-1"/>
        </w:rPr>
        <w:t>、共检项目平行检验见质量验收记录。</w:t>
      </w:r>
    </w:p>
    <w:p>
      <w:pPr>
        <w:pStyle w:val="BodyText"/>
        <w:spacing w:before="161"/>
        <w:ind w:left="1500"/>
      </w:pPr>
      <w:r>
        <w:rPr>
          <w:rFonts w:ascii="Times New Roman" w:eastAsia="Times New Roman"/>
        </w:rPr>
        <w:t>4</w:t>
      </w:r>
      <w:r>
        <w:rPr>
          <w:spacing w:val="-1"/>
        </w:rPr>
        <w:t>、根据工程实际需要做微小调整确保工程质量受控。</w:t>
      </w:r>
    </w:p>
    <w:p>
      <w:pPr>
        <w:pStyle w:val="Heading1"/>
        <w:spacing w:before="44"/>
      </w:pPr>
      <w:bookmarkStart w:id="4" w:name="_TOC_250002"/>
      <w:bookmarkEnd w:id="4"/>
      <w:r>
        <w:rPr>
          <w:spacing w:val="-1"/>
        </w:rPr>
        <w:t>五、平行检验实施的范围、程序、内容：</w:t>
      </w:r>
    </w:p>
    <w:p>
      <w:pPr>
        <w:pStyle w:val="ListParagraph"/>
        <w:numPr>
          <w:ilvl w:val="0"/>
          <w:numId w:val="17"/>
        </w:numPr>
        <w:tabs>
          <w:tab w:val="left" w:pos="1201"/>
        </w:tabs>
        <w:spacing w:before="78" w:after="0" w:line="240" w:lineRule="auto"/>
        <w:ind w:left="1201" w:right="0" w:hanging="181"/>
        <w:jc w:val="left"/>
        <w:rPr>
          <w:sz w:val="24"/>
        </w:rPr>
      </w:pPr>
      <w:r>
        <w:rPr>
          <w:spacing w:val="-3"/>
          <w:sz w:val="24"/>
        </w:rPr>
        <w:t>工程开工前，监理单位应制定平行检验方案。平行检验应在施工单位检查的基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8"/>
          <w:type w:val="continuous"/>
          <w:pgSz w:w="11910" w:h="16840"/>
          <w:pgMar w:top="1400" w:right="640" w:bottom="1160" w:left="780" w:header="0" w:footer="977"/>
          <w:pgNumType w:start="5"/>
          <w:cols w:space="708"/>
        </w:sectPr>
      </w:pPr>
    </w:p>
    <w:p>
      <w:pPr>
        <w:pStyle w:val="BodyText"/>
        <w:spacing w:before="44"/>
        <w:ind w:left="1020"/>
      </w:pPr>
      <w:r>
        <w:rPr>
          <w:spacing w:val="-1"/>
        </w:rPr>
        <w:t>础上由项目监理机构对施工单位的自检情况进行复核。</w:t>
      </w:r>
    </w:p>
    <w:p>
      <w:pPr>
        <w:pStyle w:val="ListParagraph"/>
        <w:numPr>
          <w:ilvl w:val="0"/>
          <w:numId w:val="17"/>
        </w:numPr>
        <w:tabs>
          <w:tab w:val="left" w:pos="1201"/>
        </w:tabs>
        <w:spacing w:before="160" w:after="0" w:line="364" w:lineRule="auto"/>
        <w:ind w:left="1020" w:right="1158" w:firstLine="0"/>
        <w:jc w:val="left"/>
        <w:rPr>
          <w:sz w:val="24"/>
        </w:rPr>
      </w:pPr>
      <w:r>
        <w:rPr>
          <w:spacing w:val="-2"/>
          <w:sz w:val="24"/>
        </w:rPr>
        <w:t>平行检验的内容包括砖（砌块</w:t>
      </w:r>
      <w:r>
        <w:rPr>
          <w:spacing w:val="-118"/>
          <w:sz w:val="24"/>
        </w:rPr>
        <w:t>）</w:t>
      </w:r>
      <w:r>
        <w:rPr>
          <w:spacing w:val="-2"/>
          <w:sz w:val="24"/>
        </w:rPr>
        <w:t>、钢筋、模板、预拌混凝土坍落度、钢筋保护</w:t>
      </w:r>
      <w:r>
        <w:rPr>
          <w:spacing w:val="-2"/>
          <w:sz w:val="24"/>
        </w:rPr>
        <w:t>层、混凝土强度、轴线尺寸、层高等。</w:t>
      </w:r>
    </w:p>
    <w:p>
      <w:pPr>
        <w:pStyle w:val="ListParagraph"/>
        <w:numPr>
          <w:ilvl w:val="0"/>
          <w:numId w:val="17"/>
        </w:numPr>
        <w:tabs>
          <w:tab w:val="left" w:pos="1201"/>
        </w:tabs>
        <w:spacing w:before="2" w:after="0" w:line="364" w:lineRule="auto"/>
        <w:ind w:left="1020" w:right="1125" w:firstLine="0"/>
        <w:jc w:val="left"/>
        <w:rPr>
          <w:sz w:val="24"/>
        </w:rPr>
      </w:pPr>
      <w:r>
        <w:rPr>
          <w:spacing w:val="-2"/>
          <w:sz w:val="24"/>
        </w:rPr>
        <w:t>钢筋、幕墙骨架等隐蔽工程，监理验收符合要求并完善隐蔽工程签字手续后，</w:t>
      </w:r>
      <w:r>
        <w:rPr>
          <w:spacing w:val="-2"/>
          <w:sz w:val="24"/>
        </w:rPr>
        <w:t>由总监理工程师（或总监代表）通知质量监督站。</w:t>
      </w:r>
    </w:p>
    <w:p>
      <w:pPr>
        <w:pStyle w:val="Heading1"/>
        <w:spacing w:line="546" w:lineRule="exact"/>
      </w:pPr>
      <w:bookmarkStart w:id="5" w:name="_TOC_250001"/>
      <w:bookmarkEnd w:id="5"/>
      <w:r>
        <w:rPr>
          <w:spacing w:val="-1"/>
        </w:rPr>
        <w:t>六、建筑实体检查项目</w:t>
      </w:r>
    </w:p>
    <w:p>
      <w:pPr>
        <w:pStyle w:val="Heading4"/>
        <w:spacing w:before="39"/>
      </w:pPr>
      <w:r>
        <w:rPr>
          <w:rFonts w:ascii="黑体" w:eastAsia="黑体"/>
          <w:b w:val="0"/>
        </w:rPr>
        <w:t>1、</w:t>
      </w:r>
      <w:r>
        <w:rPr>
          <w:spacing w:val="-1"/>
        </w:rPr>
        <w:t>建筑结构工程原材料及实体检查检验</w:t>
      </w:r>
    </w:p>
    <w:p>
      <w:pPr>
        <w:pStyle w:val="ListParagraph"/>
        <w:numPr>
          <w:ilvl w:val="0"/>
          <w:numId w:val="16"/>
        </w:numPr>
        <w:tabs>
          <w:tab w:val="left" w:pos="1621"/>
        </w:tabs>
        <w:spacing w:before="148" w:after="0" w:line="364" w:lineRule="auto"/>
        <w:ind w:left="1020" w:right="1185" w:firstLine="0"/>
        <w:jc w:val="left"/>
        <w:rPr>
          <w:sz w:val="24"/>
        </w:rPr>
      </w:pPr>
      <w:r>
        <w:rPr>
          <w:spacing w:val="-2"/>
          <w:sz w:val="24"/>
        </w:rPr>
        <w:t>实体平行检验是在施工单位自检合格后实施，平行检验应有一半数量复核</w:t>
      </w:r>
      <w:r>
        <w:rPr>
          <w:spacing w:val="-2"/>
          <w:sz w:val="24"/>
        </w:rPr>
        <w:t>施工单位自检的数据。</w:t>
      </w:r>
    </w:p>
    <w:p>
      <w:pPr>
        <w:pStyle w:val="ListParagraph"/>
        <w:numPr>
          <w:ilvl w:val="0"/>
          <w:numId w:val="16"/>
        </w:numPr>
        <w:tabs>
          <w:tab w:val="left" w:pos="1679"/>
        </w:tabs>
        <w:spacing w:before="2" w:after="0" w:line="364" w:lineRule="auto"/>
        <w:ind w:left="1078" w:right="1157" w:firstLine="0"/>
        <w:jc w:val="left"/>
        <w:rPr>
          <w:sz w:val="24"/>
        </w:rPr>
      </w:pPr>
      <w:r>
        <w:rPr>
          <w:spacing w:val="-2"/>
          <w:sz w:val="24"/>
        </w:rPr>
        <w:t>实体平行检验结果与施工单位自检数据有较大偏差时，应共同重新检测或</w:t>
      </w:r>
      <w:r>
        <w:rPr>
          <w:spacing w:val="-2"/>
          <w:sz w:val="24"/>
        </w:rPr>
        <w:t>委托有资质的检测单位进行检测，找出原因后，对相应楼层重新进行自检和平</w:t>
      </w:r>
      <w:r>
        <w:rPr>
          <w:spacing w:val="-4"/>
          <w:sz w:val="24"/>
        </w:rPr>
        <w:t>行检验。</w:t>
      </w:r>
    </w:p>
    <w:p>
      <w:pPr>
        <w:pStyle w:val="ListParagraph"/>
        <w:numPr>
          <w:ilvl w:val="0"/>
          <w:numId w:val="16"/>
        </w:numPr>
        <w:tabs>
          <w:tab w:val="left" w:pos="1621"/>
        </w:tabs>
        <w:spacing w:before="1" w:after="0" w:line="364" w:lineRule="auto"/>
        <w:ind w:left="1020" w:right="1158" w:firstLine="0"/>
        <w:jc w:val="both"/>
        <w:rPr>
          <w:sz w:val="24"/>
        </w:rPr>
      </w:pPr>
      <w:r>
        <w:rPr>
          <w:spacing w:val="-4"/>
          <w:sz w:val="24"/>
        </w:rPr>
        <w:t xml:space="preserve">混凝土强度回弹平行检验结果低于设计值 </w:t>
      </w:r>
      <w:r>
        <w:rPr>
          <w:spacing w:val="-2"/>
          <w:sz w:val="24"/>
        </w:rPr>
        <w:t>1</w:t>
      </w:r>
      <w:r>
        <w:rPr>
          <w:spacing w:val="-7"/>
          <w:sz w:val="24"/>
        </w:rPr>
        <w:t xml:space="preserve"> 个等级或钢筋保护层、构件尺</w:t>
      </w:r>
      <w:r>
        <w:rPr>
          <w:spacing w:val="-9"/>
          <w:sz w:val="24"/>
        </w:rPr>
        <w:t xml:space="preserve">寸、轴线、层高平行检验数据超过规范允许偏差 </w:t>
      </w:r>
      <w:r>
        <w:rPr>
          <w:spacing w:val="-8"/>
          <w:sz w:val="24"/>
        </w:rPr>
        <w:t>1.5</w:t>
      </w:r>
      <w:r>
        <w:rPr>
          <w:spacing w:val="-14"/>
          <w:sz w:val="24"/>
        </w:rPr>
        <w:t xml:space="preserve"> 倍</w:t>
      </w:r>
      <w:r>
        <w:rPr>
          <w:spacing w:val="-8"/>
          <w:sz w:val="24"/>
        </w:rPr>
        <w:t>（</w:t>
      </w:r>
      <w:r>
        <w:rPr>
          <w:spacing w:val="-11"/>
          <w:sz w:val="24"/>
        </w:rPr>
        <w:t xml:space="preserve">钢结构 </w:t>
      </w:r>
      <w:r>
        <w:rPr>
          <w:spacing w:val="-8"/>
          <w:sz w:val="24"/>
        </w:rPr>
        <w:t>1.2</w:t>
      </w:r>
      <w:r>
        <w:rPr>
          <w:spacing w:val="-14"/>
          <w:sz w:val="24"/>
        </w:rPr>
        <w:t xml:space="preserve"> 倍</w:t>
      </w:r>
      <w:r>
        <w:rPr>
          <w:spacing w:val="-8"/>
          <w:sz w:val="24"/>
        </w:rPr>
        <w:t>）时，判</w:t>
      </w:r>
      <w:r>
        <w:rPr>
          <w:spacing w:val="-2"/>
          <w:sz w:val="24"/>
        </w:rPr>
        <w:t>定为平行检验不合格。</w:t>
      </w:r>
    </w:p>
    <w:p>
      <w:pPr>
        <w:pStyle w:val="Heading4"/>
        <w:spacing w:line="477" w:lineRule="exact"/>
      </w:pPr>
      <w:r>
        <w:rPr>
          <w:rFonts w:ascii="黑体" w:eastAsia="黑体"/>
          <w:b w:val="0"/>
        </w:rPr>
        <w:t>2、</w:t>
      </w:r>
      <w:r>
        <w:t>钢筋进场外观检验（报验</w:t>
      </w:r>
      <w:r>
        <w:rPr>
          <w:spacing w:val="-10"/>
        </w:rPr>
        <w:t>）</w:t>
      </w:r>
    </w:p>
    <w:p>
      <w:pPr>
        <w:pStyle w:val="ListParagraph"/>
        <w:numPr>
          <w:ilvl w:val="1"/>
          <w:numId w:val="16"/>
        </w:numPr>
        <w:tabs>
          <w:tab w:val="left" w:pos="1740"/>
        </w:tabs>
        <w:spacing w:before="149" w:after="0" w:line="240" w:lineRule="auto"/>
        <w:ind w:left="1740" w:right="0" w:hanging="602"/>
        <w:jc w:val="left"/>
        <w:rPr>
          <w:sz w:val="24"/>
        </w:rPr>
      </w:pPr>
      <w:r>
        <w:rPr>
          <w:spacing w:val="-1"/>
          <w:sz w:val="24"/>
        </w:rPr>
        <w:t>施工单位的专职质检员、材料员与监理机构的监理工程师一起进行检验。</w:t>
      </w:r>
    </w:p>
    <w:p>
      <w:pPr>
        <w:pStyle w:val="ListParagraph"/>
        <w:numPr>
          <w:ilvl w:val="1"/>
          <w:numId w:val="16"/>
        </w:numPr>
        <w:tabs>
          <w:tab w:val="left" w:pos="1740"/>
        </w:tabs>
        <w:spacing w:before="161" w:after="0" w:line="364" w:lineRule="auto"/>
        <w:ind w:left="1258" w:right="1157" w:hanging="120"/>
        <w:jc w:val="both"/>
        <w:rPr>
          <w:sz w:val="24"/>
        </w:rPr>
      </w:pPr>
      <w:r>
        <w:rPr>
          <w:spacing w:val="-6"/>
          <w:sz w:val="24"/>
        </w:rPr>
        <w:t xml:space="preserve">直径偏差允许值：参照规范 </w:t>
      </w:r>
      <w:r>
        <w:rPr>
          <w:spacing w:val="-4"/>
          <w:sz w:val="24"/>
        </w:rPr>
        <w:t>GB1499.1-2008</w:t>
      </w:r>
      <w:r>
        <w:rPr>
          <w:spacing w:val="-18"/>
          <w:sz w:val="24"/>
        </w:rPr>
        <w:t xml:space="preserve"> 和 </w:t>
      </w:r>
      <w:r>
        <w:rPr>
          <w:spacing w:val="-4"/>
          <w:sz w:val="24"/>
        </w:rPr>
        <w:t>GB1499.2-2007；偏差超过</w:t>
      </w:r>
      <w:r>
        <w:rPr>
          <w:spacing w:val="-2"/>
          <w:sz w:val="24"/>
        </w:rPr>
        <w:t>允许值的应退货或降级使用。</w:t>
      </w:r>
    </w:p>
    <w:p>
      <w:pPr>
        <w:pStyle w:val="ListParagraph"/>
        <w:numPr>
          <w:ilvl w:val="1"/>
          <w:numId w:val="16"/>
        </w:numPr>
        <w:tabs>
          <w:tab w:val="left" w:pos="1740"/>
        </w:tabs>
        <w:spacing w:before="1" w:after="0" w:line="364" w:lineRule="auto"/>
        <w:ind w:left="1258" w:right="1157" w:hanging="120"/>
        <w:jc w:val="both"/>
        <w:rPr>
          <w:sz w:val="24"/>
        </w:rPr>
      </w:pPr>
      <w:r>
        <w:rPr>
          <w:spacing w:val="-4"/>
          <w:sz w:val="24"/>
        </w:rPr>
        <w:t>外观质量：钢筋应平直、无损伤，钢筋表面不得有裂纹、起皮、油污、颗</w:t>
      </w:r>
      <w:r>
        <w:rPr>
          <w:spacing w:val="-8"/>
          <w:sz w:val="24"/>
        </w:rPr>
        <w:t>粒状或片状老锈等，并在相应栏内填“有”或“无”，平直栏直接填“平直”</w:t>
      </w:r>
      <w:r>
        <w:rPr>
          <w:spacing w:val="-22"/>
          <w:sz w:val="24"/>
        </w:rPr>
        <w:t>或“弯曲”。</w:t>
      </w:r>
    </w:p>
    <w:p>
      <w:pPr>
        <w:pStyle w:val="ListParagraph"/>
        <w:numPr>
          <w:ilvl w:val="1"/>
          <w:numId w:val="16"/>
        </w:numPr>
        <w:tabs>
          <w:tab w:val="left" w:pos="1740"/>
        </w:tabs>
        <w:spacing w:before="2" w:after="0" w:line="364" w:lineRule="auto"/>
        <w:ind w:left="1258" w:right="1157" w:hanging="120"/>
        <w:jc w:val="left"/>
        <w:rPr>
          <w:sz w:val="24"/>
        </w:rPr>
      </w:pPr>
      <w:r>
        <w:rPr>
          <w:spacing w:val="-2"/>
          <w:sz w:val="24"/>
        </w:rPr>
        <w:t>产品标牌上的标识炉批号应与质量保证书上一致，并做好记录。当不一</w:t>
      </w:r>
      <w:r>
        <w:rPr>
          <w:spacing w:val="-2"/>
          <w:sz w:val="24"/>
        </w:rPr>
        <w:t>致时，应查明材料来源，否则应退货。</w:t>
      </w:r>
    </w:p>
    <w:p>
      <w:pPr>
        <w:pStyle w:val="ListParagraph"/>
        <w:numPr>
          <w:ilvl w:val="1"/>
          <w:numId w:val="16"/>
        </w:numPr>
        <w:tabs>
          <w:tab w:val="left" w:pos="1740"/>
        </w:tabs>
        <w:spacing w:before="1" w:after="0" w:line="364" w:lineRule="auto"/>
        <w:ind w:left="1258" w:right="1157" w:hanging="120"/>
        <w:jc w:val="both"/>
        <w:rPr>
          <w:sz w:val="24"/>
        </w:rPr>
      </w:pPr>
      <w:r>
        <w:rPr>
          <w:spacing w:val="-4"/>
          <w:sz w:val="24"/>
        </w:rPr>
        <w:t>当钢筋表面存在裂纹、起皮应退货；若存在损伤、不平直应剔出退货；存</w:t>
      </w:r>
      <w:r>
        <w:rPr>
          <w:spacing w:val="-4"/>
          <w:sz w:val="24"/>
        </w:rPr>
        <w:t>在油污应清理干净；存在颗粒状或片状老锈应除尽，若影响截面尺寸，应降级</w:t>
      </w:r>
      <w:r>
        <w:rPr>
          <w:spacing w:val="-4"/>
          <w:sz w:val="24"/>
        </w:rPr>
        <w:t>处理。</w:t>
      </w:r>
    </w:p>
    <w:p>
      <w:pPr>
        <w:pStyle w:val="ListParagraph"/>
        <w:numPr>
          <w:ilvl w:val="1"/>
          <w:numId w:val="16"/>
        </w:numPr>
        <w:tabs>
          <w:tab w:val="left" w:pos="1740"/>
        </w:tabs>
        <w:spacing w:before="2" w:after="0" w:line="240" w:lineRule="auto"/>
        <w:ind w:left="1740" w:right="0" w:hanging="602"/>
        <w:jc w:val="left"/>
        <w:rPr>
          <w:sz w:val="24"/>
        </w:rPr>
      </w:pPr>
      <w:r>
        <w:rPr>
          <w:spacing w:val="-3"/>
          <w:sz w:val="24"/>
        </w:rPr>
        <w:t>外观检查合格后，应及时见证取样送有资质的检测机构进行复试，复试合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9"/>
          <w:pgSz w:w="11910" w:h="16840"/>
          <w:pgMar w:top="1460" w:right="640" w:bottom="1160" w:left="780" w:header="0" w:footer="977"/>
          <w:pgNumType w:start="6"/>
          <w:cols w:space="708"/>
        </w:sectPr>
      </w:pPr>
    </w:p>
    <w:p>
      <w:pPr>
        <w:pStyle w:val="BodyText"/>
        <w:spacing w:before="44"/>
        <w:ind w:left="1258"/>
      </w:pPr>
      <w:r>
        <w:rPr>
          <w:spacing w:val="-2"/>
        </w:rPr>
        <w:t>格后方可使用。</w:t>
      </w:r>
    </w:p>
    <w:p>
      <w:pPr>
        <w:pStyle w:val="Heading5"/>
        <w:spacing w:before="213"/>
      </w:pPr>
      <w:r>
        <w:t>3、模板试拼装及周转检验（报验</w:t>
      </w:r>
      <w:r>
        <w:rPr>
          <w:spacing w:val="-10"/>
        </w:rPr>
        <w:t>）</w:t>
      </w:r>
    </w:p>
    <w:p>
      <w:pPr>
        <w:pStyle w:val="ListParagraph"/>
        <w:numPr>
          <w:ilvl w:val="0"/>
          <w:numId w:val="18"/>
        </w:numPr>
        <w:tabs>
          <w:tab w:val="left" w:pos="1740"/>
        </w:tabs>
        <w:spacing w:before="213" w:after="0" w:line="364" w:lineRule="auto"/>
        <w:ind w:left="1258" w:right="1157" w:hanging="120"/>
        <w:jc w:val="left"/>
        <w:rPr>
          <w:sz w:val="24"/>
        </w:rPr>
      </w:pPr>
      <w:r>
        <w:rPr>
          <w:spacing w:val="-2"/>
          <w:sz w:val="24"/>
        </w:rPr>
        <w:t>木模的拼装和保养更换的验收由施工单位的质量员、技术员（施工员）</w:t>
      </w:r>
      <w:r>
        <w:rPr>
          <w:spacing w:val="-2"/>
          <w:sz w:val="24"/>
        </w:rPr>
        <w:t>和监理机构的专业监理工程师一起进行，并以每一流水施工段为一个检验批</w:t>
      </w:r>
      <w:r>
        <w:rPr>
          <w:spacing w:val="-10"/>
          <w:sz w:val="24"/>
        </w:rPr>
        <w:t>。</w:t>
      </w:r>
    </w:p>
    <w:p>
      <w:pPr>
        <w:pStyle w:val="ListParagraph"/>
        <w:numPr>
          <w:ilvl w:val="0"/>
          <w:numId w:val="18"/>
        </w:numPr>
        <w:tabs>
          <w:tab w:val="left" w:pos="1740"/>
        </w:tabs>
        <w:spacing w:before="1" w:after="0" w:line="240" w:lineRule="auto"/>
        <w:ind w:left="1740" w:right="0" w:hanging="602"/>
        <w:jc w:val="left"/>
        <w:rPr>
          <w:sz w:val="24"/>
        </w:rPr>
      </w:pPr>
      <w:r>
        <w:rPr>
          <w:spacing w:val="-1"/>
          <w:sz w:val="24"/>
        </w:rPr>
        <w:t>木模板材厚度不得出现负偏差，起皮和脱胶应更换。</w:t>
      </w:r>
    </w:p>
    <w:p>
      <w:pPr>
        <w:pStyle w:val="ListParagraph"/>
        <w:numPr>
          <w:ilvl w:val="0"/>
          <w:numId w:val="18"/>
        </w:numPr>
        <w:tabs>
          <w:tab w:val="left" w:pos="1740"/>
        </w:tabs>
        <w:spacing w:before="160" w:after="0" w:line="364" w:lineRule="auto"/>
        <w:ind w:left="1258" w:right="1157" w:hanging="120"/>
        <w:jc w:val="left"/>
        <w:rPr>
          <w:sz w:val="24"/>
        </w:rPr>
      </w:pPr>
      <w:r>
        <w:rPr>
          <w:spacing w:val="-2"/>
          <w:sz w:val="24"/>
        </w:rPr>
        <w:t>模板每周转一次应对保养更换情况进行检查记录，在本表相应栏内填“</w:t>
      </w:r>
      <w:r>
        <w:rPr>
          <w:spacing w:val="-34"/>
          <w:sz w:val="24"/>
        </w:rPr>
        <w:t>块数”。</w:t>
      </w:r>
    </w:p>
    <w:p>
      <w:pPr>
        <w:pStyle w:val="ListParagraph"/>
        <w:numPr>
          <w:ilvl w:val="0"/>
          <w:numId w:val="18"/>
        </w:numPr>
        <w:tabs>
          <w:tab w:val="left" w:pos="1740"/>
        </w:tabs>
        <w:spacing w:before="1" w:after="0" w:line="364" w:lineRule="auto"/>
        <w:ind w:left="1258" w:right="1157" w:hanging="120"/>
        <w:jc w:val="left"/>
        <w:rPr>
          <w:sz w:val="24"/>
        </w:rPr>
      </w:pPr>
      <w:r>
        <w:rPr>
          <w:spacing w:val="-2"/>
          <w:sz w:val="24"/>
        </w:rPr>
        <w:t>脱模剂应有出厂合格证，不得使用废机油等污染性强的替代产品，并在</w:t>
      </w:r>
      <w:r>
        <w:rPr>
          <w:spacing w:val="-9"/>
          <w:sz w:val="24"/>
        </w:rPr>
        <w:t>相应栏内填涂刷了隔离剂的模板“块数”。</w:t>
      </w:r>
    </w:p>
    <w:p>
      <w:pPr>
        <w:pStyle w:val="Heading5"/>
      </w:pPr>
      <w:r>
        <w:t>4、砖（砌块）外观检验（报验</w:t>
      </w:r>
      <w:r>
        <w:rPr>
          <w:spacing w:val="-10"/>
        </w:rPr>
        <w:t>）</w:t>
      </w:r>
    </w:p>
    <w:p>
      <w:pPr>
        <w:pStyle w:val="ListParagraph"/>
        <w:numPr>
          <w:ilvl w:val="0"/>
          <w:numId w:val="14"/>
        </w:numPr>
        <w:tabs>
          <w:tab w:val="left" w:pos="1740"/>
        </w:tabs>
        <w:spacing w:before="213" w:after="0" w:line="364" w:lineRule="auto"/>
        <w:ind w:left="1258" w:right="1157" w:hanging="120"/>
        <w:jc w:val="both"/>
        <w:rPr>
          <w:sz w:val="24"/>
        </w:rPr>
      </w:pPr>
      <w:r>
        <w:rPr>
          <w:spacing w:val="-4"/>
          <w:sz w:val="24"/>
        </w:rPr>
        <w:t>每日进场（同一生产厂、同品种、同规格）的砖（砌块）为一检查批，由</w:t>
      </w:r>
      <w:r>
        <w:rPr>
          <w:spacing w:val="-4"/>
          <w:sz w:val="24"/>
        </w:rPr>
        <w:t>施工单位的材料员、质量员、监理单位的专业监理工程师、监理员等一起随机</w:t>
      </w:r>
      <w:r>
        <w:rPr>
          <w:spacing w:val="-8"/>
          <w:sz w:val="24"/>
        </w:rPr>
        <w:t xml:space="preserve">抽取 </w:t>
      </w:r>
      <w:r>
        <w:rPr>
          <w:sz w:val="24"/>
        </w:rPr>
        <w:t>20</w:t>
      </w:r>
      <w:r>
        <w:rPr>
          <w:spacing w:val="-8"/>
          <w:sz w:val="24"/>
        </w:rPr>
        <w:t xml:space="preserve"> 块砖</w:t>
      </w:r>
      <w:r>
        <w:rPr>
          <w:sz w:val="24"/>
        </w:rPr>
        <w:t>（砌块）对几何尺寸、外观质量等进行检查验收。</w:t>
      </w:r>
    </w:p>
    <w:p>
      <w:pPr>
        <w:pStyle w:val="ListParagraph"/>
        <w:numPr>
          <w:ilvl w:val="0"/>
          <w:numId w:val="14"/>
        </w:numPr>
        <w:tabs>
          <w:tab w:val="left" w:pos="1740"/>
        </w:tabs>
        <w:spacing w:before="2" w:after="0" w:line="364" w:lineRule="auto"/>
        <w:ind w:left="1258" w:right="1066" w:hanging="120"/>
        <w:jc w:val="left"/>
        <w:rPr>
          <w:sz w:val="24"/>
        </w:rPr>
      </w:pPr>
      <w:r>
        <w:rPr>
          <w:spacing w:val="-2"/>
          <w:sz w:val="24"/>
        </w:rPr>
        <w:t>当检查有四块砖（砌块）存在不合格指标时，应双倍取样，仍有八块及以</w:t>
      </w:r>
      <w:r>
        <w:rPr>
          <w:spacing w:val="-2"/>
          <w:sz w:val="24"/>
        </w:rPr>
        <w:t>上的砖（砌块）存在不合格指标时，判定该批砖（砌块）为不合格，应退货。</w:t>
      </w:r>
    </w:p>
    <w:p>
      <w:pPr>
        <w:pStyle w:val="ListParagraph"/>
        <w:numPr>
          <w:ilvl w:val="0"/>
          <w:numId w:val="14"/>
        </w:numPr>
        <w:tabs>
          <w:tab w:val="left" w:pos="1740"/>
        </w:tabs>
        <w:spacing w:before="1" w:after="0" w:line="364" w:lineRule="auto"/>
        <w:ind w:left="1258" w:right="1157" w:hanging="120"/>
        <w:jc w:val="both"/>
        <w:rPr>
          <w:sz w:val="24"/>
        </w:rPr>
      </w:pPr>
      <w:r>
        <w:rPr>
          <w:spacing w:val="-4"/>
          <w:sz w:val="24"/>
        </w:rPr>
        <w:t>每一次采购进场的同一生产厂、同品种、同规格的砖（砌块）应至少提供</w:t>
      </w:r>
      <w:r>
        <w:rPr>
          <w:spacing w:val="-2"/>
          <w:sz w:val="24"/>
        </w:rPr>
        <w:t>一份合格证或新产品准用证（或相关文件</w:t>
      </w:r>
      <w:r>
        <w:rPr>
          <w:spacing w:val="-120"/>
          <w:sz w:val="24"/>
        </w:rPr>
        <w:t>）</w:t>
      </w:r>
      <w:r>
        <w:rPr>
          <w:spacing w:val="-2"/>
          <w:sz w:val="24"/>
        </w:rPr>
        <w:t>，并将证件编号填写在本表相应栏</w:t>
      </w:r>
      <w:r>
        <w:rPr>
          <w:spacing w:val="-6"/>
          <w:sz w:val="24"/>
        </w:rPr>
        <w:t>内。</w:t>
      </w:r>
    </w:p>
    <w:p>
      <w:pPr>
        <w:pStyle w:val="ListParagraph"/>
        <w:numPr>
          <w:ilvl w:val="0"/>
          <w:numId w:val="14"/>
        </w:numPr>
        <w:tabs>
          <w:tab w:val="left" w:pos="1740"/>
        </w:tabs>
        <w:spacing w:before="2" w:after="0" w:line="364" w:lineRule="auto"/>
        <w:ind w:left="1258" w:right="1157" w:hanging="120"/>
        <w:jc w:val="left"/>
        <w:rPr>
          <w:sz w:val="24"/>
        </w:rPr>
      </w:pPr>
      <w:r>
        <w:rPr>
          <w:spacing w:val="-2"/>
          <w:sz w:val="24"/>
        </w:rPr>
        <w:t>外观检验合格后，应按相关规范和标准的要求见证取样送有资质的检测</w:t>
      </w:r>
      <w:r>
        <w:rPr>
          <w:spacing w:val="-2"/>
          <w:sz w:val="24"/>
        </w:rPr>
        <w:t>机构进行检测，合格后方可使用。</w:t>
      </w:r>
    </w:p>
    <w:p>
      <w:pPr>
        <w:pStyle w:val="Heading4"/>
        <w:spacing w:line="476" w:lineRule="exact"/>
      </w:pPr>
      <w:r>
        <w:rPr>
          <w:rFonts w:ascii="黑体" w:eastAsia="黑体"/>
          <w:b w:val="0"/>
        </w:rPr>
        <w:t>5、</w:t>
      </w:r>
      <w:r>
        <w:rPr>
          <w:spacing w:val="-2"/>
        </w:rPr>
        <w:t>混凝土坍落度检测</w:t>
      </w:r>
    </w:p>
    <w:p>
      <w:pPr>
        <w:pStyle w:val="ListParagraph"/>
        <w:numPr>
          <w:ilvl w:val="0"/>
          <w:numId w:val="13"/>
        </w:numPr>
        <w:tabs>
          <w:tab w:val="left" w:pos="1740"/>
        </w:tabs>
        <w:spacing w:before="149" w:after="0" w:line="364" w:lineRule="auto"/>
        <w:ind w:left="1258" w:right="1157" w:hanging="120"/>
        <w:jc w:val="left"/>
        <w:rPr>
          <w:sz w:val="24"/>
        </w:rPr>
      </w:pPr>
      <w:r>
        <w:rPr>
          <w:spacing w:val="-4"/>
          <w:sz w:val="24"/>
        </w:rPr>
        <w:t>检验方法：用坍落度检测器和钢尺量测检查。检验数量：施工单位应对每</w:t>
      </w:r>
      <w:r>
        <w:rPr>
          <w:spacing w:val="-2"/>
          <w:sz w:val="24"/>
        </w:rPr>
        <w:t>车预拌混凝土坍落度进行检查，监理单位至少每十车进行一次平行检</w:t>
      </w:r>
    </w:p>
    <w:p>
      <w:pPr>
        <w:pStyle w:val="ListParagraph"/>
        <w:numPr>
          <w:ilvl w:val="0"/>
          <w:numId w:val="13"/>
        </w:numPr>
        <w:tabs>
          <w:tab w:val="left" w:pos="1740"/>
        </w:tabs>
        <w:spacing w:before="1" w:after="0" w:line="364" w:lineRule="auto"/>
        <w:ind w:left="1258" w:right="1157" w:hanging="120"/>
        <w:jc w:val="left"/>
        <w:rPr>
          <w:sz w:val="24"/>
        </w:rPr>
      </w:pPr>
      <w:r>
        <w:rPr>
          <w:spacing w:val="-2"/>
          <w:sz w:val="24"/>
        </w:rPr>
        <w:t>施工单位自检的，监理人员可不签字，监理平行检验的，施工单位人员</w:t>
      </w:r>
      <w:r>
        <w:rPr>
          <w:spacing w:val="-2"/>
          <w:sz w:val="24"/>
        </w:rPr>
        <w:t>也不用签字，但平行检验应由监理独立完成。</w:t>
      </w:r>
    </w:p>
    <w:p>
      <w:pPr>
        <w:pStyle w:val="Heading4"/>
        <w:spacing w:line="476" w:lineRule="exact"/>
      </w:pPr>
      <w:r>
        <w:rPr>
          <w:rFonts w:ascii="黑体" w:eastAsia="黑体"/>
          <w:b w:val="0"/>
        </w:rPr>
        <w:t>6、</w:t>
      </w:r>
      <w:r>
        <w:rPr>
          <w:spacing w:val="-1"/>
        </w:rPr>
        <w:t>混凝土强度回弹平行检验</w:t>
      </w:r>
    </w:p>
    <w:p>
      <w:pPr>
        <w:pStyle w:val="ListParagraph"/>
        <w:numPr>
          <w:ilvl w:val="0"/>
          <w:numId w:val="12"/>
        </w:numPr>
        <w:tabs>
          <w:tab w:val="left" w:pos="1740"/>
        </w:tabs>
        <w:spacing w:before="149" w:after="0" w:line="240" w:lineRule="auto"/>
        <w:ind w:left="1740" w:right="0" w:hanging="602"/>
        <w:jc w:val="left"/>
        <w:rPr>
          <w:sz w:val="24"/>
        </w:rPr>
      </w:pPr>
      <w:r>
        <w:rPr>
          <w:spacing w:val="-1"/>
          <w:sz w:val="24"/>
        </w:rPr>
        <w:t>检测部位一栏要注明检测的楼层和轴线。</w:t>
      </w:r>
    </w:p>
    <w:p>
      <w:pPr>
        <w:pStyle w:val="ListParagraph"/>
        <w:numPr>
          <w:ilvl w:val="0"/>
          <w:numId w:val="12"/>
        </w:numPr>
        <w:tabs>
          <w:tab w:val="left" w:pos="1740"/>
        </w:tabs>
        <w:spacing w:before="160" w:after="0" w:line="240" w:lineRule="auto"/>
        <w:ind w:left="1740" w:right="0" w:hanging="602"/>
        <w:jc w:val="left"/>
        <w:rPr>
          <w:sz w:val="24"/>
        </w:rPr>
      </w:pPr>
      <w:r>
        <w:rPr>
          <w:spacing w:val="-1"/>
          <w:sz w:val="24"/>
        </w:rPr>
        <w:t>监理人员在同养试块强度达到龄期后独立完成检验，并及时填写本表。</w:t>
      </w:r>
    </w:p>
    <w:p>
      <w:pPr>
        <w:spacing w:after="0" w:line="240" w:lineRule="auto"/>
        <w:jc w:val="left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https://d.book118.com/678031073127006042</w:t>
        </w:r>
      </w:hyperlink>
    </w:p>
    <w:p>
      <w:pPr>
        <w:spacing w:after="0" w:line="240" w:lineRule="auto"/>
        <w:jc w:val="left"/>
        <w:rPr>
          <w:sz w:val="24"/>
        </w:rPr>
      </w:pPr>
    </w:p>
    <w:sectPr>
      <w:footerReference w:type="default" r:id="rId11"/>
      <w:pgSz w:w="11910" w:h="16840"/>
      <w:pgMar w:top="1460" w:right="640" w:bottom="1160" w:left="780" w:header="0" w:footer="977"/>
      <w:pgNumType w:start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78.5pt;height:12pt;margin-top:782.07pt;margin-left:258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rPr>
                    <w:rFonts w:ascii="Times New Roman" w:eastAsia="Times New Roman"/>
                    <w:sz w:val="18"/>
                  </w:rP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8"/>
                  </w:rPr>
                  <w:fldChar w:fldCharType="separate"/>
                </w:r>
                <w:r>
                  <w:rPr>
                    <w:rFonts w:ascii="Times New Roman" w:eastAsia="Times New Roman"/>
                    <w:sz w:val="18"/>
                  </w:rPr>
                  <w:t>1</w:t>
                </w:r>
                <w:r>
                  <w:rPr>
                    <w:rFonts w:ascii="Times New Roman" w:eastAsia="Times New Roman"/>
                    <w:sz w:val="18"/>
                  </w:rPr>
                  <w:fldChar w:fldCharType="end"/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18"/>
                  </w:rPr>
                  <w:t>19</w:t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pacing w:val="-10"/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78.5pt;height:12pt;margin-top:782.07pt;margin-left:258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rPr>
                    <w:rFonts w:ascii="Times New Roman" w:eastAsia="Times New Roman"/>
                    <w:sz w:val="18"/>
                  </w:rP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8"/>
                  </w:rPr>
                  <w:fldChar w:fldCharType="separate"/>
                </w:r>
                <w:r>
                  <w:rPr>
                    <w:rFonts w:ascii="Times New Roman" w:eastAsia="Times New Roman"/>
                    <w:sz w:val="18"/>
                  </w:rPr>
                  <w:t>2</w:t>
                </w:r>
                <w:r>
                  <w:rPr>
                    <w:rFonts w:ascii="Times New Roman" w:eastAsia="Times New Roman"/>
                    <w:sz w:val="18"/>
                  </w:rPr>
                  <w:fldChar w:fldCharType="end"/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18"/>
                  </w:rPr>
                  <w:t>19</w:t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pacing w:val="-10"/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78.5pt;height:12pt;margin-top:782.07pt;margin-left:258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rPr>
                    <w:rFonts w:ascii="Times New Roman" w:eastAsia="Times New Roman"/>
                    <w:sz w:val="18"/>
                  </w:rP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8"/>
                  </w:rPr>
                  <w:fldChar w:fldCharType="separate"/>
                </w:r>
                <w:r>
                  <w:rPr>
                    <w:rFonts w:ascii="Times New Roman" w:eastAsia="Times New Roman"/>
                    <w:sz w:val="18"/>
                  </w:rPr>
                  <w:t>3</w:t>
                </w:r>
                <w:r>
                  <w:rPr>
                    <w:rFonts w:ascii="Times New Roman" w:eastAsia="Times New Roman"/>
                    <w:sz w:val="18"/>
                  </w:rPr>
                  <w:fldChar w:fldCharType="end"/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18"/>
                  </w:rPr>
                  <w:t>19</w:t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pacing w:val="-10"/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78.5pt;height:12pt;margin-top:782.07pt;margin-left:258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rPr>
                    <w:rFonts w:ascii="Times New Roman" w:eastAsia="Times New Roman"/>
                    <w:sz w:val="18"/>
                  </w:rP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8"/>
                  </w:rPr>
                  <w:fldChar w:fldCharType="separate"/>
                </w:r>
                <w:r>
                  <w:rPr>
                    <w:rFonts w:ascii="Times New Roman" w:eastAsia="Times New Roman"/>
                    <w:sz w:val="18"/>
                  </w:rPr>
                  <w:t>4</w:t>
                </w:r>
                <w:r>
                  <w:rPr>
                    <w:rFonts w:ascii="Times New Roman" w:eastAsia="Times New Roman"/>
                    <w:sz w:val="18"/>
                  </w:rPr>
                  <w:fldChar w:fldCharType="end"/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18"/>
                  </w:rPr>
                  <w:t>19</w:t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pacing w:val="-10"/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78.5pt;height:12pt;margin-top:782.07pt;margin-left:258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rPr>
                    <w:rFonts w:ascii="Times New Roman" w:eastAsia="Times New Roman"/>
                    <w:sz w:val="18"/>
                  </w:rP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8"/>
                  </w:rPr>
                  <w:fldChar w:fldCharType="separate"/>
                </w:r>
                <w:r>
                  <w:rPr>
                    <w:rFonts w:ascii="Times New Roman" w:eastAsia="Times New Roman"/>
                    <w:sz w:val="18"/>
                  </w:rPr>
                  <w:t>5</w:t>
                </w:r>
                <w:r>
                  <w:rPr>
                    <w:rFonts w:ascii="Times New Roman" w:eastAsia="Times New Roman"/>
                    <w:sz w:val="18"/>
                  </w:rPr>
                  <w:fldChar w:fldCharType="end"/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18"/>
                  </w:rPr>
                  <w:t>19</w:t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pacing w:val="-10"/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78.5pt;height:12pt;margin-top:782.07pt;margin-left:258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rPr>
                    <w:rFonts w:ascii="Times New Roman" w:eastAsia="Times New Roman"/>
                    <w:sz w:val="18"/>
                  </w:rP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8"/>
                  </w:rPr>
                  <w:fldChar w:fldCharType="separate"/>
                </w:r>
                <w:r>
                  <w:rPr>
                    <w:rFonts w:ascii="Times New Roman" w:eastAsia="Times New Roman"/>
                    <w:sz w:val="18"/>
                  </w:rPr>
                  <w:t>6</w:t>
                </w:r>
                <w:r>
                  <w:rPr>
                    <w:rFonts w:ascii="Times New Roman" w:eastAsia="Times New Roman"/>
                    <w:sz w:val="18"/>
                  </w:rPr>
                  <w:fldChar w:fldCharType="end"/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18"/>
                  </w:rPr>
                  <w:t>19</w:t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pacing w:val="-10"/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78.5pt;height:12pt;margin-top:782.07pt;margin-left:258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rPr>
                    <w:rFonts w:ascii="Times New Roman" w:eastAsia="Times New Roman"/>
                    <w:sz w:val="18"/>
                  </w:rP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8"/>
                  </w:rPr>
                  <w:fldChar w:fldCharType="separate"/>
                </w:r>
                <w:r>
                  <w:rPr>
                    <w:rFonts w:ascii="Times New Roman" w:eastAsia="Times New Roman"/>
                    <w:sz w:val="18"/>
                  </w:rPr>
                  <w:t>7</w:t>
                </w:r>
                <w:r>
                  <w:rPr>
                    <w:rFonts w:ascii="Times New Roman" w:eastAsia="Times New Roman"/>
                    <w:sz w:val="18"/>
                  </w:rPr>
                  <w:fldChar w:fldCharType="end"/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18"/>
                  </w:rPr>
                  <w:t>19</w:t>
                </w:r>
                <w:r>
                  <w:rPr>
                    <w:rFonts w:ascii="Times New Roman" w:eastAsia="Times New Roman"/>
                    <w:spacing w:val="45"/>
                    <w:sz w:val="18"/>
                  </w:rPr>
                  <w:t xml:space="preserve"> </w:t>
                </w:r>
                <w:r>
                  <w:rPr>
                    <w:spacing w:val="-10"/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137299"/>
    <w:multiLevelType w:val="hybridMultilevel"/>
    <w:tmpl w:val="00000000"/>
    <w:lvl w:ilvl="0">
      <w:start w:val="0"/>
      <w:numFmt w:val="bullet"/>
      <w:lvlText w:val="□"/>
      <w:lvlJc w:val="left"/>
      <w:pPr>
        <w:ind w:left="1369" w:hanging="181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6"/>
        <w:szCs w:val="1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37" w:hanging="1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15" w:hanging="1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92" w:hanging="1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0" w:hanging="1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48" w:hanging="1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5" w:hanging="1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3" w:hanging="1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80" w:hanging="181"/>
      </w:pPr>
      <w:rPr>
        <w:rFonts w:hint="default"/>
        <w:lang w:val="en-US" w:eastAsia="zh-CN" w:bidi="ar-SA"/>
      </w:rPr>
    </w:lvl>
  </w:abstractNum>
  <w:abstractNum w:abstractNumId="1">
    <w:nsid w:val="0C7EF519"/>
    <w:multiLevelType w:val="hybridMultilevel"/>
    <w:tmpl w:val="00000000"/>
    <w:lvl w:ilvl="0">
      <w:start w:val="0"/>
      <w:numFmt w:val="bullet"/>
      <w:lvlText w:val="□"/>
      <w:lvlJc w:val="left"/>
      <w:pPr>
        <w:ind w:left="521" w:hanging="361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153"/>
        <w:sz w:val="18"/>
        <w:szCs w:val="1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90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661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732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802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87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944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1014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1085" w:hanging="361"/>
      </w:pPr>
      <w:rPr>
        <w:rFonts w:hint="default"/>
        <w:lang w:val="en-US" w:eastAsia="zh-CN" w:bidi="ar-SA"/>
      </w:rPr>
    </w:lvl>
  </w:abstractNum>
  <w:abstractNum w:abstractNumId="2">
    <w:nsid w:val="0EEFF5DB"/>
    <w:multiLevelType w:val="hybridMultilevel"/>
    <w:tmpl w:val="00000000"/>
    <w:lvl w:ilvl="0">
      <w:start w:val="1"/>
      <w:numFmt w:val="decimal"/>
      <w:lvlText w:val="（%1）"/>
      <w:lvlJc w:val="left"/>
      <w:pPr>
        <w:ind w:left="1259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24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82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05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27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950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87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95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18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40" w:hanging="601"/>
      </w:pPr>
      <w:rPr>
        <w:rFonts w:hint="default"/>
        <w:lang w:val="en-US" w:eastAsia="zh-CN" w:bidi="ar-SA"/>
      </w:rPr>
    </w:lvl>
  </w:abstractNum>
  <w:abstractNum w:abstractNumId="3">
    <w:nsid w:val="1127D020"/>
    <w:multiLevelType w:val="hybridMultilevel"/>
    <w:tmpl w:val="00000000"/>
    <w:lvl w:ilvl="0">
      <w:start w:val="1"/>
      <w:numFmt w:val="decimal"/>
      <w:lvlText w:val="（%1）"/>
      <w:lvlJc w:val="left"/>
      <w:pPr>
        <w:ind w:left="1259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24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82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05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27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950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87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95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18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40" w:hanging="601"/>
      </w:pPr>
      <w:rPr>
        <w:rFonts w:hint="default"/>
        <w:lang w:val="en-US" w:eastAsia="zh-CN" w:bidi="ar-SA"/>
      </w:rPr>
    </w:lvl>
  </w:abstractNum>
  <w:abstractNum w:abstractNumId="4">
    <w:nsid w:val="1A00D6C5"/>
    <w:multiLevelType w:val="hybridMultilevel"/>
    <w:tmpl w:val="00000000"/>
    <w:lvl w:ilvl="0">
      <w:start w:val="0"/>
      <w:numFmt w:val="bullet"/>
      <w:lvlText w:val="□"/>
      <w:lvlJc w:val="left"/>
      <w:pPr>
        <w:ind w:left="1102" w:hanging="271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153"/>
        <w:sz w:val="18"/>
        <w:szCs w:val="1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23" w:hanging="27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47" w:hanging="27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471" w:hanging="27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594" w:hanging="27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1718" w:hanging="27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1842" w:hanging="27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1965" w:hanging="27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2089" w:hanging="271"/>
      </w:pPr>
      <w:rPr>
        <w:rFonts w:hint="default"/>
        <w:lang w:val="en-US" w:eastAsia="zh-CN" w:bidi="ar-SA"/>
      </w:rPr>
    </w:lvl>
  </w:abstractNum>
  <w:abstractNum w:abstractNumId="5">
    <w:nsid w:val="1E507B2D"/>
    <w:multiLevelType w:val="hybridMultilevel"/>
    <w:tmpl w:val="00000000"/>
    <w:lvl w:ilvl="0">
      <w:start w:val="0"/>
      <w:numFmt w:val="bullet"/>
      <w:lvlText w:val="□"/>
      <w:lvlJc w:val="left"/>
      <w:pPr>
        <w:ind w:left="809" w:hanging="361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153"/>
        <w:sz w:val="18"/>
        <w:szCs w:val="1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8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96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095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193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1292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1390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1488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1587" w:hanging="361"/>
      </w:pPr>
      <w:rPr>
        <w:rFonts w:hint="default"/>
        <w:lang w:val="en-US" w:eastAsia="zh-CN" w:bidi="ar-SA"/>
      </w:rPr>
    </w:lvl>
  </w:abstractNum>
  <w:abstractNum w:abstractNumId="6">
    <w:nsid w:val="2484B2A7"/>
    <w:multiLevelType w:val="hybridMultilevel"/>
    <w:tmpl w:val="00000000"/>
    <w:lvl w:ilvl="0">
      <w:start w:val="1"/>
      <w:numFmt w:val="decimal"/>
      <w:lvlText w:val="（%1）"/>
      <w:lvlJc w:val="left"/>
      <w:pPr>
        <w:ind w:left="1740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614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489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363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238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11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987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862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736" w:hanging="601"/>
      </w:pPr>
      <w:rPr>
        <w:rFonts w:hint="default"/>
        <w:lang w:val="en-US" w:eastAsia="zh-CN" w:bidi="ar-SA"/>
      </w:rPr>
    </w:lvl>
  </w:abstractNum>
  <w:abstractNum w:abstractNumId="7">
    <w:nsid w:val="2B8CB31E"/>
    <w:multiLevelType w:val="hybridMultilevel"/>
    <w:tmpl w:val="00000000"/>
    <w:lvl w:ilvl="0">
      <w:start w:val="1"/>
      <w:numFmt w:val="decimal"/>
      <w:lvlText w:val="（%1）"/>
      <w:lvlJc w:val="left"/>
      <w:pPr>
        <w:ind w:left="1259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12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82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05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27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950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87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95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18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40" w:hanging="601"/>
      </w:pPr>
      <w:rPr>
        <w:rFonts w:hint="default"/>
        <w:lang w:val="en-US" w:eastAsia="zh-CN" w:bidi="ar-SA"/>
      </w:rPr>
    </w:lvl>
  </w:abstractNum>
  <w:abstractNum w:abstractNumId="8">
    <w:nsid w:val="3ADF012D"/>
    <w:multiLevelType w:val="hybridMultilevel"/>
    <w:tmpl w:val="00000000"/>
    <w:lvl w:ilvl="0">
      <w:start w:val="1"/>
      <w:numFmt w:val="decimal"/>
      <w:lvlText w:val="（%1）"/>
      <w:lvlJc w:val="left"/>
      <w:pPr>
        <w:ind w:left="1740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614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489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363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238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11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987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862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736" w:hanging="601"/>
      </w:pPr>
      <w:rPr>
        <w:rFonts w:hint="default"/>
        <w:lang w:val="en-US" w:eastAsia="zh-CN" w:bidi="ar-SA"/>
      </w:rPr>
    </w:lvl>
  </w:abstractNum>
  <w:abstractNum w:abstractNumId="9">
    <w:nsid w:val="4CF3E08A"/>
    <w:multiLevelType w:val="hybridMultilevel"/>
    <w:tmpl w:val="00000000"/>
    <w:lvl w:ilvl="0">
      <w:start w:val="1"/>
      <w:numFmt w:val="decimal"/>
      <w:lvlText w:val="%1."/>
      <w:lvlJc w:val="left"/>
      <w:pPr>
        <w:ind w:left="120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28" w:hanging="1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57" w:hanging="1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85" w:hanging="1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914" w:hanging="1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843" w:hanging="1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71" w:hanging="1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00" w:hanging="1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28" w:hanging="181"/>
      </w:pPr>
      <w:rPr>
        <w:rFonts w:hint="default"/>
        <w:lang w:val="en-US" w:eastAsia="zh-CN" w:bidi="ar-SA"/>
      </w:rPr>
    </w:lvl>
  </w:abstractNum>
  <w:abstractNum w:abstractNumId="10">
    <w:nsid w:val="58CE2F45"/>
    <w:multiLevelType w:val="hybridMultilevel"/>
    <w:tmpl w:val="00000000"/>
    <w:lvl w:ilvl="0">
      <w:start w:val="1"/>
      <w:numFmt w:val="decimal"/>
      <w:lvlText w:val="（%1）"/>
      <w:lvlJc w:val="left"/>
      <w:pPr>
        <w:ind w:left="1020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1"/>
      <w:numFmt w:val="decimal"/>
      <w:lvlText w:val="（%2）"/>
      <w:lvlJc w:val="left"/>
      <w:pPr>
        <w:ind w:left="1740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11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83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55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627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598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70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542" w:hanging="601"/>
      </w:pPr>
      <w:rPr>
        <w:rFonts w:hint="default"/>
        <w:lang w:val="en-US" w:eastAsia="zh-CN" w:bidi="ar-SA"/>
      </w:rPr>
    </w:lvl>
  </w:abstractNum>
  <w:abstractNum w:abstractNumId="11">
    <w:nsid w:val="59EF4219"/>
    <w:multiLevelType w:val="hybridMultilevel"/>
    <w:tmpl w:val="00000000"/>
    <w:lvl w:ilvl="0">
      <w:start w:val="1"/>
      <w:numFmt w:val="decimal"/>
      <w:lvlText w:val="（%1）"/>
      <w:lvlJc w:val="left"/>
      <w:pPr>
        <w:ind w:left="1259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82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05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27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950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87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95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18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40" w:hanging="601"/>
      </w:pPr>
      <w:rPr>
        <w:rFonts w:hint="default"/>
        <w:lang w:val="en-US" w:eastAsia="zh-CN" w:bidi="ar-SA"/>
      </w:rPr>
    </w:lvl>
  </w:abstractNum>
  <w:abstractNum w:abstractNumId="12">
    <w:nsid w:val="64D7A426"/>
    <w:multiLevelType w:val="hybridMultilevel"/>
    <w:tmpl w:val="00000000"/>
    <w:lvl w:ilvl="0">
      <w:start w:val="1"/>
      <w:numFmt w:val="decimal"/>
      <w:lvlText w:val="（%1）"/>
      <w:lvlJc w:val="left"/>
      <w:pPr>
        <w:ind w:left="1259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82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05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27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950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87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95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18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40" w:hanging="601"/>
      </w:pPr>
      <w:rPr>
        <w:rFonts w:hint="default"/>
        <w:lang w:val="en-US" w:eastAsia="zh-CN" w:bidi="ar-SA"/>
      </w:rPr>
    </w:lvl>
  </w:abstractNum>
  <w:abstractNum w:abstractNumId="13">
    <w:nsid w:val="67B20485"/>
    <w:multiLevelType w:val="hybridMultilevel"/>
    <w:tmpl w:val="00000000"/>
    <w:lvl w:ilvl="0">
      <w:start w:val="0"/>
      <w:numFmt w:val="bullet"/>
      <w:lvlText w:val="□"/>
      <w:lvlJc w:val="left"/>
      <w:pPr>
        <w:ind w:left="648" w:hanging="271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153"/>
        <w:sz w:val="18"/>
        <w:szCs w:val="1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754" w:hanging="27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869" w:hanging="27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983" w:hanging="27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098" w:hanging="27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1212" w:hanging="27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1327" w:hanging="27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1441" w:hanging="27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1556" w:hanging="271"/>
      </w:pPr>
      <w:rPr>
        <w:rFonts w:hint="default"/>
        <w:lang w:val="en-US" w:eastAsia="zh-CN" w:bidi="ar-SA"/>
      </w:rPr>
    </w:lvl>
  </w:abstractNum>
  <w:abstractNum w:abstractNumId="14">
    <w:nsid w:val="6A2B3D88"/>
    <w:multiLevelType w:val="hybridMultilevel"/>
    <w:tmpl w:val="00000000"/>
    <w:lvl w:ilvl="0">
      <w:start w:val="0"/>
      <w:numFmt w:val="bullet"/>
      <w:lvlText w:val="□"/>
      <w:lvlJc w:val="left"/>
      <w:pPr>
        <w:ind w:left="1369" w:hanging="181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6"/>
        <w:szCs w:val="1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74" w:hanging="1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88" w:hanging="1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102" w:hanging="1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016" w:hanging="1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930" w:hanging="1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844" w:hanging="1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58" w:hanging="1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72" w:hanging="181"/>
      </w:pPr>
      <w:rPr>
        <w:rFonts w:hint="default"/>
        <w:lang w:val="en-US" w:eastAsia="zh-CN" w:bidi="ar-SA"/>
      </w:rPr>
    </w:lvl>
  </w:abstractNum>
  <w:abstractNum w:abstractNumId="15">
    <w:nsid w:val="6E5E2EA8"/>
    <w:multiLevelType w:val="hybridMultilevel"/>
    <w:tmpl w:val="00000000"/>
    <w:lvl w:ilvl="0">
      <w:start w:val="1"/>
      <w:numFmt w:val="decimal"/>
      <w:lvlText w:val="（%1）"/>
      <w:lvlJc w:val="left"/>
      <w:pPr>
        <w:ind w:left="1740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72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614" w:hanging="6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489" w:hanging="6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363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238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11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987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862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736" w:hanging="601"/>
      </w:pPr>
      <w:rPr>
        <w:rFonts w:hint="default"/>
        <w:lang w:val="en-US" w:eastAsia="zh-CN" w:bidi="ar-SA"/>
      </w:rPr>
    </w:lvl>
  </w:abstractNum>
  <w:abstractNum w:abstractNumId="16">
    <w:nsid w:val="7C122F36"/>
    <w:multiLevelType w:val="hybridMultilevel"/>
    <w:tmpl w:val="00000000"/>
    <w:lvl w:ilvl="0">
      <w:start w:val="0"/>
      <w:numFmt w:val="bullet"/>
      <w:lvlText w:val="□"/>
      <w:lvlJc w:val="left"/>
      <w:pPr>
        <w:ind w:left="648" w:hanging="271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153"/>
        <w:sz w:val="18"/>
        <w:szCs w:val="1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754" w:hanging="27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868" w:hanging="27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982" w:hanging="27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096" w:hanging="27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1210" w:hanging="27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1324" w:hanging="27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1438" w:hanging="27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1552" w:hanging="271"/>
      </w:pPr>
      <w:rPr>
        <w:rFonts w:hint="default"/>
        <w:lang w:val="en-US" w:eastAsia="zh-CN" w:bidi="ar-SA"/>
      </w:rPr>
    </w:lvl>
  </w:abstractNum>
  <w:abstractNum w:abstractNumId="17">
    <w:nsid w:val="7E4A3271"/>
    <w:multiLevelType w:val="hybridMultilevel"/>
    <w:tmpl w:val="00000000"/>
    <w:lvl w:ilvl="0">
      <w:start w:val="0"/>
      <w:numFmt w:val="bullet"/>
      <w:lvlText w:val="□"/>
      <w:lvlJc w:val="left"/>
      <w:pPr>
        <w:ind w:left="1904" w:hanging="181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6"/>
        <w:szCs w:val="1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3159" w:hanging="1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4419" w:hanging="1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5679" w:hanging="1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6939" w:hanging="1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8199" w:hanging="1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9458" w:hanging="1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10718" w:hanging="1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11978" w:hanging="181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3"/>
  </w:num>
  <w:num w:numId="7">
    <w:abstractNumId w:val="17"/>
  </w:num>
  <w:num w:numId="8">
    <w:abstractNumId w:val="4"/>
  </w:num>
  <w:num w:numId="9">
    <w:abstractNumId w:val="15"/>
  </w:num>
  <w:num w:numId="10">
    <w:abstractNumId w:val="6"/>
  </w:num>
  <w:num w:numId="11">
    <w:abstractNumId w:val="11"/>
  </w:num>
  <w:num w:numId="12">
    <w:abstractNumId w:val="8"/>
  </w:num>
  <w:num w:numId="13">
    <w:abstractNumId w:val="12"/>
  </w:num>
  <w:num w:numId="14">
    <w:abstractNumId w:val="7"/>
  </w:num>
  <w:num w:numId="15">
    <w:abstractNumId w:val="2"/>
  </w:num>
  <w:num w:numId="16">
    <w:abstractNumId w:val="10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Heading2">
    <w:name w:val="heading 2"/>
    <w:basedOn w:val="Normal"/>
    <w:uiPriority w:val="1"/>
    <w:qFormat/>
    <w:pPr>
      <w:spacing w:before="54"/>
      <w:ind w:left="587" w:right="726"/>
      <w:jc w:val="center"/>
      <w:outlineLvl w:val="1"/>
    </w:pPr>
    <w:rPr>
      <w:rFonts w:ascii="黑体" w:eastAsia="黑体" w:hAnsi="黑体" w:cs="黑体"/>
      <w:sz w:val="36"/>
      <w:szCs w:val="36"/>
      <w:lang w:val="en-US" w:eastAsia="zh-CN" w:bidi="ar-SA"/>
    </w:rPr>
  </w:style>
  <w:style w:type="paragraph" w:styleId="Heading3">
    <w:name w:val="heading 3"/>
    <w:basedOn w:val="Normal"/>
    <w:uiPriority w:val="1"/>
    <w:qFormat/>
    <w:pPr>
      <w:ind w:left="1020"/>
      <w:outlineLvl w:val="2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paragraph" w:styleId="Heading4">
    <w:name w:val="heading 4"/>
    <w:basedOn w:val="Normal"/>
    <w:uiPriority w:val="1"/>
    <w:qFormat/>
    <w:pPr>
      <w:ind w:left="1020"/>
      <w:outlineLvl w:val="3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paragraph" w:styleId="Heading5">
    <w:name w:val="heading 5"/>
    <w:basedOn w:val="Normal"/>
    <w:uiPriority w:val="1"/>
    <w:qFormat/>
    <w:pPr>
      <w:spacing w:before="54"/>
      <w:ind w:left="1020"/>
      <w:outlineLvl w:val="4"/>
    </w:pPr>
    <w:rPr>
      <w:rFonts w:ascii="黑体" w:eastAsia="黑体" w:hAnsi="黑体" w:cs="黑体"/>
      <w:sz w:val="28"/>
      <w:szCs w:val="28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735"/>
      <w:ind w:right="139"/>
      <w:jc w:val="center"/>
    </w:pPr>
    <w:rPr>
      <w:rFonts w:ascii="宋体" w:eastAsia="宋体" w:hAnsi="宋体" w:cs="宋体"/>
      <w:sz w:val="40"/>
      <w:szCs w:val="40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before="2"/>
      <w:ind w:left="1258" w:right="1157" w:hanging="1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78031073127006042" TargetMode="External" /><Relationship Id="rId11" Type="http://schemas.openxmlformats.org/officeDocument/2006/relationships/footer" Target="footer7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2024-03-01T13:20:41Z</dcterms:created>
  <dcterms:modified xsi:type="dcterms:W3CDTF">2024-03-01T13:20:41Z</dcterms:modified>
</cp:coreProperties>
</file>