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6094" w14:paraId="6B8F0A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6094" w14:paraId="08FED4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6094" w14:paraId="2E2840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6094" w:rsidRPr="00746094" w14:paraId="0AA87EC1" w14:textId="16F9B4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6094">
        <w:rPr>
          <w:rFonts w:ascii="宋体" w:eastAsia="宋体" w:hAnsi="宋体" w:hint="eastAsia"/>
          <w:b/>
          <w:sz w:val="60"/>
        </w:rPr>
        <w:t>富过磷酸钙项目效益评估报告</w:t>
      </w:r>
    </w:p>
    <w:p w:rsidR="00746094" w:rsidP="00746094" w14:paraId="6F17805B" w14:textId="13F3CA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6094">
        <w:rPr>
          <w:rFonts w:ascii="仿宋" w:eastAsia="仿宋" w:hAnsi="仿宋" w:hint="eastAsia"/>
          <w:b/>
          <w:sz w:val="40"/>
        </w:rPr>
        <w:t>目录</w:t>
      </w:r>
    </w:p>
    <w:p w:rsidR="00746094" w14:paraId="1EFAFA21" w14:textId="367DDA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094" w14:paraId="1D5A9942" w14:textId="0D2BC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094" w14:paraId="37B64794" w14:textId="2BB1C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(一)、富过磷酸钙项目工程设计总体要求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094" w14:paraId="66E4C0FF" w14:textId="720E0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6094" w14:paraId="70CCD45F" w14:textId="681C2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6094" w14:paraId="7CFC2344" w14:textId="665A41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6094" w14:paraId="6FE1D120" w14:textId="7DE2D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6094" w14:paraId="4520A858" w14:textId="289CA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6094" w14:paraId="10E70B38" w14:textId="52B26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6094" w14:paraId="0AA60F41" w14:textId="265E7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6094" w14:paraId="1FA3F506" w14:textId="444F4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三、富过磷酸钙项目规划进度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6094" w14:paraId="6FFBBACC" w14:textId="3D193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(一)、富过磷酸钙项目进度安排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6094" w14:paraId="273A1939" w14:textId="33608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(二)、富过磷酸钙项目实施保障措施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6094" w14:paraId="7AE675F2" w14:textId="5DFFC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6094" w14:paraId="7647C7BC" w14:textId="3605E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(四)、富过磷酸钙项目进度监控与调整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6094" w14:paraId="3AC67D32" w14:textId="3EFCB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6094" w14:paraId="6BBDB16A" w14:textId="05DCF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四、富过磷酸钙项目概论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6094" w14:paraId="674C2FEF" w14:textId="35996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(一)、富过磷酸钙项目名称及投资人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6094" w14:paraId="70D7CA8C" w14:textId="081AE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6094" w14:paraId="21825E30" w14:textId="15858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6094" w14:paraId="21641EB2" w14:textId="36DCFCA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6094" w14:paraId="18FA628A" w14:textId="6B851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(五)、富过磷酸钙项目建设背景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6094" w14:paraId="58A313BC" w14:textId="3ED08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6094" w14:paraId="0338F7B4" w14:textId="0C6F41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6094" w14:paraId="3B837727" w14:textId="5B076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6094" w14:paraId="3D7EE6F1" w14:textId="60A8B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6094" w14:paraId="486E78E0" w14:textId="0E09C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6094" w14:paraId="51201499" w14:textId="4DC7A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6094" w14:paraId="56C308A6" w14:textId="4F379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6094" w14:paraId="132FA4B2" w14:textId="7C227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6094" w14:paraId="25CDF2B8" w14:textId="47750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6094" w14:paraId="68E53D34" w14:textId="065D6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6094" w14:paraId="3D69F538" w14:textId="5E833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6094" w14:paraId="24F12C74" w14:textId="3779F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6094" w14:paraId="53432014" w14:textId="5750A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6094" w14:paraId="5132731C" w14:textId="480F0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6094" w14:paraId="1776DCD4" w14:textId="7CCEF7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6094" w14:paraId="46027AD2" w14:textId="091CE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6094" w14:paraId="682EA0E7" w14:textId="15DD0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6094" w14:paraId="5FDFBD38" w14:textId="67085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6094" w14:paraId="256AFE7D" w14:textId="63D75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6094" w14:paraId="14B1BF87" w14:textId="4E8D3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46094" w14:paraId="020D67C7" w14:textId="1570994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6094" w14:paraId="5752E694" w14:textId="1374B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6094" w14:paraId="226498D5" w14:textId="54CE2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6094" w14:paraId="0847DE6D" w14:textId="3F2BE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6094" w14:paraId="482CB42B" w14:textId="08C6F4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6094" w14:paraId="7608B4C7" w14:textId="2C73F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6094" w14:paraId="470C2A5B" w14:textId="13F63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6094" w14:paraId="38C1CCD6" w14:textId="5D318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_Toc153815399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6094" w14:paraId="7DDBF72B" w14:textId="559F9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6094" w14:paraId="7AA62D1F" w14:textId="4C59DC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6094" w14:paraId="541DEBE2" w14:textId="27FBA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6094" w14:paraId="1AEF0D0D" w14:textId="0F5A6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6094" w14:paraId="5FD47E4B" w14:textId="4A0F0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6094" w14:paraId="75FDE387" w14:textId="557A5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6094" w14:paraId="280E9B8B" w14:textId="7AED1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6094" w14:paraId="5371F3BE" w14:textId="17645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6094" w14:paraId="55A0AE77" w14:textId="63EC9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6094" w14:paraId="10520165" w14:textId="536AB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6094" w14:paraId="350C4454" w14:textId="32D46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6094" w14:paraId="32A60CAE" w14:textId="34B06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6094" w14:paraId="27413199" w14:textId="12CB1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_Toc153815412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6094" w:rsidP="00746094" w14:paraId="1F2580B0" w14:textId="0B1891E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746094" w:rsidP="00746094" w14:paraId="52A6DAE4" w14:textId="2F4903DA">
      <w:pPr>
        <w:pStyle w:val="Heading1"/>
        <w:jc w:val="center"/>
        <w:rPr>
          <w:rFonts w:hint="eastAsia"/>
        </w:rPr>
      </w:pPr>
      <w:bookmarkStart w:id="0" w:name="_Toc153815350"/>
      <w:r w:rsidRPr="00746094">
        <w:rPr>
          <w:rFonts w:hint="eastAsia"/>
        </w:rPr>
        <w:t>序言</w:t>
      </w:r>
      <w:bookmarkEnd w:id="0"/>
    </w:p>
    <w:p w:rsidR="00746094" w:rsidP="00746094" w14:paraId="48D75B12" w14:textId="08CD90AB">
      <w:pPr>
        <w:ind w:firstLine="560" w:firstLineChars="200"/>
        <w:rPr>
          <w:rFonts w:ascii="仿宋" w:eastAsia="仿宋" w:hint="eastAsia"/>
          <w:sz w:val="28"/>
        </w:rPr>
      </w:pPr>
      <w:r w:rsidRPr="00746094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46094" w:rsidP="00746094" w14:paraId="440402AB" w14:textId="68E73F7F">
      <w:pPr>
        <w:pStyle w:val="Heading1"/>
        <w:rPr>
          <w:rFonts w:hint="eastAsia"/>
        </w:rPr>
      </w:pPr>
      <w:bookmarkStart w:id="1" w:name="_Toc153815351"/>
      <w:r w:rsidRPr="00746094">
        <w:rPr>
          <w:rFonts w:hint="eastAsia"/>
        </w:rPr>
        <w:t>一、建筑技术方案说明</w:t>
      </w:r>
      <w:bookmarkEnd w:id="1"/>
    </w:p>
    <w:p w:rsidR="00746094" w:rsidP="00746094" w14:paraId="4D9EAA2F" w14:textId="5AF3AEA1">
      <w:pPr>
        <w:pStyle w:val="Heading2"/>
      </w:pPr>
      <w:bookmarkStart w:id="2" w:name="_Toc153815352"/>
      <w:r w:rsidRPr="00746094">
        <w:t>(一)、富过磷酸钙项目工程设计总体要求</w:t>
      </w:r>
      <w:bookmarkEnd w:id="2"/>
    </w:p>
    <w:p w:rsidR="00746094" w:rsidRPr="00746094" w:rsidP="00746094" w14:paraId="7DB23EFF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746094" w:rsidRPr="00746094" w:rsidP="00746094" w14:paraId="60D6A2C3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工程施工进度要合理，以确保富过磷酸钙项目按计划完成，包括起始日期和完工日期。</w:t>
      </w:r>
    </w:p>
    <w:p w:rsidR="00746094" w:rsidRPr="00746094" w:rsidP="00746094" w14:paraId="278028DA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746094" w:rsidP="00746094" w14:paraId="1A47F757" w14:textId="7AABFA13">
      <w:pPr>
        <w:ind w:firstLine="560" w:firstLineChars="200"/>
        <w:rPr>
          <w:rFonts w:ascii="仿宋" w:eastAsia="仿宋" w:hAnsi="仿宋" w:hint="eastAsia"/>
          <w:sz w:val="28"/>
        </w:rPr>
      </w:pPr>
      <w:r w:rsidRPr="00746094">
        <w:rPr>
          <w:rFonts w:ascii="仿宋" w:eastAsia="仿宋" w:hAnsi="仿宋" w:hint="eastAsia"/>
          <w:sz w:val="28"/>
        </w:rPr>
        <w:t>富过磷酸钙项目的施工和运营要考虑社会和环境的可持续性，以降低不利影响。</w:t>
      </w:r>
    </w:p>
    <w:p w:rsidR="00746094" w:rsidP="00746094" w14:paraId="17AAC7AE" w14:textId="0DBB215A">
      <w:pPr>
        <w:pStyle w:val="Heading2"/>
      </w:pPr>
      <w:bookmarkStart w:id="3" w:name="_Toc153815353"/>
      <w:r w:rsidRPr="00746094">
        <w:t>(二)、建设方案</w:t>
      </w:r>
      <w:bookmarkEnd w:id="3"/>
    </w:p>
    <w:p w:rsidR="00746094" w:rsidRPr="00746094" w:rsidP="00746094" w14:paraId="117B6382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(一) 结构方案</w:t>
      </w:r>
    </w:p>
    <w:p w:rsidR="00746094" w:rsidRPr="00746094" w:rsidP="00746094" w14:paraId="6DD7A2B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46094">
        <w:rPr>
          <w:rFonts w:ascii="仿宋" w:eastAsia="仿宋" w:hAnsi="仿宋"/>
          <w:sz w:val="28"/>
        </w:rPr>
        <w:t>1. 设计采用的规范</w:t>
      </w:r>
    </w:p>
    <w:p w:rsidR="00746094" w:rsidRPr="00746094" w:rsidP="00746094" w14:paraId="71FB46D8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为确保富过磷酸钙项目的建筑结构设计满足国家和地方的规范</w:t>
      </w:r>
      <w:r w:rsidRPr="00746094">
        <w:rPr>
          <w:rFonts w:ascii="仿宋" w:eastAsia="仿宋" w:hAnsi="仿宋" w:hint="eastAsia"/>
          <w:sz w:val="28"/>
        </w:rPr>
        <w:t>要求，我们遵循以下规范：</w:t>
      </w:r>
    </w:p>
    <w:p w:rsidR="00746094" w:rsidRPr="00746094" w:rsidP="00746094" w14:paraId="6D49655F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(1) 根据有关主导专业提供的相关资料和要求。</w:t>
      </w:r>
    </w:p>
    <w:p w:rsidR="00746094" w:rsidRPr="00746094" w:rsidP="00746094" w14:paraId="5817F7F3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746094" w:rsidRPr="00746094" w:rsidP="00746094" w14:paraId="70971AF0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(3) 考虑当地地形、地貌和自然条件，以适应富过磷酸钙项目所在地的特殊环境。</w:t>
      </w:r>
    </w:p>
    <w:p w:rsidR="00746094" w:rsidRPr="00746094" w:rsidP="00746094" w14:paraId="1C08CBA2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2. 主要建筑物结构设计</w:t>
      </w:r>
    </w:p>
    <w:p w:rsidR="00746094" w:rsidRPr="00746094" w:rsidP="00746094" w14:paraId="69A725FB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746094" w:rsidRPr="00746094" w:rsidP="00746094" w14:paraId="3D277235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(2) 综合楼、办</w:t>
      </w:r>
      <w:r w:rsidRPr="00746094">
        <w:rPr>
          <w:rFonts w:ascii="仿宋" w:eastAsia="仿宋" w:hAnsi="仿宋" w:hint="eastAsia"/>
          <w:sz w:val="28"/>
        </w:rPr>
        <w:t>公楼：采用现浇钢筋混凝土框架结构，以满足建筑物的承重和抗震要求。</w:t>
      </w:r>
    </w:p>
    <w:p w:rsidR="00746094" w:rsidRPr="00746094" w:rsidP="00746094" w14:paraId="3924C86B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(二) 建筑立面设计</w:t>
      </w:r>
    </w:p>
    <w:p w:rsidR="00746094" w:rsidRPr="00746094" w:rsidP="00746094" w14:paraId="72B4A8C7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746094" w:rsidRPr="00746094" w:rsidP="00746094" w14:paraId="5C482D42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746094" w:rsidRPr="00746094" w:rsidP="00746094" w14:paraId="21463601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746094" w:rsidRPr="00746094" w:rsidP="00746094" w14:paraId="59AA44CF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746094" w:rsidRPr="00746094" w:rsidP="00746094" w14:paraId="5457B42A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(三) 基础设计</w:t>
      </w:r>
    </w:p>
    <w:p w:rsidR="00746094" w:rsidRPr="00746094" w:rsidP="00746094" w14:paraId="415B1F7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46094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746094" w:rsidRPr="00746094" w:rsidP="00746094" w14:paraId="1795E78E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746094">
        <w:rPr>
          <w:rFonts w:ascii="仿宋" w:eastAsia="仿宋" w:hAnsi="仿宋" w:hint="eastAsia"/>
          <w:sz w:val="28"/>
        </w:rPr>
        <w:t>类型，包括浅基础和深基础。</w:t>
      </w:r>
    </w:p>
    <w:p w:rsidR="00746094" w:rsidRPr="00746094" w:rsidP="00746094" w14:paraId="3FFCF4FA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746094" w:rsidRPr="00746094" w:rsidP="00746094" w14:paraId="14F3389B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746094" w:rsidRPr="00746094" w:rsidP="00746094" w14:paraId="16C38C8F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(四) 结构材料选择</w:t>
      </w:r>
    </w:p>
    <w:p w:rsidR="00746094" w:rsidRPr="00746094" w:rsidP="00746094" w14:paraId="18797BCD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746094" w:rsidRPr="00746094" w:rsidP="00746094" w14:paraId="7AD5305A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746094" w:rsidRPr="00746094" w:rsidP="00746094" w14:paraId="6B6660A1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746094" w:rsidRPr="00746094" w:rsidP="00746094" w14:paraId="1455DA40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746094" w:rsidP="00746094" w14:paraId="6390D335" w14:textId="4332B63E">
      <w:pPr>
        <w:ind w:firstLine="560" w:firstLineChars="200"/>
        <w:rPr>
          <w:rFonts w:ascii="仿宋" w:eastAsia="仿宋" w:hAnsi="仿宋" w:hint="eastAsia"/>
          <w:sz w:val="28"/>
        </w:rPr>
      </w:pPr>
      <w:r w:rsidRPr="00746094">
        <w:rPr>
          <w:rFonts w:ascii="仿宋" w:eastAsia="仿宋" w:hAnsi="仿宋" w:hint="eastAsia"/>
          <w:sz w:val="28"/>
        </w:rPr>
        <w:t>通过以上的基础设计和结构材料选择，我们将确保富过磷酸钙项目的建筑结构在安全、稳定和环保方面达到最佳标准。</w:t>
      </w:r>
    </w:p>
    <w:p w:rsidR="00746094" w:rsidP="00746094" w14:paraId="37B2A6B6" w14:textId="5BB25468">
      <w:pPr>
        <w:pStyle w:val="Heading2"/>
      </w:pPr>
      <w:bookmarkStart w:id="4" w:name="_Toc153815354"/>
      <w:r w:rsidRPr="00746094">
        <w:t>(三)、建筑工程建设指标</w:t>
      </w:r>
      <w:bookmarkEnd w:id="4"/>
    </w:p>
    <w:p w:rsidR="00746094" w:rsidP="00746094" w14:paraId="7F1AB684" w14:textId="241EC5F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46094">
        <w:rPr>
          <w:rFonts w:ascii="仿宋" w:eastAsia="仿宋" w:hAnsi="仿宋" w:hint="eastAsia"/>
          <w:sz w:val="28"/>
        </w:rPr>
        <w:t>本期富过磷酸钙项目建筑面积</w:t>
      </w:r>
      <w:r w:rsidRPr="00746094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</w:p>
    <w:p w:rsidR="00746094" w:rsidP="00746094" w14:paraId="71824A64" w14:textId="2E6CC6EE">
      <w:pPr>
        <w:pStyle w:val="Heading1"/>
        <w:rPr>
          <w:rFonts w:hint="eastAsia"/>
        </w:rPr>
      </w:pPr>
      <w:bookmarkStart w:id="5" w:name="_Toc153815355"/>
      <w:r w:rsidRPr="00746094">
        <w:rPr>
          <w:rFonts w:hint="eastAsia"/>
        </w:rPr>
        <w:t>二、环保分析</w:t>
      </w:r>
      <w:bookmarkEnd w:id="5"/>
    </w:p>
    <w:p w:rsidR="00746094" w:rsidP="00746094" w14:paraId="286D6219" w14:textId="07592464">
      <w:pPr>
        <w:pStyle w:val="Heading2"/>
      </w:pPr>
      <w:bookmarkStart w:id="6" w:name="_Toc153815356"/>
      <w:r w:rsidRPr="00746094">
        <w:t>(一)、建设期环境影响</w:t>
      </w:r>
      <w:bookmarkEnd w:id="6"/>
    </w:p>
    <w:p w:rsidR="00746094" w:rsidRPr="00746094" w:rsidP="00746094" w14:paraId="5AB40DCE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在建设期，富过磷酸钙项目将产生一定数量的污染物排放，主要涉及气体和颗粒物排放。为确保大气环境的合理性，进行了详尽的排</w:t>
      </w:r>
      <w:r w:rsidRPr="00746094">
        <w:rPr>
          <w:rFonts w:ascii="仿宋" w:eastAsia="仿宋" w:hAnsi="仿宋" w:hint="eastAsia"/>
          <w:sz w:val="28"/>
        </w:rPr>
        <w:t>放分析：</w:t>
      </w:r>
    </w:p>
    <w:p w:rsidR="00746094" w:rsidRPr="00746094" w:rsidP="00746094" w14:paraId="1B43E3B8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气体排放分析：</w:t>
      </w:r>
      <w:r w:rsidRPr="00746094">
        <w:rPr>
          <w:rFonts w:ascii="仿宋" w:eastAsia="仿宋" w:hAnsi="仿宋"/>
          <w:sz w:val="28"/>
        </w:rPr>
        <w:t xml:space="preserve"> 对富过磷酸钙项目涉及的气体排放进行详细测算，包括二氧化硫（SO2）、氮氧化物（NOx）、挥发性有机物（VOCs）等。采用先进的净化技术和设备以最大程度减少对大气的不良影响。</w:t>
      </w:r>
    </w:p>
    <w:p w:rsidR="00746094" w:rsidRPr="00746094" w:rsidP="00746094" w14:paraId="7A03E039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颗粒物排放分析：</w:t>
      </w:r>
      <w:r w:rsidRPr="00746094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746094" w:rsidRPr="00746094" w:rsidP="00746094" w14:paraId="6CD00B10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2.1.2 水体质量评估</w:t>
      </w:r>
    </w:p>
    <w:p w:rsidR="00746094" w:rsidRPr="00746094" w:rsidP="00746094" w14:paraId="42422BB9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746094" w:rsidRPr="00746094" w:rsidP="00746094" w14:paraId="3FD1ED5C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排水系统设计：</w:t>
      </w:r>
      <w:r w:rsidRPr="00746094">
        <w:rPr>
          <w:rFonts w:ascii="仿宋" w:eastAsia="仿宋" w:hAnsi="仿宋"/>
          <w:sz w:val="28"/>
        </w:rPr>
        <w:t xml:space="preserve"> 富过磷酸钙项目建设期间，将采用先进的排水系统，确保排水不对附近水体造成污染。排水口将定期监测，以确保排放水质符合相关法规标准。</w:t>
      </w:r>
    </w:p>
    <w:p w:rsidR="00746094" w:rsidRPr="00746094" w:rsidP="00746094" w14:paraId="7792EE12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 w:hint="eastAsia"/>
          <w:sz w:val="28"/>
        </w:rPr>
        <w:t>水质监测网络：</w:t>
      </w:r>
      <w:r w:rsidRPr="00746094">
        <w:rPr>
          <w:rFonts w:ascii="仿宋" w:eastAsia="仿宋" w:hAnsi="仿宋"/>
          <w:sz w:val="28"/>
        </w:rPr>
        <w:t xml:space="preserve"> 在富过磷酸钙项目周边建立水质监测网络，定期对水体进行取样和监测。对于任何异常情况，将采取及时的措施进行纠正，并及时向相关监管机构报告。</w:t>
      </w:r>
    </w:p>
    <w:p w:rsidR="00746094" w:rsidRPr="00746094" w:rsidP="00746094" w14:paraId="31DA78AA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2.2 固体废弃物管理</w:t>
      </w:r>
    </w:p>
    <w:p w:rsidR="00746094" w:rsidRPr="00746094" w:rsidP="00746094" w14:paraId="209331F8" w14:textId="77777777">
      <w:pPr>
        <w:ind w:firstLine="560" w:firstLineChars="200"/>
        <w:rPr>
          <w:rFonts w:ascii="仿宋" w:eastAsia="仿宋" w:hAnsi="仿宋"/>
          <w:sz w:val="28"/>
        </w:rPr>
      </w:pPr>
      <w:r w:rsidRPr="00746094">
        <w:rPr>
          <w:rFonts w:ascii="仿宋" w:eastAsia="仿宋" w:hAnsi="仿宋"/>
          <w:sz w:val="28"/>
        </w:rPr>
        <w:t>2.2.1 产生与处理分析</w:t>
      </w:r>
      <w:r w:rsidRPr="00746094">
        <w:rPr>
          <w:rFonts w:ascii="仿宋" w:eastAsia="仿宋" w:hAnsi="仿宋"/>
          <w:sz w:val="28"/>
        </w:rPr>
        <w:br/>
      </w:r>
      <w:r w:rsidRPr="0074609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https://d.book118.com/678042044015006025</w:t>
        </w:r>
      </w:hyperlink>
    </w:p>
    <w:p w:rsidR="00746094" w:rsidRPr="00746094" w:rsidP="0074609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paraId="28BBF8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paraId="3460F9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paraId="4E2F0EF5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6094" w14:paraId="23913E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paraId="260F55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P="00B31B42" w14:textId="682FF1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4609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paraId="18589C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paraId="3B2CCE49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paraId="213314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:rsidRPr="00746094" w:rsidP="00746094" w14:textId="355E1764">
    <w:pPr>
      <w:pStyle w:val="Header"/>
      <w:rPr>
        <w:rFonts w:ascii="仿宋" w:eastAsia="仿宋" w:hAnsi="仿宋"/>
      </w:rPr>
    </w:pPr>
    <w:r w:rsidRPr="00746094">
      <w:rPr>
        <w:rFonts w:ascii="仿宋" w:eastAsia="仿宋" w:hAnsi="仿宋" w:hint="eastAsia"/>
      </w:rPr>
      <w:t>富过磷酸钙项目效益评估报告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0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94"/>
    <w:rsid w:val="005E7F38"/>
    <w:rsid w:val="00746094"/>
    <w:rsid w:val="00B31B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BC4DD5"/>
  <w15:chartTrackingRefBased/>
  <w15:docId w15:val="{5B5C996A-2AAD-46D2-80F1-E9388EA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60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60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609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60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60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60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60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609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6094"/>
  </w:style>
  <w:style w:type="paragraph" w:styleId="TOC1">
    <w:name w:val="toc 1"/>
    <w:basedOn w:val="Normal"/>
    <w:next w:val="Normal"/>
    <w:autoRedefine/>
    <w:uiPriority w:val="39"/>
    <w:unhideWhenUsed/>
    <w:rsid w:val="00746094"/>
  </w:style>
  <w:style w:type="paragraph" w:styleId="TOC2">
    <w:name w:val="toc 2"/>
    <w:basedOn w:val="Normal"/>
    <w:next w:val="Normal"/>
    <w:autoRedefine/>
    <w:uiPriority w:val="39"/>
    <w:unhideWhenUsed/>
    <w:rsid w:val="0074609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78042044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2981</Words>
  <Characters>16997</Characters>
  <Application>Microsoft Office Word</Application>
  <DocSecurity>0</DocSecurity>
  <Lines>141</Lines>
  <Paragraphs>39</Paragraphs>
  <ScaleCrop>false</ScaleCrop>
  <Company/>
  <LinksUpToDate>false</LinksUpToDate>
  <CharactersWithSpaces>19939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2023-12-18T10:08:00Z</dcterms:created>
  <dcterms:modified xsi:type="dcterms:W3CDTF">2023-12-18T10:08:00Z</dcterms:modified>
</cp:coreProperties>
</file>