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colors1.xml" ContentType="application/vnd.ms-office.chartcolorstyle+xml"/>
  <Override PartName="/word/charts/chart/style1.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embeddings/Microsoft_Excel_Worksheet1.xlsx" ContentType="application/vnd.openxmlformats-officedocument.spreadsheetml.sheet"/>
  <Override PartName="/word/embeddings/Microsoft_Excel_Worksheet2.xlsx" ContentType="application/vnd.openxmlformats-officedocument.spreadsheetml.shee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2" w:beforeLines="100" w:after="312" w:afterLines="100" w:line="720" w:lineRule="exact"/>
        <w:jc w:val="center"/>
        <w:rPr>
          <w:rFonts w:ascii="黑体" w:eastAsia="黑体" w:hAnsi="宋体" w:hint="eastAsia"/>
          <w:b/>
          <w:sz w:val="32"/>
          <w:szCs w:val="32"/>
        </w:rPr>
      </w:pPr>
      <w:bookmarkStart w:id="0" w:name="_GoBack"/>
      <w:r>
        <w:rPr>
          <w:rFonts w:ascii="黑体" w:eastAsia="黑体" w:hAnsi="宋体" w:hint="eastAsia"/>
          <w:b/>
          <w:sz w:val="32"/>
          <w:szCs w:val="32"/>
        </w:rPr>
        <w:t>自媒体时代下直播带货发展</w:t>
      </w:r>
      <w:r>
        <w:rPr>
          <w:rFonts w:ascii="黑体" w:eastAsia="黑体" w:hAnsi="宋体" w:hint="eastAsia"/>
          <w:b/>
          <w:sz w:val="32"/>
          <w:szCs w:val="32"/>
          <w:lang w:eastAsia="zh-CN"/>
        </w:rPr>
        <w:t>问题及完善对策研究</w:t>
      </w:r>
    </w:p>
    <w:bookmarkEnd w:id="0"/>
    <w:p>
      <w:pPr>
        <w:adjustRightInd w:val="0"/>
        <w:snapToGrid w:val="0"/>
        <w:spacing w:before="312" w:beforeLines="100" w:after="312" w:afterLines="100" w:line="720" w:lineRule="exact"/>
        <w:jc w:val="center"/>
        <w:rPr>
          <w:rFonts w:ascii="黑体" w:eastAsia="黑体" w:hAnsi="宋体"/>
          <w:b/>
          <w:sz w:val="36"/>
          <w:szCs w:val="36"/>
        </w:rPr>
      </w:pPr>
      <w:r>
        <w:rPr>
          <w:rFonts w:ascii="黑体" w:eastAsia="黑体" w:hAnsi="宋体" w:hint="eastAsia"/>
          <w:b/>
          <w:sz w:val="36"/>
          <w:szCs w:val="36"/>
        </w:rPr>
        <w:t>目    录</w:t>
      </w:r>
    </w:p>
    <w:p>
      <w:pPr>
        <w:pStyle w:val="TOC1"/>
        <w:spacing w:line="400" w:lineRule="exact"/>
        <w:rPr>
          <w:rFonts w:ascii="宋体" w:hAnsi="宋体" w:cstheme="minorBidi"/>
        </w:rPr>
      </w:pPr>
      <w:r>
        <w:rPr>
          <w:rFonts w:ascii="宋体" w:hAnsi="宋体"/>
          <w:szCs w:val="21"/>
        </w:rPr>
        <w:fldChar w:fldCharType="begin"/>
      </w:r>
      <w:r>
        <w:rPr>
          <w:rFonts w:ascii="宋体" w:hAnsi="宋体"/>
          <w:szCs w:val="21"/>
        </w:rPr>
        <w:instrText xml:space="preserve"> TOC \o "1-3" \h \z \u </w:instrText>
      </w:r>
      <w:r>
        <w:rPr>
          <w:rFonts w:ascii="宋体" w:hAnsi="宋体"/>
          <w:szCs w:val="21"/>
        </w:rPr>
        <w:fldChar w:fldCharType="separate"/>
      </w:r>
      <w:hyperlink w:anchor="_Toc65496019" w:history="1">
        <w:r>
          <w:rPr>
            <w:rStyle w:val="Hyperlink"/>
            <w:rFonts w:ascii="宋体" w:hAnsi="宋体" w:hint="eastAsia"/>
          </w:rPr>
          <w:t>第</w:t>
        </w:r>
        <w:r>
          <w:rPr>
            <w:rStyle w:val="Hyperlink"/>
            <w:rFonts w:ascii="宋体" w:hAnsi="宋体"/>
          </w:rPr>
          <w:t>1</w:t>
        </w:r>
        <w:r>
          <w:rPr>
            <w:rStyle w:val="Hyperlink"/>
            <w:rFonts w:ascii="宋体" w:hAnsi="宋体" w:hint="eastAsia"/>
          </w:rPr>
          <w:t>章</w:t>
        </w:r>
        <w:r>
          <w:rPr>
            <w:rStyle w:val="Hyperlink"/>
            <w:rFonts w:ascii="宋体" w:hAnsi="宋体"/>
          </w:rPr>
          <w:t xml:space="preserve"> </w:t>
        </w:r>
        <w:r>
          <w:rPr>
            <w:rStyle w:val="Hyperlink"/>
            <w:rFonts w:ascii="宋体" w:hAnsi="宋体" w:hint="eastAsia"/>
          </w:rPr>
          <w:t>绪论</w:t>
        </w:r>
        <w:r>
          <w:rPr>
            <w:rFonts w:ascii="宋体" w:hAnsi="宋体"/>
          </w:rPr>
          <w:tab/>
        </w:r>
        <w:r>
          <w:rPr>
            <w:rFonts w:ascii="宋体" w:hAnsi="宋体"/>
          </w:rPr>
          <w:fldChar w:fldCharType="begin"/>
        </w:r>
        <w:r>
          <w:rPr>
            <w:rFonts w:ascii="宋体" w:hAnsi="宋体"/>
          </w:rPr>
          <w:instrText xml:space="preserve"> PAGEREF _Toc65496019 \h </w:instrText>
        </w:r>
        <w:r>
          <w:rPr>
            <w:rFonts w:ascii="宋体" w:hAnsi="宋体"/>
          </w:rPr>
          <w:fldChar w:fldCharType="separate"/>
        </w:r>
        <w:r>
          <w:rPr>
            <w:rFonts w:ascii="宋体" w:hAnsi="宋体"/>
          </w:rPr>
          <w:t>4</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20" w:history="1">
        <w:r>
          <w:rPr>
            <w:rStyle w:val="Hyperlink"/>
            <w:rFonts w:ascii="宋体" w:hAnsi="宋体"/>
          </w:rPr>
          <w:t xml:space="preserve">1.1 </w:t>
        </w:r>
        <w:r>
          <w:rPr>
            <w:rStyle w:val="Hyperlink"/>
            <w:rFonts w:ascii="宋体" w:hAnsi="宋体" w:hint="eastAsia"/>
          </w:rPr>
          <w:t>研究背景</w:t>
        </w:r>
        <w:r>
          <w:rPr>
            <w:rFonts w:ascii="宋体" w:hAnsi="宋体"/>
          </w:rPr>
          <w:tab/>
        </w:r>
        <w:r>
          <w:rPr>
            <w:rFonts w:ascii="宋体" w:hAnsi="宋体"/>
          </w:rPr>
          <w:fldChar w:fldCharType="begin"/>
        </w:r>
        <w:r>
          <w:rPr>
            <w:rFonts w:ascii="宋体" w:hAnsi="宋体"/>
          </w:rPr>
          <w:instrText xml:space="preserve"> PAGEREF _Toc65496020 \h </w:instrText>
        </w:r>
        <w:r>
          <w:rPr>
            <w:rFonts w:ascii="宋体" w:hAnsi="宋体"/>
          </w:rPr>
          <w:fldChar w:fldCharType="separate"/>
        </w:r>
        <w:r>
          <w:rPr>
            <w:rFonts w:ascii="宋体" w:hAnsi="宋体"/>
          </w:rPr>
          <w:t>4</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21" w:history="1">
        <w:r>
          <w:rPr>
            <w:rStyle w:val="Hyperlink"/>
            <w:rFonts w:ascii="宋体" w:hAnsi="宋体"/>
          </w:rPr>
          <w:t xml:space="preserve">1.2 </w:t>
        </w:r>
        <w:r>
          <w:rPr>
            <w:rStyle w:val="Hyperlink"/>
            <w:rFonts w:ascii="宋体" w:hAnsi="宋体" w:hint="eastAsia"/>
          </w:rPr>
          <w:t>研究意义</w:t>
        </w:r>
        <w:r>
          <w:rPr>
            <w:rFonts w:ascii="宋体" w:hAnsi="宋体"/>
          </w:rPr>
          <w:tab/>
        </w:r>
        <w:r>
          <w:rPr>
            <w:rFonts w:ascii="宋体" w:hAnsi="宋体"/>
          </w:rPr>
          <w:fldChar w:fldCharType="begin"/>
        </w:r>
        <w:r>
          <w:rPr>
            <w:rFonts w:ascii="宋体" w:hAnsi="宋体"/>
          </w:rPr>
          <w:instrText xml:space="preserve"> PAGEREF _Toc65496021 \h </w:instrText>
        </w:r>
        <w:r>
          <w:rPr>
            <w:rFonts w:ascii="宋体" w:hAnsi="宋体"/>
          </w:rPr>
          <w:fldChar w:fldCharType="separate"/>
        </w:r>
        <w:r>
          <w:rPr>
            <w:rFonts w:ascii="宋体" w:hAnsi="宋体"/>
          </w:rPr>
          <w:t>4</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22" w:history="1">
        <w:r>
          <w:rPr>
            <w:rStyle w:val="Hyperlink"/>
            <w:rFonts w:ascii="宋体" w:hAnsi="宋体"/>
          </w:rPr>
          <w:t xml:space="preserve">1.3 </w:t>
        </w:r>
        <w:r>
          <w:rPr>
            <w:rStyle w:val="Hyperlink"/>
            <w:rFonts w:ascii="宋体" w:hAnsi="宋体" w:hint="eastAsia"/>
          </w:rPr>
          <w:t>研究内容</w:t>
        </w:r>
        <w:r>
          <w:rPr>
            <w:rFonts w:ascii="宋体" w:hAnsi="宋体"/>
          </w:rPr>
          <w:tab/>
        </w:r>
        <w:r>
          <w:rPr>
            <w:rFonts w:ascii="宋体" w:hAnsi="宋体"/>
          </w:rPr>
          <w:fldChar w:fldCharType="begin"/>
        </w:r>
        <w:r>
          <w:rPr>
            <w:rFonts w:ascii="宋体" w:hAnsi="宋体"/>
          </w:rPr>
          <w:instrText xml:space="preserve"> PAGEREF _Toc65496022 \h </w:instrText>
        </w:r>
        <w:r>
          <w:rPr>
            <w:rFonts w:ascii="宋体" w:hAnsi="宋体"/>
          </w:rPr>
          <w:fldChar w:fldCharType="separate"/>
        </w:r>
        <w:r>
          <w:rPr>
            <w:rFonts w:ascii="宋体" w:hAnsi="宋体"/>
          </w:rPr>
          <w:t>4</w:t>
        </w:r>
        <w:r>
          <w:rPr>
            <w:rFonts w:ascii="宋体" w:hAnsi="宋体"/>
          </w:rPr>
          <w:fldChar w:fldCharType="end"/>
        </w:r>
      </w:hyperlink>
    </w:p>
    <w:p>
      <w:pPr>
        <w:pStyle w:val="TOC2"/>
        <w:tabs>
          <w:tab w:val="right" w:leader="dot" w:pos="9401"/>
        </w:tabs>
        <w:ind w:firstLine="480" w:firstLineChars="200"/>
        <w:rPr>
          <w:rStyle w:val="Hyperlink"/>
          <w:rFonts w:ascii="宋体" w:hAnsi="宋体"/>
        </w:rPr>
      </w:pPr>
      <w:hyperlink w:anchor="_Toc65496023" w:history="1">
        <w:r>
          <w:rPr>
            <w:rStyle w:val="Hyperlink"/>
            <w:rFonts w:ascii="宋体" w:hAnsi="宋体"/>
          </w:rPr>
          <w:t xml:space="preserve">1.4 </w:t>
        </w:r>
        <w:r>
          <w:rPr>
            <w:rStyle w:val="Hyperlink"/>
            <w:rFonts w:ascii="宋体" w:hAnsi="宋体" w:hint="eastAsia"/>
          </w:rPr>
          <w:t>研究组织</w:t>
        </w:r>
        <w:r>
          <w:rPr>
            <w:rFonts w:ascii="宋体" w:hAnsi="宋体"/>
          </w:rPr>
          <w:tab/>
        </w:r>
        <w:r>
          <w:rPr>
            <w:rFonts w:ascii="宋体" w:hAnsi="宋体"/>
          </w:rPr>
          <w:fldChar w:fldCharType="begin"/>
        </w:r>
        <w:r>
          <w:rPr>
            <w:rFonts w:ascii="宋体" w:hAnsi="宋体"/>
          </w:rPr>
          <w:instrText xml:space="preserve"> PAGEREF _Toc65496023 \h </w:instrText>
        </w:r>
        <w:r>
          <w:rPr>
            <w:rFonts w:ascii="宋体" w:hAnsi="宋体"/>
          </w:rPr>
          <w:fldChar w:fldCharType="separate"/>
        </w:r>
        <w:r>
          <w:rPr>
            <w:rFonts w:ascii="宋体" w:hAnsi="宋体"/>
          </w:rPr>
          <w:t>5</w:t>
        </w:r>
        <w:r>
          <w:rPr>
            <w:rFonts w:ascii="宋体" w:hAnsi="宋体"/>
          </w:rPr>
          <w:fldChar w:fldCharType="end"/>
        </w:r>
      </w:hyperlink>
    </w:p>
    <w:p>
      <w:pPr>
        <w:pStyle w:val="TOC2"/>
        <w:tabs>
          <w:tab w:val="right" w:leader="dot" w:pos="9401"/>
        </w:tabs>
        <w:rPr>
          <w:rFonts w:ascii="宋体" w:hAnsi="宋体" w:cstheme="minorBidi"/>
        </w:rPr>
      </w:pPr>
      <w:hyperlink w:anchor="_Toc65496024" w:history="1">
        <w:r>
          <w:rPr>
            <w:rStyle w:val="Hyperlink"/>
            <w:rFonts w:ascii="宋体" w:hAnsi="宋体" w:hint="eastAsia"/>
          </w:rPr>
          <w:t>第</w:t>
        </w:r>
        <w:r>
          <w:rPr>
            <w:rStyle w:val="Hyperlink"/>
            <w:rFonts w:ascii="宋体" w:hAnsi="宋体"/>
          </w:rPr>
          <w:t>2</w:t>
        </w:r>
        <w:r>
          <w:rPr>
            <w:rStyle w:val="Hyperlink"/>
            <w:rFonts w:ascii="宋体" w:hAnsi="宋体" w:hint="eastAsia"/>
          </w:rPr>
          <w:t>章</w:t>
        </w:r>
        <w:r>
          <w:rPr>
            <w:rStyle w:val="Hyperlink"/>
            <w:rFonts w:ascii="宋体" w:hAnsi="宋体"/>
          </w:rPr>
          <w:t xml:space="preserve"> </w:t>
        </w:r>
        <w:r>
          <w:rPr>
            <w:rStyle w:val="Hyperlink"/>
            <w:rFonts w:ascii="宋体" w:hAnsi="宋体" w:hint="eastAsia"/>
          </w:rPr>
          <w:t>直播带货的概述</w:t>
        </w:r>
        <w:r>
          <w:rPr>
            <w:rFonts w:ascii="宋体" w:hAnsi="宋体"/>
          </w:rPr>
          <w:tab/>
        </w:r>
        <w:r>
          <w:rPr>
            <w:rFonts w:ascii="宋体" w:hAnsi="宋体"/>
          </w:rPr>
          <w:fldChar w:fldCharType="begin"/>
        </w:r>
        <w:r>
          <w:rPr>
            <w:rFonts w:ascii="宋体" w:hAnsi="宋体"/>
          </w:rPr>
          <w:instrText xml:space="preserve"> PAGEREF _Toc65496024 \h </w:instrText>
        </w:r>
        <w:r>
          <w:rPr>
            <w:rFonts w:ascii="宋体" w:hAnsi="宋体"/>
          </w:rPr>
          <w:fldChar w:fldCharType="separate"/>
        </w:r>
        <w:r>
          <w:rPr>
            <w:rFonts w:ascii="宋体" w:hAnsi="宋体"/>
          </w:rPr>
          <w:t>5</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25" w:history="1">
        <w:r>
          <w:rPr>
            <w:rStyle w:val="Hyperlink"/>
            <w:rFonts w:ascii="宋体" w:hAnsi="宋体"/>
          </w:rPr>
          <w:t xml:space="preserve">2.1 </w:t>
        </w:r>
        <w:r>
          <w:rPr>
            <w:rStyle w:val="Hyperlink"/>
            <w:rFonts w:ascii="宋体" w:hAnsi="宋体" w:hint="eastAsia"/>
          </w:rPr>
          <w:t>直播带货的含义</w:t>
        </w:r>
        <w:r>
          <w:rPr>
            <w:rFonts w:ascii="宋体" w:hAnsi="宋体"/>
          </w:rPr>
          <w:tab/>
        </w:r>
        <w:r>
          <w:rPr>
            <w:rFonts w:ascii="宋体" w:hAnsi="宋体"/>
          </w:rPr>
          <w:fldChar w:fldCharType="begin"/>
        </w:r>
        <w:r>
          <w:rPr>
            <w:rFonts w:ascii="宋体" w:hAnsi="宋体"/>
          </w:rPr>
          <w:instrText xml:space="preserve"> PAGEREF _Toc65496025 \h </w:instrText>
        </w:r>
        <w:r>
          <w:rPr>
            <w:rFonts w:ascii="宋体" w:hAnsi="宋体"/>
          </w:rPr>
          <w:fldChar w:fldCharType="separate"/>
        </w:r>
        <w:r>
          <w:rPr>
            <w:rFonts w:ascii="宋体" w:hAnsi="宋体"/>
          </w:rPr>
          <w:t>6</w:t>
        </w:r>
        <w:r>
          <w:rPr>
            <w:rFonts w:ascii="宋体" w:hAnsi="宋体"/>
          </w:rPr>
          <w:fldChar w:fldCharType="end"/>
        </w:r>
      </w:hyperlink>
    </w:p>
    <w:p>
      <w:pPr>
        <w:pStyle w:val="TOC2"/>
        <w:tabs>
          <w:tab w:val="right" w:leader="dot" w:pos="9401"/>
        </w:tabs>
        <w:ind w:firstLine="480" w:firstLineChars="200"/>
        <w:rPr>
          <w:rStyle w:val="Hyperlink"/>
          <w:rFonts w:ascii="宋体" w:hAnsi="宋体"/>
        </w:rPr>
      </w:pPr>
      <w:hyperlink w:anchor="_Toc65496026" w:history="1">
        <w:r>
          <w:rPr>
            <w:rStyle w:val="Hyperlink"/>
            <w:rFonts w:ascii="宋体" w:hAnsi="宋体"/>
          </w:rPr>
          <w:t xml:space="preserve">2.2 </w:t>
        </w:r>
        <w:r>
          <w:rPr>
            <w:rStyle w:val="Hyperlink"/>
            <w:rFonts w:ascii="宋体" w:hAnsi="宋体" w:hint="eastAsia"/>
          </w:rPr>
          <w:t>直播带货的模式</w:t>
        </w:r>
        <w:r>
          <w:rPr>
            <w:rFonts w:ascii="宋体" w:hAnsi="宋体"/>
          </w:rPr>
          <w:tab/>
        </w:r>
        <w:r>
          <w:rPr>
            <w:rFonts w:ascii="宋体" w:hAnsi="宋体"/>
          </w:rPr>
          <w:fldChar w:fldCharType="begin"/>
        </w:r>
        <w:r>
          <w:rPr>
            <w:rFonts w:ascii="宋体" w:hAnsi="宋体"/>
          </w:rPr>
          <w:instrText xml:space="preserve"> PAGEREF _Toc65496026 \h </w:instrText>
        </w:r>
        <w:r>
          <w:rPr>
            <w:rFonts w:ascii="宋体" w:hAnsi="宋体"/>
          </w:rPr>
          <w:fldChar w:fldCharType="separate"/>
        </w:r>
        <w:r>
          <w:rPr>
            <w:rFonts w:ascii="宋体" w:hAnsi="宋体"/>
          </w:rPr>
          <w:t>6</w:t>
        </w:r>
        <w:r>
          <w:rPr>
            <w:rFonts w:ascii="宋体" w:hAnsi="宋体"/>
          </w:rPr>
          <w:fldChar w:fldCharType="end"/>
        </w:r>
      </w:hyperlink>
    </w:p>
    <w:p>
      <w:pPr>
        <w:pStyle w:val="TOC2"/>
        <w:tabs>
          <w:tab w:val="right" w:leader="dot" w:pos="9401"/>
        </w:tabs>
        <w:rPr>
          <w:rFonts w:ascii="宋体" w:hAnsi="宋体" w:cstheme="minorBidi"/>
        </w:rPr>
      </w:pPr>
      <w:hyperlink w:anchor="_Toc65496027" w:history="1">
        <w:r>
          <w:rPr>
            <w:rStyle w:val="Hyperlink"/>
            <w:rFonts w:ascii="宋体" w:hAnsi="宋体" w:hint="eastAsia"/>
          </w:rPr>
          <w:t>第</w:t>
        </w:r>
        <w:r>
          <w:rPr>
            <w:rStyle w:val="Hyperlink"/>
            <w:rFonts w:ascii="宋体" w:hAnsi="宋体"/>
          </w:rPr>
          <w:t>3</w:t>
        </w:r>
        <w:r>
          <w:rPr>
            <w:rStyle w:val="Hyperlink"/>
            <w:rFonts w:ascii="宋体" w:hAnsi="宋体" w:hint="eastAsia"/>
          </w:rPr>
          <w:t>章</w:t>
        </w:r>
        <w:r>
          <w:rPr>
            <w:rStyle w:val="Hyperlink"/>
            <w:rFonts w:ascii="宋体" w:hAnsi="宋体"/>
          </w:rPr>
          <w:t xml:space="preserve">  </w:t>
        </w:r>
        <w:r>
          <w:rPr>
            <w:rStyle w:val="Hyperlink"/>
            <w:rFonts w:ascii="宋体" w:hAnsi="宋体" w:hint="eastAsia"/>
          </w:rPr>
          <w:t>自媒体时代下直播带货的发展现状及问题</w:t>
        </w:r>
        <w:r>
          <w:rPr>
            <w:rFonts w:ascii="宋体" w:hAnsi="宋体"/>
          </w:rPr>
          <w:tab/>
        </w:r>
        <w:r>
          <w:rPr>
            <w:rFonts w:ascii="宋体" w:hAnsi="宋体"/>
          </w:rPr>
          <w:fldChar w:fldCharType="begin"/>
        </w:r>
        <w:r>
          <w:rPr>
            <w:rFonts w:ascii="宋体" w:hAnsi="宋体"/>
          </w:rPr>
          <w:instrText xml:space="preserve"> PAGEREF _Toc65496027 \h </w:instrText>
        </w:r>
        <w:r>
          <w:rPr>
            <w:rFonts w:ascii="宋体" w:hAnsi="宋体"/>
          </w:rPr>
          <w:fldChar w:fldCharType="separate"/>
        </w:r>
        <w:r>
          <w:rPr>
            <w:rFonts w:ascii="宋体" w:hAnsi="宋体"/>
          </w:rPr>
          <w:t>8</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28" w:history="1">
        <w:r>
          <w:rPr>
            <w:rStyle w:val="Hyperlink"/>
            <w:rFonts w:ascii="宋体" w:hAnsi="宋体"/>
          </w:rPr>
          <w:t xml:space="preserve">3.1 </w:t>
        </w:r>
        <w:r>
          <w:rPr>
            <w:rStyle w:val="Hyperlink"/>
            <w:rFonts w:ascii="宋体" w:hAnsi="宋体" w:hint="eastAsia"/>
          </w:rPr>
          <w:t>自媒体时代下直播带货的发展现状</w:t>
        </w:r>
        <w:r>
          <w:rPr>
            <w:rFonts w:ascii="宋体" w:hAnsi="宋体"/>
          </w:rPr>
          <w:tab/>
        </w:r>
        <w:r>
          <w:rPr>
            <w:rFonts w:ascii="宋体" w:hAnsi="宋体"/>
          </w:rPr>
          <w:fldChar w:fldCharType="begin"/>
        </w:r>
        <w:r>
          <w:rPr>
            <w:rFonts w:ascii="宋体" w:hAnsi="宋体"/>
          </w:rPr>
          <w:instrText xml:space="preserve"> PAGEREF _Toc65496028 \h </w:instrText>
        </w:r>
        <w:r>
          <w:rPr>
            <w:rFonts w:ascii="宋体" w:hAnsi="宋体"/>
          </w:rPr>
          <w:fldChar w:fldCharType="separate"/>
        </w:r>
        <w:r>
          <w:rPr>
            <w:rFonts w:ascii="宋体" w:hAnsi="宋体"/>
          </w:rPr>
          <w:t>8</w:t>
        </w:r>
        <w:r>
          <w:rPr>
            <w:rFonts w:ascii="宋体" w:hAnsi="宋体"/>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29" w:history="1">
        <w:r>
          <w:rPr>
            <w:rStyle w:val="Hyperlink"/>
            <w:rFonts w:ascii="宋体" w:hAnsi="宋体"/>
            <w:sz w:val="24"/>
          </w:rPr>
          <w:t xml:space="preserve">3.1.1 </w:t>
        </w:r>
        <w:r>
          <w:rPr>
            <w:rStyle w:val="Hyperlink"/>
            <w:rFonts w:ascii="宋体" w:hAnsi="宋体" w:hint="eastAsia"/>
            <w:sz w:val="24"/>
          </w:rPr>
          <w:t>自媒体时代下直播带货的发展历程</w:t>
        </w:r>
        <w:r>
          <w:rPr>
            <w:rFonts w:ascii="宋体" w:hAnsi="宋体"/>
            <w:sz w:val="24"/>
          </w:rPr>
          <w:tab/>
        </w:r>
        <w:r>
          <w:rPr>
            <w:rFonts w:ascii="宋体" w:hAnsi="宋体"/>
            <w:sz w:val="24"/>
          </w:rPr>
          <w:fldChar w:fldCharType="begin"/>
        </w:r>
        <w:r>
          <w:rPr>
            <w:rFonts w:ascii="宋体" w:hAnsi="宋体"/>
            <w:sz w:val="24"/>
          </w:rPr>
          <w:instrText xml:space="preserve"> PAGEREF _Toc65496029 \h </w:instrText>
        </w:r>
        <w:r>
          <w:rPr>
            <w:rFonts w:ascii="宋体" w:hAnsi="宋体"/>
            <w:sz w:val="24"/>
          </w:rPr>
          <w:fldChar w:fldCharType="separate"/>
        </w:r>
        <w:r>
          <w:rPr>
            <w:rFonts w:ascii="宋体" w:hAnsi="宋体"/>
            <w:sz w:val="24"/>
          </w:rPr>
          <w:t>8</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0" w:history="1">
        <w:r>
          <w:rPr>
            <w:rStyle w:val="Hyperlink"/>
            <w:rFonts w:ascii="宋体" w:hAnsi="宋体"/>
            <w:sz w:val="24"/>
          </w:rPr>
          <w:t xml:space="preserve">3.1.2 </w:t>
        </w:r>
        <w:r>
          <w:rPr>
            <w:rStyle w:val="Hyperlink"/>
            <w:rFonts w:ascii="宋体" w:hAnsi="宋体" w:hint="eastAsia"/>
            <w:sz w:val="24"/>
          </w:rPr>
          <w:t>自媒体时代下直播带货的经营现状</w:t>
        </w:r>
        <w:r>
          <w:rPr>
            <w:rFonts w:ascii="宋体" w:hAnsi="宋体"/>
            <w:sz w:val="24"/>
          </w:rPr>
          <w:tab/>
        </w:r>
        <w:r>
          <w:rPr>
            <w:rFonts w:ascii="宋体" w:hAnsi="宋体"/>
            <w:sz w:val="24"/>
          </w:rPr>
          <w:fldChar w:fldCharType="begin"/>
        </w:r>
        <w:r>
          <w:rPr>
            <w:rFonts w:ascii="宋体" w:hAnsi="宋体"/>
            <w:sz w:val="24"/>
          </w:rPr>
          <w:instrText xml:space="preserve"> PAGEREF _Toc65496030 \h </w:instrText>
        </w:r>
        <w:r>
          <w:rPr>
            <w:rFonts w:ascii="宋体" w:hAnsi="宋体"/>
            <w:sz w:val="24"/>
          </w:rPr>
          <w:fldChar w:fldCharType="separate"/>
        </w:r>
        <w:r>
          <w:rPr>
            <w:rFonts w:ascii="宋体" w:hAnsi="宋体"/>
            <w:sz w:val="24"/>
          </w:rPr>
          <w:t>9</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1" w:history="1">
        <w:r>
          <w:rPr>
            <w:rStyle w:val="Hyperlink"/>
            <w:rFonts w:ascii="宋体" w:hAnsi="宋体"/>
            <w:sz w:val="24"/>
          </w:rPr>
          <w:t xml:space="preserve">3.1.3 </w:t>
        </w:r>
        <w:r>
          <w:rPr>
            <w:rStyle w:val="Hyperlink"/>
            <w:rFonts w:ascii="宋体" w:hAnsi="宋体" w:hint="eastAsia"/>
            <w:sz w:val="24"/>
          </w:rPr>
          <w:t>自媒体时代下直播带货的市场规模</w:t>
        </w:r>
        <w:r>
          <w:rPr>
            <w:rFonts w:ascii="宋体" w:hAnsi="宋体"/>
            <w:sz w:val="24"/>
          </w:rPr>
          <w:tab/>
        </w:r>
        <w:r>
          <w:rPr>
            <w:rFonts w:ascii="宋体" w:hAnsi="宋体"/>
            <w:sz w:val="24"/>
          </w:rPr>
          <w:fldChar w:fldCharType="begin"/>
        </w:r>
        <w:r>
          <w:rPr>
            <w:rFonts w:ascii="宋体" w:hAnsi="宋体"/>
            <w:sz w:val="24"/>
          </w:rPr>
          <w:instrText xml:space="preserve"> PAGEREF _Toc65496031 \h </w:instrText>
        </w:r>
        <w:r>
          <w:rPr>
            <w:rFonts w:ascii="宋体" w:hAnsi="宋体"/>
            <w:sz w:val="24"/>
          </w:rPr>
          <w:fldChar w:fldCharType="separate"/>
        </w:r>
        <w:r>
          <w:rPr>
            <w:rFonts w:ascii="宋体" w:hAnsi="宋体"/>
            <w:sz w:val="24"/>
          </w:rPr>
          <w:t>10</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2" w:history="1">
        <w:r>
          <w:rPr>
            <w:rStyle w:val="Hyperlink"/>
            <w:rFonts w:ascii="宋体" w:hAnsi="宋体"/>
            <w:sz w:val="24"/>
          </w:rPr>
          <w:t xml:space="preserve">3.1.4 </w:t>
        </w:r>
        <w:r>
          <w:rPr>
            <w:rStyle w:val="Hyperlink"/>
            <w:rFonts w:ascii="宋体" w:hAnsi="宋体" w:hint="eastAsia"/>
            <w:sz w:val="24"/>
          </w:rPr>
          <w:t>自媒体时代下直播带货的运营模式</w:t>
        </w:r>
        <w:r>
          <w:rPr>
            <w:rFonts w:ascii="宋体" w:hAnsi="宋体"/>
            <w:sz w:val="24"/>
          </w:rPr>
          <w:tab/>
        </w:r>
        <w:r>
          <w:rPr>
            <w:rFonts w:ascii="宋体" w:hAnsi="宋体"/>
            <w:sz w:val="24"/>
          </w:rPr>
          <w:fldChar w:fldCharType="begin"/>
        </w:r>
        <w:r>
          <w:rPr>
            <w:rFonts w:ascii="宋体" w:hAnsi="宋体"/>
            <w:sz w:val="24"/>
          </w:rPr>
          <w:instrText xml:space="preserve"> PAGEREF _Toc65496032 \h </w:instrText>
        </w:r>
        <w:r>
          <w:rPr>
            <w:rFonts w:ascii="宋体" w:hAnsi="宋体"/>
            <w:sz w:val="24"/>
          </w:rPr>
          <w:fldChar w:fldCharType="separate"/>
        </w:r>
        <w:r>
          <w:rPr>
            <w:rFonts w:ascii="宋体" w:hAnsi="宋体"/>
            <w:sz w:val="24"/>
          </w:rPr>
          <w:t>13</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3" w:history="1">
        <w:r>
          <w:rPr>
            <w:rStyle w:val="Hyperlink"/>
            <w:rFonts w:ascii="宋体" w:hAnsi="宋体"/>
            <w:sz w:val="24"/>
          </w:rPr>
          <w:t xml:space="preserve">3.1.5 </w:t>
        </w:r>
        <w:r>
          <w:rPr>
            <w:rStyle w:val="Hyperlink"/>
            <w:rFonts w:ascii="宋体" w:hAnsi="宋体" w:hint="eastAsia"/>
            <w:sz w:val="24"/>
          </w:rPr>
          <w:t>自媒体时代下直播带货的竞争情况</w:t>
        </w:r>
        <w:r>
          <w:rPr>
            <w:rFonts w:ascii="宋体" w:hAnsi="宋体"/>
            <w:sz w:val="24"/>
          </w:rPr>
          <w:tab/>
        </w:r>
        <w:r>
          <w:rPr>
            <w:rFonts w:ascii="宋体" w:hAnsi="宋体"/>
            <w:sz w:val="24"/>
          </w:rPr>
          <w:fldChar w:fldCharType="begin"/>
        </w:r>
        <w:r>
          <w:rPr>
            <w:rFonts w:ascii="宋体" w:hAnsi="宋体"/>
            <w:sz w:val="24"/>
          </w:rPr>
          <w:instrText xml:space="preserve"> PAGEREF _Toc65496033 \h </w:instrText>
        </w:r>
        <w:r>
          <w:rPr>
            <w:rFonts w:ascii="宋体" w:hAnsi="宋体"/>
            <w:sz w:val="24"/>
          </w:rPr>
          <w:fldChar w:fldCharType="separate"/>
        </w:r>
        <w:r>
          <w:rPr>
            <w:rFonts w:ascii="宋体" w:hAnsi="宋体"/>
            <w:sz w:val="24"/>
          </w:rPr>
          <w:t>13</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4" w:history="1">
        <w:r>
          <w:rPr>
            <w:rStyle w:val="Hyperlink"/>
            <w:rFonts w:ascii="宋体" w:hAnsi="宋体"/>
            <w:sz w:val="24"/>
          </w:rPr>
          <w:t xml:space="preserve">3.1.6 </w:t>
        </w:r>
        <w:r>
          <w:rPr>
            <w:rStyle w:val="Hyperlink"/>
            <w:rFonts w:ascii="宋体" w:hAnsi="宋体" w:hint="eastAsia"/>
            <w:sz w:val="24"/>
          </w:rPr>
          <w:t>自媒体时代下直播带货的服务能力</w:t>
        </w:r>
        <w:r>
          <w:rPr>
            <w:rFonts w:ascii="宋体" w:hAnsi="宋体"/>
            <w:sz w:val="24"/>
          </w:rPr>
          <w:tab/>
        </w:r>
        <w:r>
          <w:rPr>
            <w:rFonts w:ascii="宋体" w:hAnsi="宋体"/>
            <w:sz w:val="24"/>
          </w:rPr>
          <w:fldChar w:fldCharType="begin"/>
        </w:r>
        <w:r>
          <w:rPr>
            <w:rFonts w:ascii="宋体" w:hAnsi="宋体"/>
            <w:sz w:val="24"/>
          </w:rPr>
          <w:instrText xml:space="preserve"> PAGEREF _Toc65496034 \h </w:instrText>
        </w:r>
        <w:r>
          <w:rPr>
            <w:rFonts w:ascii="宋体" w:hAnsi="宋体"/>
            <w:sz w:val="24"/>
          </w:rPr>
          <w:fldChar w:fldCharType="separate"/>
        </w:r>
        <w:r>
          <w:rPr>
            <w:rFonts w:ascii="宋体" w:hAnsi="宋体"/>
            <w:sz w:val="24"/>
          </w:rPr>
          <w:t>14</w:t>
        </w:r>
        <w:r>
          <w:rPr>
            <w:rFonts w:ascii="宋体" w:hAnsi="宋体"/>
            <w:sz w:val="24"/>
          </w:rPr>
          <w:fldChar w:fldCharType="end"/>
        </w:r>
      </w:hyperlink>
    </w:p>
    <w:p>
      <w:pPr>
        <w:pStyle w:val="TOC2"/>
        <w:tabs>
          <w:tab w:val="right" w:leader="dot" w:pos="9401"/>
        </w:tabs>
        <w:ind w:firstLine="480" w:firstLineChars="200"/>
        <w:rPr>
          <w:rFonts w:ascii="宋体" w:hAnsi="宋体" w:cstheme="minorBidi"/>
        </w:rPr>
      </w:pPr>
      <w:hyperlink w:anchor="_Toc65496035" w:history="1">
        <w:r>
          <w:rPr>
            <w:rStyle w:val="Hyperlink"/>
            <w:rFonts w:ascii="宋体" w:hAnsi="宋体"/>
          </w:rPr>
          <w:t xml:space="preserve">3.2  </w:t>
        </w:r>
        <w:r>
          <w:rPr>
            <w:rStyle w:val="Hyperlink"/>
            <w:rFonts w:ascii="宋体" w:hAnsi="宋体" w:hint="eastAsia"/>
          </w:rPr>
          <w:t>自媒体时代下直播带货发展中存在的问题</w:t>
        </w:r>
        <w:r>
          <w:rPr>
            <w:rFonts w:ascii="宋体" w:hAnsi="宋体"/>
          </w:rPr>
          <w:tab/>
        </w:r>
        <w:r>
          <w:rPr>
            <w:rFonts w:ascii="宋体" w:hAnsi="宋体"/>
          </w:rPr>
          <w:fldChar w:fldCharType="begin"/>
        </w:r>
        <w:r>
          <w:rPr>
            <w:rFonts w:ascii="宋体" w:hAnsi="宋体"/>
          </w:rPr>
          <w:instrText xml:space="preserve"> PAGEREF _Toc65496035 \h </w:instrText>
        </w:r>
        <w:r>
          <w:rPr>
            <w:rFonts w:ascii="宋体" w:hAnsi="宋体"/>
          </w:rPr>
          <w:fldChar w:fldCharType="separate"/>
        </w:r>
        <w:r>
          <w:rPr>
            <w:rFonts w:ascii="宋体" w:hAnsi="宋体"/>
          </w:rPr>
          <w:t>14</w:t>
        </w:r>
        <w:r>
          <w:rPr>
            <w:rFonts w:ascii="宋体" w:hAnsi="宋体"/>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6" w:history="1">
        <w:r>
          <w:rPr>
            <w:rStyle w:val="Hyperlink"/>
            <w:rFonts w:ascii="宋体" w:hAnsi="宋体"/>
            <w:sz w:val="24"/>
          </w:rPr>
          <w:t xml:space="preserve">3.2.1 </w:t>
        </w:r>
        <w:r>
          <w:rPr>
            <w:rStyle w:val="Hyperlink"/>
            <w:rFonts w:ascii="宋体" w:hAnsi="宋体" w:hint="eastAsia"/>
            <w:sz w:val="24"/>
          </w:rPr>
          <w:t>发展历程较短，直播内容同质化</w:t>
        </w:r>
        <w:r>
          <w:rPr>
            <w:rFonts w:ascii="宋体" w:hAnsi="宋体"/>
            <w:sz w:val="24"/>
          </w:rPr>
          <w:tab/>
        </w:r>
        <w:r>
          <w:rPr>
            <w:rFonts w:ascii="宋体" w:hAnsi="宋体"/>
            <w:sz w:val="24"/>
          </w:rPr>
          <w:fldChar w:fldCharType="begin"/>
        </w:r>
        <w:r>
          <w:rPr>
            <w:rFonts w:ascii="宋体" w:hAnsi="宋体"/>
            <w:sz w:val="24"/>
          </w:rPr>
          <w:instrText xml:space="preserve"> PAGEREF _Toc65496036 \h </w:instrText>
        </w:r>
        <w:r>
          <w:rPr>
            <w:rFonts w:ascii="宋体" w:hAnsi="宋体"/>
            <w:sz w:val="24"/>
          </w:rPr>
          <w:fldChar w:fldCharType="separate"/>
        </w:r>
        <w:r>
          <w:rPr>
            <w:rFonts w:ascii="宋体" w:hAnsi="宋体"/>
            <w:sz w:val="24"/>
          </w:rPr>
          <w:t>14</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7" w:history="1">
        <w:r>
          <w:rPr>
            <w:rStyle w:val="Hyperlink"/>
            <w:rFonts w:ascii="宋体" w:hAnsi="宋体"/>
            <w:sz w:val="24"/>
          </w:rPr>
          <w:t xml:space="preserve">3.2.2 </w:t>
        </w:r>
        <w:r>
          <w:rPr>
            <w:rStyle w:val="Hyperlink"/>
            <w:rFonts w:ascii="宋体" w:hAnsi="宋体" w:hint="eastAsia"/>
            <w:sz w:val="24"/>
          </w:rPr>
          <w:t>主播素质参差不齐，选品质量鱼目混珠</w:t>
        </w:r>
        <w:r>
          <w:rPr>
            <w:rFonts w:ascii="宋体" w:hAnsi="宋体"/>
            <w:sz w:val="24"/>
          </w:rPr>
          <w:tab/>
        </w:r>
        <w:r>
          <w:rPr>
            <w:rFonts w:ascii="宋体" w:hAnsi="宋体"/>
            <w:sz w:val="24"/>
          </w:rPr>
          <w:fldChar w:fldCharType="begin"/>
        </w:r>
        <w:r>
          <w:rPr>
            <w:rFonts w:ascii="宋体" w:hAnsi="宋体"/>
            <w:sz w:val="24"/>
          </w:rPr>
          <w:instrText xml:space="preserve"> PAGEREF _Toc65496037 \h </w:instrText>
        </w:r>
        <w:r>
          <w:rPr>
            <w:rFonts w:ascii="宋体" w:hAnsi="宋体"/>
            <w:sz w:val="24"/>
          </w:rPr>
          <w:fldChar w:fldCharType="separate"/>
        </w:r>
        <w:r>
          <w:rPr>
            <w:rFonts w:ascii="宋体" w:hAnsi="宋体"/>
            <w:sz w:val="24"/>
          </w:rPr>
          <w:t>14</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8" w:history="1">
        <w:r>
          <w:rPr>
            <w:rStyle w:val="Hyperlink"/>
            <w:rFonts w:ascii="宋体" w:hAnsi="宋体"/>
            <w:sz w:val="24"/>
          </w:rPr>
          <w:t xml:space="preserve">3.2.3 </w:t>
        </w:r>
        <w:r>
          <w:rPr>
            <w:rStyle w:val="Hyperlink"/>
            <w:rFonts w:ascii="宋体" w:hAnsi="宋体" w:hint="eastAsia"/>
            <w:sz w:val="24"/>
          </w:rPr>
          <w:t>市场份额占比不高，发展潜力有待提升</w:t>
        </w:r>
        <w:r>
          <w:rPr>
            <w:rFonts w:ascii="宋体" w:hAnsi="宋体"/>
            <w:sz w:val="24"/>
          </w:rPr>
          <w:tab/>
        </w:r>
        <w:r>
          <w:rPr>
            <w:rFonts w:ascii="宋体" w:hAnsi="宋体"/>
            <w:sz w:val="24"/>
          </w:rPr>
          <w:fldChar w:fldCharType="begin"/>
        </w:r>
        <w:r>
          <w:rPr>
            <w:rFonts w:ascii="宋体" w:hAnsi="宋体"/>
            <w:sz w:val="24"/>
          </w:rPr>
          <w:instrText xml:space="preserve"> PAGEREF _Toc65496038 \h </w:instrText>
        </w:r>
        <w:r>
          <w:rPr>
            <w:rFonts w:ascii="宋体" w:hAnsi="宋体"/>
            <w:sz w:val="24"/>
          </w:rPr>
          <w:fldChar w:fldCharType="separate"/>
        </w:r>
        <w:r>
          <w:rPr>
            <w:rFonts w:ascii="宋体" w:hAnsi="宋体"/>
            <w:sz w:val="24"/>
          </w:rPr>
          <w:t>15</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39" w:history="1">
        <w:r>
          <w:rPr>
            <w:rStyle w:val="Hyperlink"/>
            <w:rFonts w:ascii="宋体" w:hAnsi="宋体"/>
            <w:sz w:val="24"/>
          </w:rPr>
          <w:t xml:space="preserve">3.2.4 </w:t>
        </w:r>
        <w:r>
          <w:rPr>
            <w:rStyle w:val="Hyperlink"/>
            <w:rFonts w:ascii="宋体" w:hAnsi="宋体" w:hint="eastAsia"/>
            <w:sz w:val="24"/>
          </w:rPr>
          <w:t>商家利益受蚕食，品牌利润和价值低</w:t>
        </w:r>
        <w:r>
          <w:rPr>
            <w:rFonts w:ascii="宋体" w:hAnsi="宋体"/>
            <w:sz w:val="24"/>
          </w:rPr>
          <w:tab/>
        </w:r>
        <w:r>
          <w:rPr>
            <w:rFonts w:ascii="宋体" w:hAnsi="宋体"/>
            <w:sz w:val="24"/>
          </w:rPr>
          <w:fldChar w:fldCharType="begin"/>
        </w:r>
        <w:r>
          <w:rPr>
            <w:rFonts w:ascii="宋体" w:hAnsi="宋体"/>
            <w:sz w:val="24"/>
          </w:rPr>
          <w:instrText xml:space="preserve"> PAGEREF _Toc65496039 \h </w:instrText>
        </w:r>
        <w:r>
          <w:rPr>
            <w:rFonts w:ascii="宋体" w:hAnsi="宋体"/>
            <w:sz w:val="24"/>
          </w:rPr>
          <w:fldChar w:fldCharType="separate"/>
        </w:r>
        <w:r>
          <w:rPr>
            <w:rFonts w:ascii="宋体" w:hAnsi="宋体"/>
            <w:sz w:val="24"/>
          </w:rPr>
          <w:t>15</w:t>
        </w:r>
        <w:r>
          <w:rPr>
            <w:rFonts w:ascii="宋体" w:hAnsi="宋体"/>
            <w:sz w:val="24"/>
          </w:rPr>
          <w:fldChar w:fldCharType="end"/>
        </w:r>
      </w:hyperlink>
    </w:p>
    <w:p>
      <w:pPr>
        <w:pStyle w:val="TOC3"/>
        <w:tabs>
          <w:tab w:val="right" w:leader="dot" w:pos="9401"/>
        </w:tabs>
        <w:spacing w:line="400" w:lineRule="exact"/>
        <w:ind w:left="0" w:firstLine="840" w:leftChars="0" w:firstLineChars="400"/>
        <w:rPr>
          <w:rFonts w:ascii="宋体" w:hAnsi="宋体" w:cstheme="minorBidi"/>
          <w:sz w:val="24"/>
        </w:rPr>
      </w:pPr>
      <w:hyperlink w:anchor="_Toc65496040" w:history="1">
        <w:r>
          <w:rPr>
            <w:rStyle w:val="Hyperlink"/>
            <w:rFonts w:ascii="宋体" w:hAnsi="宋体"/>
            <w:sz w:val="24"/>
          </w:rPr>
          <w:t xml:space="preserve">3.2.5 </w:t>
        </w:r>
        <w:r>
          <w:rPr>
            <w:rStyle w:val="Hyperlink"/>
            <w:rFonts w:ascii="宋体" w:hAnsi="宋体" w:hint="eastAsia"/>
            <w:sz w:val="24"/>
          </w:rPr>
          <w:t>一线主播独领风骚，带货能力断层式发展</w:t>
        </w:r>
        <w:r>
          <w:rPr>
            <w:rFonts w:ascii="宋体" w:hAnsi="宋体"/>
            <w:sz w:val="24"/>
          </w:rPr>
          <w:tab/>
        </w:r>
        <w:r>
          <w:rPr>
            <w:rFonts w:ascii="宋体" w:hAnsi="宋体"/>
            <w:sz w:val="24"/>
          </w:rPr>
          <w:fldChar w:fldCharType="begin"/>
        </w:r>
        <w:r>
          <w:rPr>
            <w:rFonts w:ascii="宋体" w:hAnsi="宋体"/>
            <w:sz w:val="24"/>
          </w:rPr>
          <w:instrText xml:space="preserve"> PAGEREF _Toc65496040 \h </w:instrText>
        </w:r>
        <w:r>
          <w:rPr>
            <w:rFonts w:ascii="宋体" w:hAnsi="宋体"/>
            <w:sz w:val="24"/>
          </w:rPr>
          <w:fldChar w:fldCharType="separate"/>
        </w:r>
        <w:r>
          <w:rPr>
            <w:rFonts w:ascii="宋体" w:hAnsi="宋体"/>
            <w:sz w:val="24"/>
          </w:rPr>
          <w:t>16</w:t>
        </w:r>
        <w:r>
          <w:rPr>
            <w:rFonts w:ascii="宋体" w:hAnsi="宋体"/>
            <w:sz w:val="24"/>
          </w:rPr>
          <w:fldChar w:fldCharType="end"/>
        </w:r>
      </w:hyperlink>
    </w:p>
    <w:p>
      <w:pPr>
        <w:pStyle w:val="TOC3"/>
        <w:tabs>
          <w:tab w:val="right" w:leader="dot" w:pos="9401"/>
        </w:tabs>
        <w:spacing w:line="400" w:lineRule="exact"/>
        <w:ind w:left="0" w:firstLine="840" w:leftChars="0" w:firstLineChars="400"/>
        <w:rPr>
          <w:rStyle w:val="Hyperlink"/>
          <w:rFonts w:ascii="宋体" w:hAnsi="宋体"/>
          <w:sz w:val="24"/>
        </w:rPr>
      </w:pPr>
      <w:hyperlink w:anchor="_Toc65496041" w:history="1">
        <w:r>
          <w:rPr>
            <w:rStyle w:val="Hyperlink"/>
            <w:rFonts w:ascii="宋体" w:hAnsi="宋体"/>
            <w:sz w:val="24"/>
          </w:rPr>
          <w:t xml:space="preserve">3.2.6 </w:t>
        </w:r>
        <w:r>
          <w:rPr>
            <w:rStyle w:val="Hyperlink"/>
            <w:rFonts w:ascii="宋体" w:hAnsi="宋体" w:hint="eastAsia"/>
            <w:sz w:val="24"/>
          </w:rPr>
          <w:t>售后服务水平低，消费体验不高</w:t>
        </w:r>
        <w:r>
          <w:rPr>
            <w:rFonts w:ascii="宋体" w:hAnsi="宋体"/>
            <w:sz w:val="24"/>
          </w:rPr>
          <w:tab/>
        </w:r>
        <w:r>
          <w:rPr>
            <w:rFonts w:ascii="宋体" w:hAnsi="宋体"/>
            <w:sz w:val="24"/>
          </w:rPr>
          <w:fldChar w:fldCharType="begin"/>
        </w:r>
        <w:r>
          <w:rPr>
            <w:rFonts w:ascii="宋体" w:hAnsi="宋体"/>
            <w:sz w:val="24"/>
          </w:rPr>
          <w:instrText xml:space="preserve"> PAGEREF _Toc65496041 \h </w:instrText>
        </w:r>
        <w:r>
          <w:rPr>
            <w:rFonts w:ascii="宋体" w:hAnsi="宋体"/>
            <w:sz w:val="24"/>
          </w:rPr>
          <w:fldChar w:fldCharType="separate"/>
        </w:r>
        <w:r>
          <w:rPr>
            <w:rFonts w:ascii="宋体" w:hAnsi="宋体"/>
            <w:sz w:val="24"/>
          </w:rPr>
          <w:t>17</w:t>
        </w:r>
        <w:r>
          <w:rPr>
            <w:rFonts w:ascii="宋体" w:hAnsi="宋体"/>
            <w:sz w:val="24"/>
          </w:rPr>
          <w:fldChar w:fldCharType="end"/>
        </w:r>
      </w:hyperlink>
    </w:p>
    <w:p>
      <w:pPr>
        <w:pStyle w:val="TOC3"/>
        <w:tabs>
          <w:tab w:val="right" w:leader="dot" w:pos="9401"/>
        </w:tabs>
        <w:spacing w:line="400" w:lineRule="exact"/>
        <w:ind w:left="0" w:leftChars="0"/>
        <w:rPr>
          <w:rFonts w:ascii="宋体" w:hAnsi="宋体" w:cstheme="minorBidi"/>
          <w:sz w:val="24"/>
        </w:rPr>
      </w:pPr>
      <w:hyperlink w:anchor="_Toc65496042" w:history="1">
        <w:r>
          <w:rPr>
            <w:rStyle w:val="Hyperlink"/>
            <w:rFonts w:ascii="宋体" w:hAnsi="宋体" w:hint="eastAsia"/>
            <w:sz w:val="24"/>
          </w:rPr>
          <w:t>第</w:t>
        </w:r>
        <w:r>
          <w:rPr>
            <w:rStyle w:val="Hyperlink"/>
            <w:rFonts w:ascii="宋体" w:hAnsi="宋体"/>
            <w:sz w:val="24"/>
          </w:rPr>
          <w:t>4</w:t>
        </w:r>
        <w:r>
          <w:rPr>
            <w:rStyle w:val="Hyperlink"/>
            <w:rFonts w:ascii="宋体" w:hAnsi="宋体" w:hint="eastAsia"/>
            <w:sz w:val="24"/>
          </w:rPr>
          <w:t>章</w:t>
        </w:r>
        <w:r>
          <w:rPr>
            <w:rStyle w:val="Hyperlink"/>
            <w:rFonts w:ascii="宋体" w:hAnsi="宋体"/>
            <w:sz w:val="24"/>
          </w:rPr>
          <w:t xml:space="preserve"> </w:t>
        </w:r>
        <w:r>
          <w:rPr>
            <w:rStyle w:val="Hyperlink"/>
            <w:rFonts w:ascii="宋体" w:hAnsi="宋体" w:hint="eastAsia"/>
            <w:sz w:val="24"/>
          </w:rPr>
          <w:t>自媒体时代下促进直播带货进一步发展的对策</w:t>
        </w:r>
        <w:r>
          <w:rPr>
            <w:rFonts w:ascii="宋体" w:hAnsi="宋体"/>
            <w:sz w:val="24"/>
          </w:rPr>
          <w:tab/>
        </w:r>
        <w:r>
          <w:rPr>
            <w:rFonts w:ascii="宋体" w:hAnsi="宋体"/>
            <w:sz w:val="24"/>
          </w:rPr>
          <w:fldChar w:fldCharType="begin"/>
        </w:r>
        <w:r>
          <w:rPr>
            <w:rFonts w:ascii="宋体" w:hAnsi="宋体"/>
            <w:sz w:val="24"/>
          </w:rPr>
          <w:instrText xml:space="preserve"> PAGEREF _Toc65496042 \h </w:instrText>
        </w:r>
        <w:r>
          <w:rPr>
            <w:rFonts w:ascii="宋体" w:hAnsi="宋体"/>
            <w:sz w:val="24"/>
          </w:rPr>
          <w:fldChar w:fldCharType="separate"/>
        </w:r>
        <w:r>
          <w:rPr>
            <w:rFonts w:ascii="宋体" w:hAnsi="宋体"/>
            <w:sz w:val="24"/>
          </w:rPr>
          <w:t>18</w:t>
        </w:r>
        <w:r>
          <w:rPr>
            <w:rFonts w:ascii="宋体" w:hAnsi="宋体"/>
            <w:sz w:val="24"/>
          </w:rPr>
          <w:fldChar w:fldCharType="end"/>
        </w:r>
      </w:hyperlink>
    </w:p>
    <w:p>
      <w:pPr>
        <w:pStyle w:val="TOC2"/>
        <w:tabs>
          <w:tab w:val="right" w:leader="dot" w:pos="9401"/>
        </w:tabs>
        <w:ind w:firstLine="480" w:firstLineChars="200"/>
        <w:rPr>
          <w:rFonts w:ascii="宋体" w:hAnsi="宋体" w:cstheme="minorBidi"/>
        </w:rPr>
      </w:pPr>
      <w:hyperlink w:anchor="_Toc65496043" w:history="1">
        <w:r>
          <w:rPr>
            <w:rStyle w:val="Hyperlink"/>
            <w:rFonts w:ascii="宋体" w:hAnsi="宋体"/>
          </w:rPr>
          <w:t xml:space="preserve">4.1 </w:t>
        </w:r>
        <w:r>
          <w:rPr>
            <w:rStyle w:val="Hyperlink"/>
            <w:rFonts w:ascii="宋体" w:hAnsi="宋体" w:hint="eastAsia"/>
          </w:rPr>
          <w:t>推动直播形式多样化，丰富直播内容</w:t>
        </w:r>
        <w:r>
          <w:rPr>
            <w:rFonts w:ascii="宋体" w:hAnsi="宋体"/>
          </w:rPr>
          <w:tab/>
        </w:r>
        <w:r>
          <w:rPr>
            <w:rFonts w:ascii="宋体" w:hAnsi="宋体"/>
          </w:rPr>
          <w:fldChar w:fldCharType="begin"/>
        </w:r>
        <w:r>
          <w:rPr>
            <w:rFonts w:ascii="宋体" w:hAnsi="宋体"/>
          </w:rPr>
          <w:instrText xml:space="preserve"> PAGEREF _Toc65496043 \h </w:instrText>
        </w:r>
        <w:r>
          <w:rPr>
            <w:rFonts w:ascii="宋体" w:hAnsi="宋体"/>
          </w:rPr>
          <w:fldChar w:fldCharType="separate"/>
        </w:r>
        <w:r>
          <w:rPr>
            <w:rFonts w:ascii="宋体" w:hAnsi="宋体"/>
          </w:rPr>
          <w:t>18</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44" w:history="1">
        <w:r>
          <w:rPr>
            <w:rStyle w:val="Hyperlink"/>
            <w:rFonts w:ascii="宋体" w:hAnsi="宋体"/>
          </w:rPr>
          <w:t xml:space="preserve">4.2 </w:t>
        </w:r>
        <w:r>
          <w:rPr>
            <w:rStyle w:val="Hyperlink"/>
            <w:rFonts w:ascii="宋体" w:hAnsi="宋体" w:hint="eastAsia"/>
          </w:rPr>
          <w:t>建立主播准入门槛，提升选品标准</w:t>
        </w:r>
        <w:r>
          <w:rPr>
            <w:rFonts w:ascii="宋体" w:hAnsi="宋体"/>
          </w:rPr>
          <w:tab/>
        </w:r>
        <w:r>
          <w:rPr>
            <w:rFonts w:ascii="宋体" w:hAnsi="宋体"/>
          </w:rPr>
          <w:fldChar w:fldCharType="begin"/>
        </w:r>
        <w:r>
          <w:rPr>
            <w:rFonts w:ascii="宋体" w:hAnsi="宋体"/>
          </w:rPr>
          <w:instrText xml:space="preserve"> PAGEREF _Toc65496044 \h </w:instrText>
        </w:r>
        <w:r>
          <w:rPr>
            <w:rFonts w:ascii="宋体" w:hAnsi="宋体"/>
          </w:rPr>
          <w:fldChar w:fldCharType="separate"/>
        </w:r>
        <w:r>
          <w:rPr>
            <w:rFonts w:ascii="宋体" w:hAnsi="宋体"/>
          </w:rPr>
          <w:t>18</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45" w:history="1">
        <w:r>
          <w:rPr>
            <w:rStyle w:val="Hyperlink"/>
            <w:rFonts w:ascii="宋体" w:hAnsi="宋体"/>
          </w:rPr>
          <w:t xml:space="preserve">4.3 </w:t>
        </w:r>
        <w:r>
          <w:rPr>
            <w:rStyle w:val="Hyperlink"/>
            <w:rFonts w:ascii="宋体" w:hAnsi="宋体" w:hint="eastAsia"/>
          </w:rPr>
          <w:t>提高产品市场占有率，提升发展潜力</w:t>
        </w:r>
        <w:r>
          <w:rPr>
            <w:rFonts w:ascii="宋体" w:hAnsi="宋体"/>
          </w:rPr>
          <w:tab/>
        </w:r>
        <w:r>
          <w:rPr>
            <w:rFonts w:ascii="宋体" w:hAnsi="宋体"/>
          </w:rPr>
          <w:fldChar w:fldCharType="begin"/>
        </w:r>
        <w:r>
          <w:rPr>
            <w:rFonts w:ascii="宋体" w:hAnsi="宋体"/>
          </w:rPr>
          <w:instrText xml:space="preserve"> PAGEREF _Toc65496045 \h </w:instrText>
        </w:r>
        <w:r>
          <w:rPr>
            <w:rFonts w:ascii="宋体" w:hAnsi="宋体"/>
          </w:rPr>
          <w:fldChar w:fldCharType="separate"/>
        </w:r>
        <w:r>
          <w:rPr>
            <w:rFonts w:ascii="宋体" w:hAnsi="宋体"/>
          </w:rPr>
          <w:t>18</w:t>
        </w:r>
        <w:r>
          <w:rPr>
            <w:rFonts w:ascii="宋体" w:hAnsi="宋体"/>
          </w:rPr>
          <w:fldChar w:fldCharType="end"/>
        </w:r>
      </w:hyperlink>
    </w:p>
    <w:p>
      <w:pPr>
        <w:pStyle w:val="TOC2"/>
        <w:tabs>
          <w:tab w:val="right" w:leader="dot" w:pos="9401"/>
        </w:tabs>
        <w:ind w:firstLine="480" w:firstLineChars="200"/>
        <w:rPr>
          <w:rFonts w:ascii="宋体" w:hAnsi="宋体" w:cstheme="minorBidi"/>
        </w:rPr>
      </w:pPr>
      <w:hyperlink w:anchor="_Toc65496046" w:history="1">
        <w:r>
          <w:rPr>
            <w:rStyle w:val="Hyperlink"/>
            <w:rFonts w:ascii="宋体" w:hAnsi="宋体"/>
          </w:rPr>
          <w:t xml:space="preserve">4.4 </w:t>
        </w:r>
        <w:r>
          <w:rPr>
            <w:rStyle w:val="Hyperlink"/>
            <w:rFonts w:ascii="宋体" w:hAnsi="宋体" w:hint="eastAsia"/>
          </w:rPr>
          <w:t>创新商业化模式，发掘商家利益空间</w:t>
        </w:r>
        <w:r>
          <w:rPr>
            <w:rFonts w:ascii="宋体" w:hAnsi="宋体"/>
          </w:rPr>
          <w:tab/>
        </w:r>
        <w:r>
          <w:rPr>
            <w:rFonts w:ascii="宋体" w:hAnsi="宋体"/>
          </w:rPr>
          <w:fldChar w:fldCharType="begin"/>
        </w:r>
        <w:r>
          <w:rPr>
            <w:rFonts w:ascii="宋体" w:hAnsi="宋体"/>
          </w:rPr>
          <w:instrText xml:space="preserve"> PAGEREF _Toc65496046 \h </w:instrText>
        </w:r>
        <w:r>
          <w:rPr>
            <w:rFonts w:ascii="宋体" w:hAnsi="宋体"/>
          </w:rPr>
          <w:fldChar w:fldCharType="separate"/>
        </w:r>
        <w:r>
          <w:rPr>
            <w:rFonts w:ascii="宋体" w:hAnsi="宋体"/>
          </w:rPr>
          <w:t>19</w:t>
        </w:r>
        <w:r>
          <w:rPr>
            <w:rFonts w:ascii="宋体" w:hAnsi="宋体"/>
          </w:rPr>
          <w:fldChar w:fldCharType="end"/>
        </w:r>
      </w:hyperlink>
    </w:p>
    <w:p>
      <w:pPr>
        <w:pStyle w:val="TOC2"/>
        <w:tabs>
          <w:tab w:val="right" w:leader="dot" w:pos="9401"/>
        </w:tabs>
        <w:ind w:firstLine="480" w:firstLineChars="200"/>
        <w:rPr>
          <w:rFonts w:ascii="宋体" w:hAnsi="宋体" w:cstheme="minorBidi"/>
        </w:rPr>
        <w:sectPr>
          <w:headerReference w:type="even" r:id="rId6"/>
          <w:footerReference w:type="even" r:id="rId7"/>
          <w:footerReference w:type="default" r:id="rId8"/>
          <w:headerReference w:type="first" r:id="rId9"/>
          <w:pgSz w:w="11906" w:h="16838"/>
          <w:pgMar w:top="1417" w:right="1248" w:bottom="1247" w:left="1247" w:header="851" w:footer="992" w:gutter="0"/>
          <w:pgNumType w:start="1"/>
          <w:cols w:num="1" w:space="720"/>
          <w:titlePg/>
          <w:docGrid w:type="lines" w:linePitch="312" w:charSpace="0"/>
        </w:sectPr>
      </w:pPr>
      <w:hyperlink w:anchor="_Toc65496047" w:history="1">
        <w:r>
          <w:rPr>
            <w:rStyle w:val="Hyperlink"/>
            <w:rFonts w:ascii="宋体" w:hAnsi="宋体"/>
          </w:rPr>
          <w:t xml:space="preserve">4.5 </w:t>
        </w:r>
        <w:r>
          <w:rPr>
            <w:rStyle w:val="Hyperlink"/>
            <w:rFonts w:ascii="宋体" w:hAnsi="宋体" w:hint="eastAsia"/>
          </w:rPr>
          <w:t>促进基层主播能力提升，强化带货能力</w:t>
        </w:r>
        <w:r>
          <w:rPr>
            <w:rFonts w:ascii="宋体" w:hAnsi="宋体"/>
          </w:rPr>
          <w:tab/>
        </w:r>
        <w:r>
          <w:rPr>
            <w:rFonts w:ascii="宋体" w:hAnsi="宋体"/>
          </w:rPr>
          <w:fldChar w:fldCharType="begin"/>
        </w:r>
        <w:r>
          <w:rPr>
            <w:rFonts w:ascii="宋体" w:hAnsi="宋体"/>
          </w:rPr>
          <w:instrText xml:space="preserve"> PAGEREF _Toc65496047 \h </w:instrText>
        </w:r>
        <w:r>
          <w:rPr>
            <w:rFonts w:ascii="宋体" w:hAnsi="宋体"/>
          </w:rPr>
          <w:fldChar w:fldCharType="separate"/>
        </w:r>
        <w:r>
          <w:rPr>
            <w:rFonts w:ascii="宋体" w:hAnsi="宋体"/>
          </w:rPr>
          <w:t>19</w:t>
        </w:r>
        <w:r>
          <w:rPr>
            <w:rFonts w:ascii="宋体" w:hAnsi="宋体"/>
          </w:rPr>
          <w:fldChar w:fldCharType="end"/>
        </w:r>
      </w:hyperlink>
    </w:p>
    <w:p>
      <w:pPr>
        <w:pStyle w:val="TOC2"/>
        <w:tabs>
          <w:tab w:val="right" w:leader="dot" w:pos="9401"/>
        </w:tabs>
        <w:ind w:firstLine="480" w:firstLineChars="200"/>
        <w:rPr>
          <w:rStyle w:val="Hyperlink"/>
          <w:rFonts w:ascii="宋体" w:hAnsi="宋体"/>
        </w:rPr>
      </w:pPr>
      <w:hyperlink w:anchor="_Toc65496048" w:history="1">
        <w:r>
          <w:rPr>
            <w:rStyle w:val="Hyperlink"/>
            <w:rFonts w:ascii="宋体" w:hAnsi="宋体"/>
          </w:rPr>
          <w:t xml:space="preserve">4.6 </w:t>
        </w:r>
        <w:r>
          <w:rPr>
            <w:rStyle w:val="Hyperlink"/>
            <w:rFonts w:ascii="宋体" w:hAnsi="宋体" w:hint="eastAsia"/>
          </w:rPr>
          <w:t>完善售后服务，提升用户消费体验</w:t>
        </w:r>
        <w:r>
          <w:rPr>
            <w:rFonts w:ascii="宋体" w:hAnsi="宋体"/>
          </w:rPr>
          <w:tab/>
        </w:r>
        <w:r>
          <w:rPr>
            <w:rFonts w:ascii="宋体" w:hAnsi="宋体"/>
          </w:rPr>
          <w:fldChar w:fldCharType="begin"/>
        </w:r>
        <w:r>
          <w:rPr>
            <w:rFonts w:ascii="宋体" w:hAnsi="宋体"/>
          </w:rPr>
          <w:instrText xml:space="preserve"> PAGEREF _Toc65496048 \h </w:instrText>
        </w:r>
        <w:r>
          <w:rPr>
            <w:rFonts w:ascii="宋体" w:hAnsi="宋体"/>
          </w:rPr>
          <w:fldChar w:fldCharType="separate"/>
        </w:r>
        <w:r>
          <w:rPr>
            <w:rFonts w:ascii="宋体" w:hAnsi="宋体"/>
          </w:rPr>
          <w:t>20</w:t>
        </w:r>
        <w:r>
          <w:rPr>
            <w:rFonts w:ascii="宋体" w:hAnsi="宋体"/>
          </w:rPr>
          <w:fldChar w:fldCharType="end"/>
        </w:r>
      </w:hyperlink>
    </w:p>
    <w:p>
      <w:pPr>
        <w:pStyle w:val="TOC2"/>
        <w:tabs>
          <w:tab w:val="right" w:leader="dot" w:pos="9401"/>
        </w:tabs>
        <w:rPr>
          <w:rStyle w:val="Hyperlink"/>
          <w:rFonts w:ascii="宋体" w:hAnsi="宋体"/>
        </w:rPr>
      </w:pPr>
      <w:hyperlink w:anchor="_Toc65496049" w:history="1">
        <w:r>
          <w:rPr>
            <w:rStyle w:val="Hyperlink"/>
            <w:rFonts w:ascii="宋体" w:hAnsi="宋体" w:hint="eastAsia"/>
          </w:rPr>
          <w:t>结论</w:t>
        </w:r>
        <w:r>
          <w:rPr>
            <w:rFonts w:ascii="宋体" w:hAnsi="宋体"/>
          </w:rPr>
          <w:tab/>
        </w:r>
        <w:r>
          <w:rPr>
            <w:rFonts w:ascii="宋体" w:hAnsi="宋体"/>
          </w:rPr>
          <w:fldChar w:fldCharType="begin"/>
        </w:r>
        <w:r>
          <w:rPr>
            <w:rFonts w:ascii="宋体" w:hAnsi="宋体"/>
          </w:rPr>
          <w:instrText xml:space="preserve"> PAGEREF _Toc65496049 \h </w:instrText>
        </w:r>
        <w:r>
          <w:rPr>
            <w:rFonts w:ascii="宋体" w:hAnsi="宋体"/>
          </w:rPr>
          <w:fldChar w:fldCharType="separate"/>
        </w:r>
        <w:r>
          <w:rPr>
            <w:rFonts w:ascii="宋体" w:hAnsi="宋体"/>
          </w:rPr>
          <w:t>21</w:t>
        </w:r>
        <w:r>
          <w:rPr>
            <w:rFonts w:ascii="宋体" w:hAnsi="宋体"/>
          </w:rPr>
          <w:fldChar w:fldCharType="end"/>
        </w:r>
      </w:hyperlink>
    </w:p>
    <w:p>
      <w:pPr>
        <w:pStyle w:val="TOC2"/>
        <w:tabs>
          <w:tab w:val="right" w:leader="dot" w:pos="9401"/>
        </w:tabs>
        <w:rPr>
          <w:rStyle w:val="Hyperlink"/>
          <w:rFonts w:ascii="宋体" w:hAnsi="宋体"/>
        </w:rPr>
      </w:pPr>
      <w:hyperlink w:anchor="_Toc65496050" w:history="1">
        <w:r>
          <w:rPr>
            <w:rStyle w:val="Hyperlink"/>
            <w:rFonts w:ascii="宋体" w:hAnsi="宋体" w:hint="eastAsia"/>
          </w:rPr>
          <w:t>参考文献</w:t>
        </w:r>
        <w:r>
          <w:rPr>
            <w:rFonts w:ascii="宋体" w:hAnsi="宋体"/>
          </w:rPr>
          <w:tab/>
        </w:r>
        <w:r>
          <w:rPr>
            <w:rFonts w:ascii="宋体" w:hAnsi="宋体"/>
          </w:rPr>
          <w:fldChar w:fldCharType="begin"/>
        </w:r>
        <w:r>
          <w:rPr>
            <w:rFonts w:ascii="宋体" w:hAnsi="宋体"/>
          </w:rPr>
          <w:instrText xml:space="preserve"> PAGEREF _Toc65496050 \h </w:instrText>
        </w:r>
        <w:r>
          <w:rPr>
            <w:rFonts w:ascii="宋体" w:hAnsi="宋体"/>
          </w:rPr>
          <w:fldChar w:fldCharType="separate"/>
        </w:r>
        <w:r>
          <w:rPr>
            <w:rFonts w:ascii="宋体" w:hAnsi="宋体"/>
          </w:rPr>
          <w:t>22</w:t>
        </w:r>
        <w:r>
          <w:rPr>
            <w:rFonts w:ascii="宋体" w:hAnsi="宋体"/>
          </w:rPr>
          <w:fldChar w:fldCharType="end"/>
        </w:r>
      </w:hyperlink>
    </w:p>
    <w:p>
      <w:pPr>
        <w:ind w:firstLine="480"/>
        <w:rPr>
          <w:rFonts w:ascii="宋体" w:hAnsi="宋体"/>
          <w:sz w:val="24"/>
          <w:szCs w:val="21"/>
        </w:rPr>
      </w:pPr>
      <w:r>
        <w:rPr>
          <w:rFonts w:ascii="宋体" w:hAnsi="宋体"/>
          <w:sz w:val="24"/>
          <w:szCs w:val="21"/>
        </w:rPr>
        <w:fldChar w:fldCharType="end"/>
      </w:r>
    </w:p>
    <w:p>
      <w:pPr>
        <w:pStyle w:val="Heading1"/>
        <w:spacing w:before="312" w:after="312"/>
      </w:pPr>
      <w:bookmarkStart w:id="1" w:name="_Toc65496019"/>
      <w:bookmarkStart w:id="2" w:name="_Toc170396526"/>
      <w:bookmarkStart w:id="3" w:name="_Toc170442315"/>
      <w:r>
        <w:rPr>
          <w:rFonts w:hint="eastAsia"/>
        </w:rPr>
        <w:t>第1章 绪论</w:t>
      </w:r>
      <w:bookmarkEnd w:id="1"/>
      <w:bookmarkEnd w:id="2"/>
      <w:bookmarkEnd w:id="3"/>
    </w:p>
    <w:p>
      <w:pPr>
        <w:pStyle w:val="Heading2"/>
        <w:spacing w:before="312" w:after="312"/>
      </w:pPr>
      <w:bookmarkStart w:id="4" w:name="_Toc170442316"/>
      <w:bookmarkStart w:id="5" w:name="_Toc65496020"/>
      <w:bookmarkStart w:id="6" w:name="_Toc170396527"/>
      <w:r>
        <w:rPr>
          <w:rFonts w:hint="eastAsia"/>
        </w:rPr>
        <w:t>1.1 研究背景</w:t>
      </w:r>
      <w:bookmarkEnd w:id="4"/>
      <w:bookmarkEnd w:id="5"/>
      <w:bookmarkEnd w:id="6"/>
      <w:bookmarkStart w:id="7" w:name="_Toc170396528"/>
      <w:bookmarkStart w:id="8" w:name="_Toc170442317"/>
    </w:p>
    <w:p>
      <w:pPr>
        <w:spacing w:line="400" w:lineRule="exact"/>
        <w:ind w:firstLine="480" w:firstLineChars="200"/>
        <w:rPr>
          <w:rFonts w:ascii="宋体"/>
          <w:bCs/>
          <w:sz w:val="24"/>
        </w:rPr>
      </w:pPr>
      <w:r>
        <w:rPr>
          <w:rFonts w:ascii="宋体" w:hint="eastAsia"/>
          <w:sz w:val="24"/>
        </w:rPr>
        <w:t>21世纪,作为“直播+”模式中的一类,电商的销售属性与直播的流量属性在直播带货下得以结合。在互联网技术的不断提升以及传播手段的递增融合下,“直播+”经济的热潮下吸引了各个行业都开始引入直播技术,盼望直播带货行业增长出新的经济点。一方面，互联网大数据分析的应用不断成熟，直播等新技术发展迅猛，不仅提供了极大的便利促进直播带货改变商品信息的传输,用户在网络上社交的各种方式也得到了进一步的拓展；另一方面，用户与主播、用户与用户之间在直播过程中实时的互动，让电商内容的生产者在内容传达方面更为的直接和迅速。比起图片、文字等仅仅只是静态单向的信息传播,可以说商品生产、内容创作以及线上消费的连接方式被直播带货所改变了，新的经济增长点也得到了开拓。</w:t>
      </w:r>
    </w:p>
    <w:p>
      <w:pPr>
        <w:spacing w:line="400" w:lineRule="exact"/>
        <w:ind w:firstLine="480" w:firstLineChars="200"/>
        <w:rPr>
          <w:rFonts w:ascii="宋体" w:hAnsi="宋体"/>
          <w:sz w:val="24"/>
        </w:rPr>
      </w:pPr>
      <w:r>
        <w:rPr>
          <w:rFonts w:ascii="宋体" w:hAnsi="宋体" w:hint="eastAsia"/>
          <w:sz w:val="24"/>
        </w:rPr>
        <w:t>2020年7月，发改委发布《关于支持新业态新模式健康发展激活消费市场带动扩大就业的意见》</w:t>
      </w:r>
      <w:r>
        <w:rPr>
          <w:rFonts w:ascii="宋体" w:hAnsi="宋体" w:hint="eastAsia"/>
          <w:sz w:val="24"/>
          <w:vertAlign w:val="superscript"/>
        </w:rPr>
        <w:t>[1]</w:t>
      </w:r>
      <w:r>
        <w:rPr>
          <w:rFonts w:ascii="宋体" w:hAnsi="宋体"/>
          <w:sz w:val="24"/>
        </w:rPr>
        <w:t>，</w:t>
      </w:r>
      <w:r>
        <w:rPr>
          <w:rFonts w:ascii="宋体" w:hAnsi="宋体" w:hint="eastAsia"/>
          <w:sz w:val="24"/>
        </w:rPr>
        <w:t>这一政策很大</w:t>
      </w:r>
      <w:r>
        <w:rPr>
          <w:rFonts w:ascii="宋体" w:hAnsi="宋体"/>
          <w:sz w:val="24"/>
        </w:rPr>
        <w:t>促进</w:t>
      </w:r>
      <w:r>
        <w:rPr>
          <w:rFonts w:ascii="宋体" w:hAnsi="宋体" w:hint="eastAsia"/>
          <w:sz w:val="24"/>
        </w:rPr>
        <w:t>了</w:t>
      </w:r>
      <w:r>
        <w:rPr>
          <w:rFonts w:ascii="宋体" w:hAnsi="宋体"/>
          <w:sz w:val="24"/>
        </w:rPr>
        <w:t>经济</w:t>
      </w:r>
      <w:r>
        <w:rPr>
          <w:rFonts w:ascii="宋体" w:hAnsi="宋体" w:hint="eastAsia"/>
          <w:sz w:val="24"/>
        </w:rPr>
        <w:t>的</w:t>
      </w:r>
      <w:r>
        <w:rPr>
          <w:rFonts w:ascii="宋体" w:hAnsi="宋体"/>
          <w:sz w:val="24"/>
        </w:rPr>
        <w:t>恢复性增长</w:t>
      </w:r>
      <w:r>
        <w:rPr>
          <w:rFonts w:ascii="宋体" w:hAnsi="宋体" w:hint="eastAsia"/>
          <w:sz w:val="24"/>
        </w:rPr>
        <w:t>。直播带货在希望拉动经济的增长中，被寄予了厚望，并</w:t>
      </w:r>
      <w:r>
        <w:rPr>
          <w:rFonts w:ascii="宋体" w:hAnsi="宋体"/>
          <w:sz w:val="24"/>
        </w:rPr>
        <w:t>扮演</w:t>
      </w:r>
      <w:r>
        <w:rPr>
          <w:rFonts w:ascii="宋体" w:hAnsi="宋体" w:hint="eastAsia"/>
          <w:sz w:val="24"/>
        </w:rPr>
        <w:t>着</w:t>
      </w:r>
      <w:r>
        <w:rPr>
          <w:rFonts w:ascii="宋体" w:hAnsi="宋体"/>
          <w:sz w:val="24"/>
        </w:rPr>
        <w:t>重要角色</w:t>
      </w:r>
      <w:r>
        <w:rPr>
          <w:rFonts w:ascii="宋体" w:hAnsi="宋体" w:hint="eastAsia"/>
          <w:sz w:val="24"/>
        </w:rPr>
        <w:t>。由此我们可以认为</w:t>
      </w:r>
      <w:r>
        <w:rPr>
          <w:rFonts w:ascii="宋体" w:hint="eastAsia"/>
          <w:sz w:val="24"/>
        </w:rPr>
        <w:t>，去年以来，由国家主导的扶持消费发展的各项政策措施相继落地。各路资本都将目光都转向直播带货，各大直播带货平台顺势兴起。直播带货现在到了重新洗牌的阶段。为了更好的利用直播带货的引流优势，避免直播带货出现一些问题，研究自媒体时代下直播带货发展现状及对策分析</w:t>
      </w:r>
      <w:r>
        <w:rPr>
          <w:rFonts w:ascii="宋体" w:hAnsi="宋体" w:hint="eastAsia"/>
          <w:sz w:val="24"/>
        </w:rPr>
        <w:t>是十分必要的。</w:t>
      </w:r>
    </w:p>
    <w:p>
      <w:pPr>
        <w:pStyle w:val="Heading2"/>
        <w:spacing w:before="312" w:after="312"/>
      </w:pPr>
      <w:bookmarkStart w:id="9" w:name="_Toc65496021"/>
      <w:r>
        <w:rPr>
          <w:rFonts w:hint="eastAsia"/>
        </w:rPr>
        <w:t>1.2 研究意义</w:t>
      </w:r>
      <w:bookmarkEnd w:id="7"/>
      <w:bookmarkEnd w:id="8"/>
      <w:bookmarkEnd w:id="9"/>
      <w:r>
        <w:rPr>
          <w:rFonts w:hint="eastAsia"/>
        </w:rPr>
        <w:t xml:space="preserve"> </w:t>
      </w:r>
    </w:p>
    <w:p>
      <w:pPr>
        <w:spacing w:line="400" w:lineRule="exact"/>
        <w:ind w:firstLine="480" w:firstLineChars="200"/>
        <w:rPr>
          <w:rFonts w:ascii="宋体"/>
          <w:bCs/>
          <w:sz w:val="24"/>
        </w:rPr>
        <w:sectPr>
          <w:headerReference w:type="even" r:id="rId10"/>
          <w:footerReference w:type="even" r:id="rId11"/>
          <w:footerReference w:type="default" r:id="rId12"/>
          <w:headerReference w:type="first" r:id="rId13"/>
          <w:type w:val="nextPage"/>
          <w:pgSz w:w="11906" w:h="16838"/>
          <w:pgMar w:top="1417" w:right="1248" w:bottom="1247" w:left="1247" w:header="851" w:footer="992" w:gutter="0"/>
          <w:pgNumType w:start="2"/>
          <w:cols w:num="1" w:space="720"/>
          <w:titlePg w:val="0"/>
          <w:docGrid w:type="lines" w:linePitch="312" w:charSpace="0"/>
        </w:sectPr>
      </w:pPr>
      <w:bookmarkStart w:id="10" w:name="_Toc170442318"/>
      <w:bookmarkStart w:id="11" w:name="_Toc170396529"/>
      <w:r>
        <w:rPr>
          <w:rFonts w:ascii="宋体" w:hint="eastAsia"/>
          <w:sz w:val="24"/>
        </w:rPr>
        <w:t>本文主要对自媒体时代下直播带货的发展现状以及其问题进行详细的分析，并提出相应对策，从理论上丰富了相关的研究，使人们更加了解直播带货，也为直播带货的发展思路提供了方向。从实践上看，本文以自媒体时代为大前提，提出了促进直播带货进一步发展的对策，指出要推动直播形式多样化、建立主播准入门槛、促进基层主播能力提升等方式创新直播带货的商业模式，为直播带货相关企业的深入发展提供了参考。</w:t>
      </w:r>
    </w:p>
    <w:p>
      <w:pPr>
        <w:pStyle w:val="Heading2"/>
        <w:spacing w:before="312" w:after="312"/>
      </w:pPr>
      <w:bookmarkStart w:id="12" w:name="_Toc65496022"/>
      <w:r>
        <w:rPr>
          <w:rFonts w:hint="eastAsia"/>
        </w:rPr>
        <w:t>1.3 研究内容</w:t>
      </w:r>
      <w:bookmarkEnd w:id="10"/>
      <w:bookmarkEnd w:id="11"/>
      <w:bookmarkEnd w:id="12"/>
    </w:p>
    <w:p>
      <w:pPr>
        <w:spacing w:line="400" w:lineRule="exact"/>
        <w:ind w:firstLine="480" w:firstLineChars="200"/>
        <w:rPr>
          <w:rFonts w:ascii="宋体"/>
          <w:bCs/>
          <w:sz w:val="24"/>
        </w:rPr>
      </w:pPr>
      <w:bookmarkStart w:id="13" w:name="_Toc170396530"/>
      <w:bookmarkStart w:id="14" w:name="_Toc170442319"/>
      <w:r>
        <w:rPr>
          <w:rFonts w:ascii="宋体" w:hint="eastAsia"/>
          <w:sz w:val="24"/>
        </w:rPr>
        <w:t>本文主要对自媒体时代下，当下直播带货的发展状况及问题进行了详细的研究，分析了电商直播的发展历程、经营现状、市场规模、运营模式、竞争情况、服务能力等，从而对直播带货有了更明确的认知，最后提出促进直播带货进一步发展的对策，为直播带货的进一步发展提供帮助。</w:t>
      </w:r>
    </w:p>
    <w:bookmarkEnd w:id="13"/>
    <w:bookmarkEnd w:id="14"/>
    <w:p>
      <w:pPr>
        <w:pStyle w:val="Heading2"/>
        <w:spacing w:before="312" w:after="312"/>
      </w:pPr>
      <w:bookmarkStart w:id="15" w:name="_Toc65496023"/>
      <w:bookmarkStart w:id="16" w:name="_Toc170396531"/>
      <w:bookmarkStart w:id="17" w:name="_Toc170442320"/>
      <w:bookmarkStart w:id="18" w:name="_Toc168504505"/>
      <w:r>
        <w:rPr>
          <w:rFonts w:hint="eastAsia"/>
        </w:rPr>
        <w:t>1.4 研究组织</w:t>
      </w:r>
      <w:bookmarkEnd w:id="15"/>
    </w:p>
    <w:p>
      <w:pPr>
        <w:pStyle w:val="Heading1"/>
        <w:spacing w:before="312" w:after="312"/>
        <w:rPr>
          <w:rFonts w:hAnsi="黑体"/>
        </w:rPr>
        <w:sectPr>
          <w:headerReference w:type="even" r:id="rId14"/>
          <w:footerReference w:type="even" r:id="rId15"/>
          <w:footerReference w:type="default" r:id="rId16"/>
          <w:headerReference w:type="first" r:id="rId17"/>
          <w:type w:val="nextPage"/>
          <w:pgSz w:w="11906" w:h="16838"/>
          <w:pgMar w:top="1417" w:right="1248" w:bottom="1247" w:left="1247" w:header="851" w:footer="992" w:gutter="0"/>
          <w:pgNumType w:start="3"/>
          <w:cols w:num="1" w:space="720"/>
          <w:titlePg w:val="0"/>
          <w:docGrid w:type="lines" w:linePitch="312" w:charSpace="0"/>
        </w:sectPr>
      </w:pPr>
      <w:bookmarkStart w:id="19" w:name="_Toc65496024"/>
      <w:r>
        <mc:AlternateContent>
          <mc:Choice Requires="wpc">
            <w:drawing>
              <wp:anchor distT="0" distB="0" distL="114300" distR="114300" simplePos="0" relativeHeight="251658240" behindDoc="1" locked="0" layoutInCell="1" allowOverlap="1">
                <wp:simplePos x="0" y="0"/>
                <wp:positionH relativeFrom="margin">
                  <wp:posOffset>495935</wp:posOffset>
                </wp:positionH>
                <wp:positionV relativeFrom="paragraph">
                  <wp:posOffset>174625</wp:posOffset>
                </wp:positionV>
                <wp:extent cx="5076190" cy="6385560"/>
                <wp:effectExtent l="0" t="0" r="0" b="0"/>
                <wp:wrapTight wrapText="bothSides">
                  <wp:wrapPolygon>
                    <wp:start x="5917" y="0"/>
                    <wp:lineTo x="5917" y="1547"/>
                    <wp:lineTo x="8917" y="2191"/>
                    <wp:lineTo x="10538" y="2191"/>
                    <wp:lineTo x="10457" y="3222"/>
                    <wp:lineTo x="6323" y="3222"/>
                    <wp:lineTo x="5998" y="3286"/>
                    <wp:lineTo x="5998" y="4575"/>
                    <wp:lineTo x="9241" y="5284"/>
                    <wp:lineTo x="10538" y="5284"/>
                    <wp:lineTo x="892" y="5671"/>
                    <wp:lineTo x="892" y="7153"/>
                    <wp:lineTo x="10538" y="7346"/>
                    <wp:lineTo x="5512" y="7733"/>
                    <wp:lineTo x="4539" y="7862"/>
                    <wp:lineTo x="4539" y="8377"/>
                    <wp:lineTo x="1216" y="8570"/>
                    <wp:lineTo x="892" y="8635"/>
                    <wp:lineTo x="892" y="9924"/>
                    <wp:lineTo x="2027" y="10439"/>
                    <wp:lineTo x="3080" y="10439"/>
                    <wp:lineTo x="2918" y="10826"/>
                    <wp:lineTo x="5755" y="11019"/>
                    <wp:lineTo x="16536" y="11470"/>
                    <wp:lineTo x="16536" y="15594"/>
                    <wp:lineTo x="2999" y="16432"/>
                    <wp:lineTo x="2999" y="17914"/>
                    <wp:lineTo x="8430" y="18687"/>
                    <wp:lineTo x="9970" y="18687"/>
                    <wp:lineTo x="7052" y="19589"/>
                    <wp:lineTo x="7052" y="20878"/>
                    <wp:lineTo x="13051" y="20878"/>
                    <wp:lineTo x="13132" y="19654"/>
                    <wp:lineTo x="12483" y="19396"/>
                    <wp:lineTo x="10376" y="18687"/>
                    <wp:lineTo x="11916" y="18687"/>
                    <wp:lineTo x="16942" y="17914"/>
                    <wp:lineTo x="16861" y="10439"/>
                    <wp:lineTo x="18968" y="10439"/>
                    <wp:lineTo x="20671" y="9988"/>
                    <wp:lineTo x="20752" y="8764"/>
                    <wp:lineTo x="20427" y="8635"/>
                    <wp:lineTo x="17914" y="8377"/>
                    <wp:lineTo x="18077" y="7926"/>
                    <wp:lineTo x="17428" y="7797"/>
                    <wp:lineTo x="10862" y="7346"/>
                    <wp:lineTo x="18239" y="7346"/>
                    <wp:lineTo x="20671" y="7088"/>
                    <wp:lineTo x="20671" y="5735"/>
                    <wp:lineTo x="20022" y="5671"/>
                    <wp:lineTo x="10943" y="5284"/>
                    <wp:lineTo x="12240" y="5284"/>
                    <wp:lineTo x="15402" y="4575"/>
                    <wp:lineTo x="15483" y="3286"/>
                    <wp:lineTo x="15077" y="3222"/>
                    <wp:lineTo x="10943" y="3222"/>
                    <wp:lineTo x="10943" y="2191"/>
                    <wp:lineTo x="12564" y="2191"/>
                    <wp:lineTo x="15402" y="1547"/>
                    <wp:lineTo x="15320" y="0"/>
                    <wp:lineTo x="5917" y="0"/>
                  </wp:wrapPolygon>
                </wp:wrapTight>
                <wp:docPr id="2" name="画布 57"/>
                <wp:cNvGraphicFramePr/>
                <a:graphic xmlns:a="http://schemas.openxmlformats.org/drawingml/2006/main">
                  <a:graphicData uri="http://schemas.microsoft.com/office/word/2010/wordprocessingCanvas">
                    <wpc:wpc>
                      <wpc:bg>
                        <a:noFill/>
                      </wpc:bg>
                      <wpc:whole>
                        <a:ln>
                          <a:noFill/>
                        </a:ln>
                      </wpc:whole>
                      <wps:wsp xmlns:wps="http://schemas.microsoft.com/office/word/2010/wordprocessingShape">
                        <wps:cNvPr id="42" name="矩形 50"/>
                        <wps:cNvSpPr>
                          <a:spLocks noChangeArrowheads="1"/>
                        </wps:cNvSpPr>
                        <wps:spPr bwMode="auto">
                          <a:xfrm>
                            <a:off x="1435100" y="30480"/>
                            <a:ext cx="2133600" cy="424815"/>
                          </a:xfrm>
                          <a:prstGeom prst="rect">
                            <a:avLst/>
                          </a:prstGeom>
                          <a:solidFill>
                            <a:srgbClr val="FFFFFF"/>
                          </a:solidFill>
                          <a:ln w="25400">
                            <a:solidFill>
                              <a:srgbClr val="000000"/>
                            </a:solidFill>
                            <a:round/>
                          </a:ln>
                          <a:effectLst/>
                        </wps:spPr>
                        <wps:txbx>
                          <w:txbxContent>
                            <w:p>
                              <w:pPr>
                                <w:jc w:val="center"/>
                              </w:pPr>
                              <w:r>
                                <w:rPr>
                                  <w:rFonts w:hint="eastAsia"/>
                                </w:rPr>
                                <w:t>研究背景、意义及内容组织</w:t>
                              </w:r>
                            </w:p>
                          </w:txbxContent>
                        </wps:txbx>
                        <wps:bodyPr rot="0" vert="horz" wrap="square" lIns="91440" tIns="45720" rIns="91440" bIns="45720" anchor="ctr" anchorCtr="0" upright="1"/>
                      </wps:wsp>
                      <wps:wsp xmlns:wps="http://schemas.microsoft.com/office/word/2010/wordprocessingShape">
                        <wps:cNvPr id="45" name="矩形 62"/>
                        <wps:cNvSpPr>
                          <a:spLocks noChangeArrowheads="1"/>
                        </wps:cNvSpPr>
                        <wps:spPr bwMode="auto">
                          <a:xfrm>
                            <a:off x="1685925" y="5798185"/>
                            <a:ext cx="1344295" cy="342265"/>
                          </a:xfrm>
                          <a:prstGeom prst="rect">
                            <a:avLst/>
                          </a:prstGeom>
                          <a:solidFill>
                            <a:srgbClr val="FFFFFF"/>
                          </a:solidFill>
                          <a:ln w="25400">
                            <a:solidFill>
                              <a:srgbClr val="000000"/>
                            </a:solidFill>
                            <a:round/>
                          </a:ln>
                          <a:effectLst/>
                        </wps:spPr>
                        <wps:txbx>
                          <w:txbxContent>
                            <w:p>
                              <w:pPr>
                                <w:pStyle w:val="NormalWeb"/>
                                <w:spacing w:beforeAutospacing="0" w:afterAutospacing="0"/>
                                <w:jc w:val="center"/>
                                <w:rPr>
                                  <w:sz w:val="21"/>
                                  <w:szCs w:val="21"/>
                                </w:rPr>
                              </w:pPr>
                              <w:r>
                                <w:rPr>
                                  <w:rFonts w:hint="eastAsia"/>
                                  <w:kern w:val="2"/>
                                  <w:sz w:val="21"/>
                                  <w:szCs w:val="21"/>
                                </w:rPr>
                                <w:t>研究结论</w:t>
                              </w:r>
                            </w:p>
                          </w:txbxContent>
                        </wps:txbx>
                        <wps:bodyPr rot="0" vert="horz" wrap="square" lIns="91440" tIns="45720" rIns="91440" bIns="45720" anchor="ctr" anchorCtr="0" upright="1"/>
                      </wps:wsp>
                      <wps:wsp xmlns:wps="http://schemas.microsoft.com/office/word/2010/wordprocessingShape">
                        <wps:cNvPr id="47" name="直接箭头连接符 65"/>
                        <wps:cNvCnPr>
                          <a:cxnSpLocks noChangeShapeType="1"/>
                        </wps:cNvCnPr>
                        <wps:spPr bwMode="auto">
                          <a:xfrm>
                            <a:off x="2510620" y="1368720"/>
                            <a:ext cx="805" cy="306410"/>
                          </a:xfrm>
                          <a:prstGeom prst="straightConnector1">
                            <a:avLst/>
                          </a:prstGeom>
                          <a:noFill/>
                          <a:ln w="9525">
                            <a:solidFill>
                              <a:srgbClr val="000000"/>
                            </a:solidFill>
                            <a:round/>
                            <a:tailEnd type="triangle"/>
                          </a:ln>
                          <a:effectLst/>
                        </wps:spPr>
                        <wps:bodyPr/>
                      </wps:wsp>
                      <wps:wsp xmlns:wps="http://schemas.microsoft.com/office/word/2010/wordprocessingShape">
                        <wps:cNvPr id="49" name="直接箭头连接符 4"/>
                        <wps:cNvCnPr>
                          <a:cxnSpLocks noChangeShapeType="1"/>
                        </wps:cNvCnPr>
                        <wps:spPr bwMode="auto">
                          <a:xfrm>
                            <a:off x="2510155" y="475615"/>
                            <a:ext cx="1270" cy="484505"/>
                          </a:xfrm>
                          <a:prstGeom prst="straightConnector1">
                            <a:avLst/>
                          </a:prstGeom>
                          <a:noFill/>
                          <a:ln w="9525">
                            <a:solidFill>
                              <a:srgbClr val="000000"/>
                            </a:solidFill>
                            <a:round/>
                            <a:tailEnd type="triangle"/>
                          </a:ln>
                          <a:effectLst/>
                        </wps:spPr>
                        <wps:bodyPr/>
                      </wps:wsp>
                      <wps:wsp xmlns:wps="http://schemas.microsoft.com/office/word/2010/wordprocessingShape">
                        <wps:cNvPr id="54" name="直接箭头连接符 80"/>
                        <wps:cNvCnPr>
                          <a:cxnSpLocks noChangeShapeType="1"/>
                        </wps:cNvCnPr>
                        <wps:spPr bwMode="auto">
                          <a:xfrm>
                            <a:off x="2372995" y="5280660"/>
                            <a:ext cx="635" cy="504190"/>
                          </a:xfrm>
                          <a:prstGeom prst="straightConnector1">
                            <a:avLst/>
                          </a:prstGeom>
                          <a:noFill/>
                          <a:ln w="9525">
                            <a:solidFill>
                              <a:srgbClr val="000000"/>
                            </a:solidFill>
                            <a:round/>
                            <a:tailEnd type="triangle"/>
                          </a:ln>
                          <a:effectLst/>
                        </wps:spPr>
                        <wps:bodyPr/>
                      </wps:wsp>
                      <wps:wsp xmlns:wps="http://schemas.microsoft.com/office/word/2010/wordprocessingShape">
                        <wps:cNvPr id="55" name="矩形 53"/>
                        <wps:cNvSpPr>
                          <a:spLocks noChangeArrowheads="1"/>
                        </wps:cNvSpPr>
                        <wps:spPr bwMode="auto">
                          <a:xfrm>
                            <a:off x="240030" y="1691005"/>
                            <a:ext cx="4545330" cy="396875"/>
                          </a:xfrm>
                          <a:prstGeom prst="rect">
                            <a:avLst/>
                          </a:prstGeom>
                          <a:solidFill>
                            <a:srgbClr val="FFFFFF"/>
                          </a:solidFill>
                          <a:ln w="25400">
                            <a:solidFill>
                              <a:srgbClr val="000000"/>
                            </a:solidFill>
                            <a:round/>
                          </a:ln>
                          <a:effectLst/>
                        </wps:spPr>
                        <wps:txbx>
                          <w:txbxContent>
                            <w:p>
                              <w:pPr>
                                <w:jc w:val="center"/>
                                <w:rPr>
                                  <w:szCs w:val="21"/>
                                </w:rPr>
                              </w:pPr>
                              <w:r>
                                <w:rPr>
                                  <w:rFonts w:hint="eastAsia"/>
                                  <w:szCs w:val="21"/>
                                </w:rPr>
                                <w:t>自媒体时代下直播</w:t>
                              </w:r>
                              <w:r>
                                <w:rPr>
                                  <w:szCs w:val="21"/>
                                </w:rPr>
                                <w:t>带货</w:t>
                              </w:r>
                              <w:r>
                                <w:rPr>
                                  <w:rFonts w:hint="eastAsia"/>
                                  <w:szCs w:val="21"/>
                                </w:rPr>
                                <w:t>的发展</w:t>
                              </w:r>
                            </w:p>
                            <w:tbl>
                              <w:tblPr>
                                <w:tblStyle w:val="TableNormal"/>
                                <w:tblW w:w="72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36"/>
                              </w:tblGrid>
                              <w:tr>
                                <w:tblPrEx>
                                  <w:tblW w:w="72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99"/>
                                </w:trPr>
                                <w:tc>
                                  <w:tcPr>
                                    <w:tcW w:w="7236" w:type="dxa"/>
                                    <w:tcBorders>
                                      <w:top w:val="nil"/>
                                      <w:left w:val="nil"/>
                                      <w:bottom w:val="single" w:sz="4" w:space="0" w:color="auto"/>
                                      <w:right w:val="nil"/>
                                    </w:tcBorders>
                                    <w:vAlign w:val="bottom"/>
                                  </w:tcPr>
                                  <w:p>
                                    <w:pPr>
                                      <w:spacing w:before="312" w:beforeLines="100" w:after="312" w:afterLines="100" w:line="720" w:lineRule="exact"/>
                                      <w:jc w:val="center"/>
                                      <w:rPr>
                                        <w:rFonts w:ascii="黑体" w:eastAsia="黑体" w:hAnsi="黑体" w:cs="黑体"/>
                                        <w:b/>
                                        <w:bCs/>
                                        <w:color w:val="000000"/>
                                        <w:sz w:val="32"/>
                                        <w:szCs w:val="32"/>
                                      </w:rPr>
                                    </w:pPr>
                                    <w:r>
                                      <w:rPr>
                                        <w:rFonts w:ascii="黑体" w:eastAsia="黑体" w:hAnsi="黑体" w:cs="黑体" w:hint="eastAsia"/>
                                        <w:b/>
                                        <w:bCs/>
                                        <w:color w:val="000000"/>
                                        <w:sz w:val="32"/>
                                        <w:szCs w:val="32"/>
                                      </w:rPr>
                                      <w:t>我国社交电商发展现状与对策分析</w:t>
                                    </w:r>
                                  </w:p>
                                </w:tc>
                              </w:tr>
                              <w:tr>
                                <w:tblPrEx>
                                  <w:tblW w:w="7236" w:type="dxa"/>
                                  <w:tblInd w:w="0" w:type="dxa"/>
                                  <w:tblLayout w:type="fixed"/>
                                  <w:tblCellMar>
                                    <w:top w:w="0" w:type="dxa"/>
                                    <w:left w:w="108" w:type="dxa"/>
                                    <w:bottom w:w="0" w:type="dxa"/>
                                    <w:right w:w="108" w:type="dxa"/>
                                  </w:tblCellMar>
                                </w:tblPrEx>
                                <w:trPr>
                                  <w:trHeight w:val="799"/>
                                </w:trPr>
                                <w:tc>
                                  <w:tcPr>
                                    <w:tcW w:w="7236" w:type="dxa"/>
                                    <w:tcBorders>
                                      <w:top w:val="single" w:sz="4" w:space="0" w:color="auto"/>
                                      <w:left w:val="nil"/>
                                      <w:bottom w:val="single" w:sz="4" w:space="0" w:color="auto"/>
                                      <w:right w:val="nil"/>
                                    </w:tcBorders>
                                    <w:vAlign w:val="bottom"/>
                                  </w:tcPr>
                                  <w:p>
                                    <w:pPr>
                                      <w:rPr>
                                        <w:rFonts w:ascii="黑体" w:eastAsia="黑体" w:hAnsi="黑体" w:cs="黑体"/>
                                        <w:sz w:val="32"/>
                                        <w:szCs w:val="32"/>
                                      </w:rPr>
                                    </w:pPr>
                                    <w:r>
                                      <w:rPr>
                                        <w:rFonts w:ascii="黑体" w:eastAsia="黑体" w:hAnsi="黑体" w:cs="黑体" w:hint="eastAsia"/>
                                        <w:b/>
                                        <w:bCs/>
                                        <w:color w:val="000000"/>
                                        <w:sz w:val="32"/>
                                        <w:szCs w:val="32"/>
                                      </w:rPr>
                                      <w:t>--以拼多多为例</w:t>
                                    </w:r>
                                  </w:p>
                                </w:tc>
                              </w:tr>
                            </w:tbl>
                            <w:p>
                              <w:pPr>
                                <w:jc w:val="center"/>
                              </w:pPr>
                            </w:p>
                          </w:txbxContent>
                        </wps:txbx>
                        <wps:bodyPr rot="0" vert="horz" wrap="square" lIns="91440" tIns="45720" rIns="91440" bIns="45720" anchor="ctr" anchorCtr="0" upright="1"/>
                      </wps:wsp>
                      <wps:wsp xmlns:wps="http://schemas.microsoft.com/office/word/2010/wordprocessingShape">
                        <wps:cNvPr id="60" name="直接箭头连接符 60"/>
                        <wps:cNvCnPr>
                          <a:cxnSpLocks noChangeShapeType="1"/>
                        </wps:cNvCnPr>
                        <wps:spPr bwMode="auto">
                          <a:xfrm>
                            <a:off x="763905" y="2941320"/>
                            <a:ext cx="0" cy="256540"/>
                          </a:xfrm>
                          <a:prstGeom prst="straightConnector1">
                            <a:avLst/>
                          </a:prstGeom>
                          <a:noFill/>
                          <a:ln w="9525">
                            <a:solidFill>
                              <a:srgbClr val="000000"/>
                            </a:solidFill>
                            <a:round/>
                            <a:tailEnd type="triangle"/>
                          </a:ln>
                          <a:effectLst/>
                        </wps:spPr>
                        <wps:bodyPr/>
                      </wps:wsp>
                      <wps:wsp xmlns:wps="http://schemas.microsoft.com/office/word/2010/wordprocessingShape">
                        <wps:cNvPr id="16" name="矩形 16"/>
                        <wps:cNvSpPr>
                          <a:spLocks noChangeArrowheads="1"/>
                        </wps:cNvSpPr>
                        <wps:spPr bwMode="auto">
                          <a:xfrm>
                            <a:off x="1452540" y="975360"/>
                            <a:ext cx="2116160" cy="385740"/>
                          </a:xfrm>
                          <a:prstGeom prst="rect">
                            <a:avLst/>
                          </a:prstGeom>
                          <a:solidFill>
                            <a:srgbClr val="FFFFFF"/>
                          </a:solidFill>
                          <a:ln w="25400">
                            <a:solidFill>
                              <a:srgbClr val="000000"/>
                            </a:solidFill>
                            <a:round/>
                          </a:ln>
                          <a:effectLst/>
                        </wps:spPr>
                        <wps:txbx>
                          <w:txbxContent>
                            <w:p>
                              <w:pPr>
                                <w:pStyle w:val="NormalWeb"/>
                                <w:spacing w:beforeAutospacing="0" w:afterAutospacing="0"/>
                                <w:jc w:val="center"/>
                              </w:pPr>
                              <w:r>
                                <w:rPr>
                                  <w:rFonts w:hint="eastAsia"/>
                                  <w:kern w:val="2"/>
                                  <w:sz w:val="21"/>
                                  <w:szCs w:val="21"/>
                                </w:rPr>
                                <w:t>直播带货的概述</w:t>
                              </w:r>
                            </w:p>
                          </w:txbxContent>
                        </wps:txbx>
                        <wps:bodyPr rot="0" vert="horz" wrap="square" lIns="91440" tIns="45720" rIns="91440" bIns="45720" anchor="ctr" anchorCtr="0" upright="1"/>
                      </wps:wsp>
                      <pic:pic xmlns:pic="http://schemas.openxmlformats.org/drawingml/2006/picture">
                        <pic:nvPicPr>
                          <pic:cNvPr id="10" name="图片 10"/>
                          <pic:cNvPicPr>
                            <a:picLocks noChangeAspect="1"/>
                          </pic:cNvPicPr>
                        </pic:nvPicPr>
                        <pic:blipFill>
                          <a:blip xmlns:r="http://schemas.openxmlformats.org/officeDocument/2006/relationships" r:embed="rId18"/>
                          <a:stretch>
                            <a:fillRect/>
                          </a:stretch>
                        </pic:blipFill>
                        <pic:spPr>
                          <a:xfrm>
                            <a:off x="2517140" y="2087880"/>
                            <a:ext cx="28571" cy="266667"/>
                          </a:xfrm>
                          <a:prstGeom prst="rect">
                            <a:avLst/>
                          </a:prstGeom>
                        </pic:spPr>
                      </pic:pic>
                      <pic:pic xmlns:pic="http://schemas.openxmlformats.org/drawingml/2006/picture">
                        <pic:nvPicPr>
                          <pic:cNvPr id="11" name="图片 11"/>
                          <pic:cNvPicPr>
                            <a:picLocks noChangeAspect="1"/>
                          </pic:cNvPicPr>
                        </pic:nvPicPr>
                        <pic:blipFill>
                          <a:blip xmlns:r="http://schemas.openxmlformats.org/officeDocument/2006/relationships" r:embed="rId19"/>
                          <a:stretch>
                            <a:fillRect/>
                          </a:stretch>
                        </pic:blipFill>
                        <pic:spPr>
                          <a:xfrm>
                            <a:off x="1132500" y="2328840"/>
                            <a:ext cx="3028571" cy="28571"/>
                          </a:xfrm>
                          <a:prstGeom prst="rect">
                            <a:avLst/>
                          </a:prstGeom>
                        </pic:spPr>
                      </pic:pic>
                      <pic:pic xmlns:pic="http://schemas.openxmlformats.org/drawingml/2006/picture">
                        <pic:nvPicPr>
                          <pic:cNvPr id="12" name="图片 12"/>
                          <pic:cNvPicPr>
                            <a:picLocks noChangeAspect="1"/>
                          </pic:cNvPicPr>
                        </pic:nvPicPr>
                        <pic:blipFill>
                          <a:blip xmlns:r="http://schemas.openxmlformats.org/officeDocument/2006/relationships" r:embed="rId20"/>
                          <a:stretch>
                            <a:fillRect/>
                          </a:stretch>
                        </pic:blipFill>
                        <pic:spPr>
                          <a:xfrm>
                            <a:off x="1086780" y="2328840"/>
                            <a:ext cx="123810" cy="247619"/>
                          </a:xfrm>
                          <a:prstGeom prst="rect">
                            <a:avLst/>
                          </a:prstGeom>
                        </pic:spPr>
                      </pic:pic>
                      <pic:pic xmlns:pic="http://schemas.openxmlformats.org/drawingml/2006/picture">
                        <pic:nvPicPr>
                          <pic:cNvPr id="13" name="图片 13"/>
                          <pic:cNvPicPr>
                            <a:picLocks noChangeAspect="1"/>
                          </pic:cNvPicPr>
                        </pic:nvPicPr>
                        <pic:blipFill>
                          <a:blip xmlns:r="http://schemas.openxmlformats.org/officeDocument/2006/relationships" r:embed="rId20"/>
                          <a:stretch>
                            <a:fillRect/>
                          </a:stretch>
                        </pic:blipFill>
                        <pic:spPr>
                          <a:xfrm>
                            <a:off x="4089060" y="2336460"/>
                            <a:ext cx="123810" cy="247619"/>
                          </a:xfrm>
                          <a:prstGeom prst="rect">
                            <a:avLst/>
                          </a:prstGeom>
                        </pic:spPr>
                      </pic:pic>
                      <wps:wsp xmlns:wps="http://schemas.microsoft.com/office/word/2010/wordprocessingShape">
                        <wps:cNvPr id="26" name="矩形 26"/>
                        <wps:cNvSpPr>
                          <a:spLocks noChangeArrowheads="1"/>
                        </wps:cNvSpPr>
                        <wps:spPr bwMode="auto">
                          <a:xfrm>
                            <a:off x="240960" y="2557440"/>
                            <a:ext cx="2115820" cy="385445"/>
                          </a:xfrm>
                          <a:prstGeom prst="rect">
                            <a:avLst/>
                          </a:prstGeom>
                          <a:solidFill>
                            <a:srgbClr val="FFFFFF"/>
                          </a:solidFill>
                          <a:ln w="25400">
                            <a:solidFill>
                              <a:srgbClr val="000000"/>
                            </a:solidFill>
                            <a:round/>
                          </a:ln>
                          <a:effectLst/>
                        </wps:spPr>
                        <wps:txbx>
                          <w:txbxContent>
                            <w:p>
                              <w:pPr>
                                <w:pStyle w:val="NormalWeb"/>
                                <w:spacing w:beforeAutospacing="0" w:afterAutospacing="0"/>
                                <w:jc w:val="center"/>
                              </w:pPr>
                              <w:r>
                                <w:rPr>
                                  <w:rFonts w:hint="eastAsia"/>
                                  <w:kern w:val="2"/>
                                  <w:sz w:val="21"/>
                                  <w:szCs w:val="21"/>
                                </w:rPr>
                                <w:t>发展现状及</w:t>
                              </w:r>
                              <w:r>
                                <w:rPr>
                                  <w:kern w:val="2"/>
                                  <w:sz w:val="21"/>
                                  <w:szCs w:val="21"/>
                                </w:rPr>
                                <w:t>问题</w:t>
                              </w:r>
                            </w:p>
                          </w:txbxContent>
                        </wps:txbx>
                        <wps:bodyPr rot="0" vert="horz" wrap="square" lIns="91440" tIns="45720" rIns="91440" bIns="45720" anchor="ctr" anchorCtr="0" upright="1"/>
                      </wps:wsp>
                      <wps:wsp xmlns:wps="http://schemas.microsoft.com/office/word/2010/wordprocessingShape">
                        <wps:cNvPr id="27" name="矩形 27"/>
                        <wps:cNvSpPr>
                          <a:spLocks noChangeArrowheads="1"/>
                        </wps:cNvSpPr>
                        <wps:spPr bwMode="auto">
                          <a:xfrm>
                            <a:off x="2679360" y="2568839"/>
                            <a:ext cx="2115820" cy="385445"/>
                          </a:xfrm>
                          <a:prstGeom prst="rect">
                            <a:avLst/>
                          </a:prstGeom>
                          <a:solidFill>
                            <a:srgbClr val="FFFFFF"/>
                          </a:solidFill>
                          <a:ln w="25400">
                            <a:solidFill>
                              <a:srgbClr val="000000"/>
                            </a:solidFill>
                            <a:round/>
                          </a:ln>
                          <a:effectLst/>
                        </wps:spPr>
                        <wps:txbx>
                          <w:txbxContent>
                            <w:p>
                              <w:pPr>
                                <w:pStyle w:val="NormalWeb"/>
                                <w:spacing w:beforeAutospacing="0" w:afterAutospacing="0"/>
                                <w:jc w:val="center"/>
                              </w:pPr>
                              <w:r>
                                <w:rPr>
                                  <w:rFonts w:hint="eastAsia"/>
                                  <w:kern w:val="2"/>
                                  <w:sz w:val="21"/>
                                  <w:szCs w:val="21"/>
                                </w:rPr>
                                <w:t>发展对策</w:t>
                              </w:r>
                            </w:p>
                          </w:txbxContent>
                        </wps:txbx>
                        <wps:bodyPr rot="0" vert="horz" wrap="square" lIns="91440" tIns="45720" rIns="91440" bIns="45720" anchor="ctr" anchorCtr="0" upright="1"/>
                      </wps:wsp>
                      <wps:wsp xmlns:wps="http://schemas.microsoft.com/office/word/2010/wordprocessingShape">
                        <wps:cNvPr id="58" name="直接箭头连接符 58"/>
                        <wps:cNvCnPr>
                          <a:cxnSpLocks noChangeShapeType="1"/>
                        </wps:cNvCnPr>
                        <wps:spPr bwMode="auto">
                          <a:xfrm>
                            <a:off x="1863385" y="2954284"/>
                            <a:ext cx="0" cy="256540"/>
                          </a:xfrm>
                          <a:prstGeom prst="straightConnector1">
                            <a:avLst/>
                          </a:prstGeom>
                          <a:noFill/>
                          <a:ln w="9525">
                            <a:solidFill>
                              <a:srgbClr val="000000"/>
                            </a:solidFill>
                            <a:round/>
                            <a:tailEnd type="triangle"/>
                          </a:ln>
                          <a:effectLst/>
                        </wps:spPr>
                        <wps:bodyPr/>
                      </wps:wsp>
                      <pic:pic xmlns:pic="http://schemas.openxmlformats.org/drawingml/2006/picture">
                        <pic:nvPicPr>
                          <pic:cNvPr id="59" name="图片 59"/>
                          <pic:cNvPicPr>
                            <a:picLocks noChangeAspect="1"/>
                          </pic:cNvPicPr>
                        </pic:nvPicPr>
                        <pic:blipFill>
                          <a:blip xmlns:r="http://schemas.openxmlformats.org/officeDocument/2006/relationships" r:embed="rId21"/>
                          <a:stretch>
                            <a:fillRect/>
                          </a:stretch>
                        </pic:blipFill>
                        <pic:spPr>
                          <a:xfrm>
                            <a:off x="751500" y="4878705"/>
                            <a:ext cx="28571" cy="419048"/>
                          </a:xfrm>
                          <a:prstGeom prst="rect">
                            <a:avLst/>
                          </a:prstGeom>
                        </pic:spPr>
                      </pic:pic>
                      <wps:wsp xmlns:wps="http://schemas.microsoft.com/office/word/2010/wordprocessingShape">
                        <wps:cNvPr id="62" name="直接连接符 62"/>
                        <wps:cNvCnPr/>
                        <wps:spPr>
                          <a:xfrm>
                            <a:off x="3931920" y="2987040"/>
                            <a:ext cx="0" cy="2270760"/>
                          </a:xfrm>
                          <a:prstGeom prst="line">
                            <a:avLst/>
                          </a:prstGeom>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63" name="直接连接符 63"/>
                        <wps:cNvCnPr/>
                        <wps:spPr>
                          <a:xfrm flipV="1">
                            <a:off x="763905" y="5257800"/>
                            <a:ext cx="3175635" cy="15240"/>
                          </a:xfrm>
                          <a:prstGeom prst="line">
                            <a:avLst/>
                          </a:prstGeom>
                        </wps:spPr>
                        <wps:style>
                          <a:lnRef idx="1">
                            <a:schemeClr val="dk1"/>
                          </a:lnRef>
                          <a:fillRef idx="0">
                            <a:schemeClr val="dk1"/>
                          </a:fillRef>
                          <a:effectRef idx="0">
                            <a:schemeClr val="dk1"/>
                          </a:effectRef>
                          <a:fontRef idx="minor">
                            <a:schemeClr val="tx1"/>
                          </a:fontRef>
                        </wps:style>
                        <wps:bodyPr/>
                      </wps:wsp>
                    </wpc:wpc>
                  </a:graphicData>
                </a:graphic>
              </wp:anchor>
            </w:drawing>
          </mc:Choice>
          <mc:Fallback>
            <w:pict>
              <v:group id="画布 57" o:spid="_x0000_s1025" editas="canvas" style="width:399.7pt;height:502.8pt;margin-top:13.75pt;margin-left:39.05pt;mso-height-relative:page;mso-position-horizontal-relative:margin;mso-width-relative:page;mso-wrap-distance-left:9pt;mso-wrap-distance-right:9pt;position:absolute;z-index:-251657216" coordsize="5076190,6385560" wrapcoords="5917 0 5917 1547 8917 2191 10538 2191 10457 3222 6323 3222 5998 3286 5998 4575 9241 5284 10538 5284 892 5671 892 7153 10538 7346 5512 7733 4539 7862 4539 8377 1216 8570 892 8635 892 9924 2027 10439 3080 10439 2918 10826 5755 11019 16536 11470 16536 15594 2999 16432 2999 17914 8430 18687 9970 18687 7052 19589 7052 20878 13051 20878 13132 19654 12483 19396 10376 18687 11916 18687 16942 17914 16861 10439 18968 10439 20671 9988 20752 8764 20427 8635 17914 8377 18077 7926 17428 7797 10862 7346 18239 7346 20671 7088 20671 5735 20022 5671 10943 5284 12240 5284 15402 4575 15483 3286 15077 3222 10943 3222 10943 2191 12564 2191 15402 1547 15320 0 5917 0">
                <o:lock v:ext="edit" aspectratio="f"/>
                <v:shape id="画布 57" o:spid="_x0000_s1026" style="width:5076190;height:6385560;position:absolute" coordsize="21600,21600" filled="f" stroked="f">
                  <o:lock v:ext="edit" aspectratio="f"/>
                </v:shape>
                <v:rect id="矩形 50" o:spid="_x0000_s1027" style="width:2133600;height:424815;left:1435100;position:absolute;top:30480;v-text-anchor:middle" coordsize="21600,21600" filled="t" fillcolor="white" stroked="t" strokecolor="black">
                  <v:stroke joinstyle="round"/>
                  <o:lock v:ext="edit" aspectratio="f"/>
                  <v:textbox>
                    <w:txbxContent>
                      <w:p>
                        <w:pPr>
                          <w:jc w:val="center"/>
                        </w:pPr>
                        <w:r>
                          <w:rPr>
                            <w:rFonts w:hint="eastAsia"/>
                          </w:rPr>
                          <w:t>研究背景、意义及内容组织</w:t>
                        </w:r>
                      </w:p>
                    </w:txbxContent>
                  </v:textbox>
                </v:rect>
                <v:rect id="矩形 62" o:spid="_x0000_s1028" style="width:1344295;height:342265;left:1685925;position:absolute;top:5798185;v-text-anchor:middle" coordsize="21600,21600" filled="t" fillcolor="white" stroked="t" strokecolor="black">
                  <v:stroke joinstyle="round"/>
                  <o:lock v:ext="edit" aspectratio="f"/>
                  <v:textbox>
                    <w:txbxContent>
                      <w:p>
                        <w:pPr>
                          <w:pStyle w:val="NormalWeb"/>
                          <w:spacing w:beforeAutospacing="0" w:afterAutospacing="0"/>
                          <w:jc w:val="center"/>
                          <w:rPr>
                            <w:sz w:val="21"/>
                            <w:szCs w:val="21"/>
                          </w:rPr>
                        </w:pPr>
                        <w:r>
                          <w:rPr>
                            <w:rFonts w:hint="eastAsia"/>
                            <w:kern w:val="2"/>
                            <w:sz w:val="21"/>
                            <w:szCs w:val="21"/>
                          </w:rPr>
                          <w:t>研究结论</w:t>
                        </w:r>
                      </w:p>
                    </w:txbxContent>
                  </v:textbox>
                </v:rect>
                <v:shapetype id="_x0000_t32" coordsize="21600,21600" o:spt="32" o:oned="t" path="m,l21600,21600e" filled="f">
                  <v:path arrowok="t" fillok="f" o:connecttype="none"/>
                  <o:lock v:ext="edit" shapetype="t"/>
                </v:shapetype>
                <v:shape id="直接箭头连接符 65" o:spid="_x0000_s1029" type="#_x0000_t32" style="width:805;height:306410;left:2510620;position:absolute;top:1368720" coordsize="21600,21600" filled="f" stroked="t" strokecolor="black">
                  <v:stroke joinstyle="round" endarrow="block"/>
                  <o:lock v:ext="edit" aspectratio="f"/>
                </v:shape>
                <v:shape id="直接箭头连接符 4" o:spid="_x0000_s1030" type="#_x0000_t32" style="width:1270;height:484505;left:2510155;position:absolute;top:475615" coordsize="21600,21600" filled="f" stroked="t" strokecolor="black">
                  <v:stroke joinstyle="round" endarrow="block"/>
                  <o:lock v:ext="edit" aspectratio="f"/>
                </v:shape>
                <v:shape id="直接箭头连接符 80" o:spid="_x0000_s1031" type="#_x0000_t32" style="width:635;height:504190;left:2372995;position:absolute;top:5280660" coordsize="21600,21600" filled="f" stroked="t" strokecolor="black">
                  <v:stroke joinstyle="round" endarrow="block"/>
                  <o:lock v:ext="edit" aspectratio="f"/>
                </v:shape>
                <v:rect id="矩形 53" o:spid="_x0000_s1032" style="width:4545330;height:396875;left:240030;position:absolute;top:1691005;v-text-anchor:middle" coordsize="21600,21600" filled="t" fillcolor="white" stroked="t" strokecolor="black">
                  <v:stroke joinstyle="round"/>
                  <o:lock v:ext="edit" aspectratio="f"/>
                  <v:textbox>
                    <w:txbxContent>
                      <w:p>
                        <w:pPr>
                          <w:jc w:val="center"/>
                          <w:rPr>
                            <w:szCs w:val="21"/>
                          </w:rPr>
                        </w:pPr>
                        <w:r>
                          <w:rPr>
                            <w:rFonts w:hint="eastAsia"/>
                            <w:szCs w:val="21"/>
                          </w:rPr>
                          <w:t>自媒体时代下直播</w:t>
                        </w:r>
                        <w:r>
                          <w:rPr>
                            <w:szCs w:val="21"/>
                          </w:rPr>
                          <w:t>带货</w:t>
                        </w:r>
                        <w:r>
                          <w:rPr>
                            <w:rFonts w:hint="eastAsia"/>
                            <w:szCs w:val="21"/>
                          </w:rPr>
                          <w:t>的发展</w:t>
                        </w:r>
                      </w:p>
                      <w:tbl>
                        <w:tblPr>
                          <w:tblStyle w:val="TableNormal"/>
                          <w:tblW w:w="72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36"/>
                        </w:tblGrid>
                        <w:tr>
                          <w:tblPrEx>
                            <w:tblW w:w="723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99"/>
                          </w:trPr>
                          <w:tc>
                            <w:tcPr>
                              <w:tcW w:w="7236" w:type="dxa"/>
                              <w:tcBorders>
                                <w:top w:val="nil"/>
                                <w:left w:val="nil"/>
                                <w:bottom w:val="single" w:sz="4" w:space="0" w:color="auto"/>
                                <w:right w:val="nil"/>
                              </w:tcBorders>
                              <w:vAlign w:val="bottom"/>
                            </w:tcPr>
                            <w:p>
                              <w:pPr>
                                <w:spacing w:before="312" w:beforeLines="100" w:after="312" w:afterLines="100" w:line="720" w:lineRule="exact"/>
                                <w:jc w:val="center"/>
                                <w:rPr>
                                  <w:rFonts w:ascii="黑体" w:eastAsia="黑体" w:hAnsi="黑体" w:cs="黑体"/>
                                  <w:b/>
                                  <w:bCs/>
                                  <w:color w:val="000000"/>
                                  <w:sz w:val="32"/>
                                  <w:szCs w:val="32"/>
                                </w:rPr>
                              </w:pPr>
                              <w:r>
                                <w:rPr>
                                  <w:rFonts w:ascii="黑体" w:eastAsia="黑体" w:hAnsi="黑体" w:cs="黑体" w:hint="eastAsia"/>
                                  <w:b/>
                                  <w:bCs/>
                                  <w:color w:val="000000"/>
                                  <w:sz w:val="32"/>
                                  <w:szCs w:val="32"/>
                                </w:rPr>
                                <w:t>我国社交电商发展现状与对策分析</w:t>
                              </w:r>
                            </w:p>
                          </w:tc>
                        </w:tr>
                        <w:tr>
                          <w:tblPrEx>
                            <w:tblW w:w="7236" w:type="dxa"/>
                            <w:tblInd w:w="0" w:type="dxa"/>
                            <w:tblLayout w:type="fixed"/>
                            <w:tblCellMar>
                              <w:top w:w="0" w:type="dxa"/>
                              <w:left w:w="108" w:type="dxa"/>
                              <w:bottom w:w="0" w:type="dxa"/>
                              <w:right w:w="108" w:type="dxa"/>
                            </w:tblCellMar>
                          </w:tblPrEx>
                          <w:trPr>
                            <w:trHeight w:val="799"/>
                          </w:trPr>
                          <w:tc>
                            <w:tcPr>
                              <w:tcW w:w="7236" w:type="dxa"/>
                              <w:tcBorders>
                                <w:top w:val="single" w:sz="4" w:space="0" w:color="auto"/>
                                <w:left w:val="nil"/>
                                <w:bottom w:val="single" w:sz="4" w:space="0" w:color="auto"/>
                                <w:right w:val="nil"/>
                              </w:tcBorders>
                              <w:vAlign w:val="bottom"/>
                            </w:tcPr>
                            <w:p>
                              <w:pPr>
                                <w:rPr>
                                  <w:rFonts w:ascii="黑体" w:eastAsia="黑体" w:hAnsi="黑体" w:cs="黑体"/>
                                  <w:sz w:val="32"/>
                                  <w:szCs w:val="32"/>
                                </w:rPr>
                              </w:pPr>
                              <w:r>
                                <w:rPr>
                                  <w:rFonts w:ascii="黑体" w:eastAsia="黑体" w:hAnsi="黑体" w:cs="黑体" w:hint="eastAsia"/>
                                  <w:b/>
                                  <w:bCs/>
                                  <w:color w:val="000000"/>
                                  <w:sz w:val="32"/>
                                  <w:szCs w:val="32"/>
                                </w:rPr>
                                <w:t>--以拼多多为例</w:t>
                              </w:r>
                            </w:p>
                          </w:tc>
                        </w:tr>
                      </w:tbl>
                      <w:p>
                        <w:pPr>
                          <w:jc w:val="center"/>
                        </w:pPr>
                      </w:p>
                    </w:txbxContent>
                  </v:textbox>
                </v:rect>
                <v:shape id="_x0000_s1026" o:spid="_x0000_s1033" type="#_x0000_t32" style="width:0;height:256540;left:763905;position:absolute;top:2941320" coordsize="21600,21600" filled="f" stroked="t" strokecolor="black">
                  <v:stroke joinstyle="round" endarrow="block"/>
                  <o:lock v:ext="edit" aspectratio="f"/>
                </v:shape>
                <v:rect id="_x0000_s1026" o:spid="_x0000_s1034" style="width:2116160;height:385740;left:1452540;position:absolute;top:975360;v-text-anchor:middle" coordsize="21600,21600" filled="t" fillcolor="white" stroked="t" strokecolor="black">
                  <v:stroke joinstyle="round"/>
                  <o:lock v:ext="edit" aspectratio="f"/>
                  <v:textbox>
                    <w:txbxContent>
                      <w:p>
                        <w:pPr>
                          <w:pStyle w:val="NormalWeb"/>
                          <w:spacing w:beforeAutospacing="0" w:afterAutospacing="0"/>
                          <w:jc w:val="center"/>
                        </w:pPr>
                        <w:r>
                          <w:rPr>
                            <w:rFonts w:hint="eastAsia"/>
                            <w:kern w:val="2"/>
                            <w:sz w:val="21"/>
                            <w:szCs w:val="21"/>
                          </w:rPr>
                          <w:t>直播带货的概述</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o:spid="_x0000_s1035" type="#_x0000_t75" style="width:28571;height:266667;left:2517140;position:absolute;top:2087880" coordsize="21600,21600" o:preferrelative="t" filled="f" stroked="f">
                  <v:imagedata r:id="rId18" o:title=""/>
                  <o:lock v:ext="edit" aspectratio="t"/>
                </v:shape>
                <v:shape id="_x0000_s1026" o:spid="_x0000_s1036" type="#_x0000_t75" style="width:3028571;height:28571;left:1132500;position:absolute;top:2328840" coordsize="21600,21600" o:preferrelative="t" filled="f" stroked="f">
                  <v:imagedata r:id="rId19" o:title=""/>
                  <o:lock v:ext="edit" aspectratio="t"/>
                </v:shape>
                <v:shape id="_x0000_s1026" o:spid="_x0000_s1037" type="#_x0000_t75" style="width:123810;height:247619;left:1086780;position:absolute;top:2328840" coordsize="21600,21600" o:preferrelative="t" filled="f" stroked="f">
                  <v:imagedata r:id="rId20" o:title=""/>
                  <o:lock v:ext="edit" aspectratio="t"/>
                </v:shape>
                <v:shape id="_x0000_s1026" o:spid="_x0000_s1038" type="#_x0000_t75" style="width:123810;height:247619;left:4089060;position:absolute;top:2336460" coordsize="21600,21600" o:preferrelative="t" filled="f" stroked="f">
                  <v:imagedata r:id="rId20" o:title=""/>
                  <o:lock v:ext="edit" aspectratio="t"/>
                </v:shape>
                <v:rect id="_x0000_s1026" o:spid="_x0000_s1039" style="width:2115820;height:385445;left:240960;position:absolute;top:2557440;v-text-anchor:middle" coordsize="21600,21600" filled="t" fillcolor="white" stroked="t" strokecolor="black">
                  <v:stroke joinstyle="round"/>
                  <o:lock v:ext="edit" aspectratio="f"/>
                  <v:textbox>
                    <w:txbxContent>
                      <w:p>
                        <w:pPr>
                          <w:pStyle w:val="NormalWeb"/>
                          <w:spacing w:beforeAutospacing="0" w:afterAutospacing="0"/>
                          <w:jc w:val="center"/>
                        </w:pPr>
                        <w:r>
                          <w:rPr>
                            <w:rFonts w:hint="eastAsia"/>
                            <w:kern w:val="2"/>
                            <w:sz w:val="21"/>
                            <w:szCs w:val="21"/>
                          </w:rPr>
                          <w:t>发展现状及</w:t>
                        </w:r>
                        <w:r>
                          <w:rPr>
                            <w:kern w:val="2"/>
                            <w:sz w:val="21"/>
                            <w:szCs w:val="21"/>
                          </w:rPr>
                          <w:t>问题</w:t>
                        </w:r>
                      </w:p>
                    </w:txbxContent>
                  </v:textbox>
                </v:rect>
                <v:rect id="_x0000_s1026" o:spid="_x0000_s1040" style="width:2115820;height:385445;left:2679360;position:absolute;top:2568839;v-text-anchor:middle" coordsize="21600,21600" filled="t" fillcolor="white" stroked="t" strokecolor="black">
                  <v:stroke joinstyle="round"/>
                  <o:lock v:ext="edit" aspectratio="f"/>
                  <v:textbox>
                    <w:txbxContent>
                      <w:p>
                        <w:pPr>
                          <w:pStyle w:val="NormalWeb"/>
                          <w:spacing w:beforeAutospacing="0" w:afterAutospacing="0"/>
                          <w:jc w:val="center"/>
                        </w:pPr>
                        <w:r>
                          <w:rPr>
                            <w:rFonts w:hint="eastAsia"/>
                            <w:kern w:val="2"/>
                            <w:sz w:val="21"/>
                            <w:szCs w:val="21"/>
                          </w:rPr>
                          <w:t>发展对策</w:t>
                        </w:r>
                      </w:p>
                    </w:txbxContent>
                  </v:textbox>
                </v:rect>
                <v:shape id="_x0000_s1026" o:spid="_x0000_s1041" type="#_x0000_t32" style="width:0;height:256540;left:1863385;position:absolute;top:2954284" coordsize="21600,21600" filled="f" stroked="t" strokecolor="black">
                  <v:stroke joinstyle="round" endarrow="block"/>
                  <o:lock v:ext="edit" aspectratio="f"/>
                </v:shape>
                <v:shape id="_x0000_s1026" o:spid="_x0000_s1042" type="#_x0000_t75" style="width:28571;height:419048;left:751500;position:absolute;top:4878705" coordsize="21600,21600" o:preferrelative="t" filled="f" stroked="f">
                  <v:imagedata r:id="rId21" o:title=""/>
                  <o:lock v:ext="edit" aspectratio="t"/>
                </v:shape>
                <v:line id="_x0000_s1026" o:spid="_x0000_s1043" style="position:absolute" from="3931920,2987040" to="3931920,5257800" coordsize="21600,21600" stroked="t" strokecolor="black">
                  <v:stroke joinstyle="miter"/>
                  <o:lock v:ext="edit" aspectratio="f"/>
                </v:line>
                <v:line id="_x0000_s1026" o:spid="_x0000_s1044" style="flip:y;position:absolute" from="763905,5257800" to="3939540,5273040" coordsize="21600,21600" stroked="t" strokecolor="black">
                  <v:stroke joinstyle="miter"/>
                  <o:lock v:ext="edit" aspectratio="f"/>
                </v:line>
                <w10:wrap type="tight"/>
              </v:group>
            </w:pict>
          </mc:Fallback>
        </mc:AlternateContent>
      </w:r>
      <w:r>
        <w:rPr>
          <w:rFonts w:ascii="宋体" w:eastAsia="宋体" w:cs="宋体"/>
          <w:kern w:val="0"/>
          <w:sz w:val="24"/>
          <w:szCs w:val="24"/>
        </w:rPr>
        <mc:AlternateContent>
          <mc:Choice Requires="wps">
            <w:drawing>
              <wp:anchor distT="0" distB="0" distL="114300" distR="114300" simplePos="0" relativeHeight="251661312" behindDoc="0" locked="0" layoutInCell="1" allowOverlap="1">
                <wp:simplePos x="0" y="0"/>
                <wp:positionH relativeFrom="column">
                  <wp:posOffset>1097915</wp:posOffset>
                </wp:positionH>
                <wp:positionV relativeFrom="paragraph">
                  <wp:posOffset>3359785</wp:posOffset>
                </wp:positionV>
                <wp:extent cx="371475" cy="1655445"/>
                <wp:effectExtent l="0" t="0" r="28575" b="20955"/>
                <wp:wrapNone/>
                <wp:docPr id="41" name="矩形 41"/>
                <wp:cNvGraphicFramePr/>
                <a:graphic xmlns:a="http://schemas.openxmlformats.org/drawingml/2006/main">
                  <a:graphicData uri="http://schemas.microsoft.com/office/word/2010/wordprocessingShape">
                    <wps:wsp xmlns:wps="http://schemas.microsoft.com/office/word/2010/wordprocessingShape">
                      <wps:cNvSpPr/>
                      <wps:spPr>
                        <a:xfrm>
                          <a:off x="0" y="0"/>
                          <a:ext cx="371475" cy="1655445"/>
                        </a:xfrm>
                        <a:prstGeom prst="rect">
                          <a:avLst/>
                        </a:prstGeom>
                        <a:solidFill>
                          <a:srgbClr val="FFFFFF"/>
                        </a:solidFill>
                        <a:ln w="25400">
                          <a:solidFill>
                            <a:srgbClr val="000000"/>
                          </a:solidFill>
                          <a:prstDash val="solid"/>
                        </a:ln>
                      </wps:spPr>
                      <wps:txbx>
                        <w:txbxContent>
                          <w:p>
                            <w:pPr>
                              <w:pStyle w:val="NormalWeb"/>
                              <w:jc w:val="center"/>
                            </w:pPr>
                            <w:r>
                              <w:rPr>
                                <w:rFonts w:ascii="宋体" w:hAnsi="宋体" w:cs="宋体" w:hint="eastAsia"/>
                                <w:sz w:val="21"/>
                                <w:szCs w:val="21"/>
                              </w:rPr>
                              <w:t>直播带货</w:t>
                            </w:r>
                            <w:r>
                              <w:rPr>
                                <w:rFonts w:ascii="宋体" w:hAnsi="宋体" w:cs="宋体"/>
                                <w:sz w:val="21"/>
                                <w:szCs w:val="21"/>
                              </w:rPr>
                              <w:t>发</w:t>
                            </w:r>
                            <w:r>
                              <w:rPr>
                                <w:rFonts w:ascii="宋体" w:hAnsi="宋体" w:cs="宋体" w:hint="eastAsia"/>
                                <w:sz w:val="21"/>
                                <w:szCs w:val="21"/>
                              </w:rPr>
                              <w:t>展现状</w:t>
                            </w:r>
                          </w:p>
                        </w:txbxContent>
                      </wps:txbx>
                      <wps:bodyPr rot="0" spcFirstLastPara="0" vert="eaVert" wrap="square" lIns="91440" tIns="45720" rIns="91440" bIns="45720" numCol="1" spcCol="0" rtlCol="0" fromWordArt="0" anchor="ctr" anchorCtr="0" forceAA="0" compatLnSpc="1"/>
                    </wps:wsp>
                  </a:graphicData>
                </a:graphic>
              </wp:anchor>
            </w:drawing>
          </mc:Choice>
          <mc:Fallback>
            <w:pict>
              <v:shapetype id="_x0000_t202" coordsize="21600,21600" o:spt="202" path="m,l,21600r21600,l21600,xe">
                <v:stroke joinstyle="miter"/>
                <v:path gradientshapeok="t" o:connecttype="rect"/>
              </v:shapetype>
              <v:shape id="矩形 41" o:spid="_x0000_s1045" type="#_x0000_t202" style="width:29.25pt;height:130.35pt;margin-top:264.55pt;margin-left:86.45pt;mso-wrap-distance-bottom:0;mso-wrap-distance-left:9pt;mso-wrap-distance-right:9pt;mso-wrap-distance-top:0;position:absolute;v-text-anchor:middle;z-index:251660288" fillcolor="white" stroked="t" strokecolor="black" strokeweight="2pt">
                <v:textbox style="layout-flow:vertical-ideographic">
                  <w:txbxContent>
                    <w:p>
                      <w:pPr>
                        <w:pStyle w:val="NormalWeb"/>
                        <w:jc w:val="center"/>
                      </w:pPr>
                      <w:r>
                        <w:rPr>
                          <w:rFonts w:ascii="宋体" w:hAnsi="宋体" w:cs="宋体" w:hint="eastAsia"/>
                          <w:sz w:val="21"/>
                          <w:szCs w:val="21"/>
                        </w:rPr>
                        <w:t>直播带货</w:t>
                      </w:r>
                      <w:r>
                        <w:rPr>
                          <w:rFonts w:ascii="宋体" w:hAnsi="宋体" w:cs="宋体"/>
                          <w:sz w:val="21"/>
                          <w:szCs w:val="21"/>
                        </w:rPr>
                        <w:t>发</w:t>
                      </w:r>
                      <w:r>
                        <w:rPr>
                          <w:rFonts w:ascii="宋体" w:hAnsi="宋体" w:cs="宋体" w:hint="eastAsia"/>
                          <w:sz w:val="21"/>
                          <w:szCs w:val="21"/>
                        </w:rPr>
                        <w:t>展现状</w:t>
                      </w:r>
                    </w:p>
                  </w:txbxContent>
                </v:textbox>
              </v:shape>
            </w:pict>
          </mc:Fallback>
        </mc:AlternateContent>
      </w:r>
      <w:r>
        <w:rPr>
          <w:rFonts w:ascii="宋体" w:eastAsia="宋体" w:cs="宋体"/>
          <w:kern w:val="0"/>
          <w:sz w:val="24"/>
          <w:szCs w:val="24"/>
        </w:rPr>
        <mc:AlternateContent>
          <mc:Choice Requires="wps">
            <w:drawing>
              <wp:anchor distT="0" distB="0" distL="114300" distR="114300" simplePos="0" relativeHeight="251663360" behindDoc="0" locked="0" layoutInCell="1" allowOverlap="1">
                <wp:simplePos x="0" y="0"/>
                <wp:positionH relativeFrom="column">
                  <wp:posOffset>2218055</wp:posOffset>
                </wp:positionH>
                <wp:positionV relativeFrom="paragraph">
                  <wp:posOffset>3375025</wp:posOffset>
                </wp:positionV>
                <wp:extent cx="371475" cy="1655445"/>
                <wp:effectExtent l="0" t="0" r="28575" b="20955"/>
                <wp:wrapNone/>
                <wp:docPr id="44" name="矩形 44"/>
                <wp:cNvGraphicFramePr/>
                <a:graphic xmlns:a="http://schemas.openxmlformats.org/drawingml/2006/main">
                  <a:graphicData uri="http://schemas.microsoft.com/office/word/2010/wordprocessingShape">
                    <wps:wsp xmlns:wps="http://schemas.microsoft.com/office/word/2010/wordprocessingShape">
                      <wps:cNvSpPr/>
                      <wps:spPr>
                        <a:xfrm>
                          <a:off x="0" y="0"/>
                          <a:ext cx="371475" cy="1655445"/>
                        </a:xfrm>
                        <a:prstGeom prst="rect">
                          <a:avLst/>
                        </a:prstGeom>
                        <a:solidFill>
                          <a:srgbClr val="FFFFFF"/>
                        </a:solidFill>
                        <a:ln w="25400">
                          <a:solidFill>
                            <a:srgbClr val="000000"/>
                          </a:solidFill>
                          <a:prstDash val="solid"/>
                        </a:ln>
                      </wps:spPr>
                      <wps:txbx>
                        <w:txbxContent>
                          <w:p>
                            <w:pPr>
                              <w:pStyle w:val="NormalWeb"/>
                              <w:jc w:val="center"/>
                            </w:pPr>
                            <w:r>
                              <w:rPr>
                                <w:rFonts w:ascii="宋体" w:hAnsi="宋体" w:cs="宋体" w:hint="eastAsia"/>
                                <w:sz w:val="21"/>
                                <w:szCs w:val="21"/>
                              </w:rPr>
                              <w:t>直播</w:t>
                            </w:r>
                            <w:r>
                              <w:rPr>
                                <w:rFonts w:ascii="宋体" w:hAnsi="宋体" w:cs="宋体"/>
                                <w:sz w:val="21"/>
                                <w:szCs w:val="21"/>
                              </w:rPr>
                              <w:t>带货</w:t>
                            </w:r>
                            <w:r>
                              <w:rPr>
                                <w:rFonts w:ascii="宋体" w:hAnsi="宋体" w:cs="宋体" w:hint="eastAsia"/>
                                <w:sz w:val="21"/>
                                <w:szCs w:val="21"/>
                              </w:rPr>
                              <w:t>存在问题</w:t>
                            </w:r>
                          </w:p>
                        </w:txbxContent>
                      </wps:txbx>
                      <wps:bodyPr rot="0" spcFirstLastPara="0" vert="eaVert" wrap="square" lIns="91440" tIns="45720" rIns="91440" bIns="45720" numCol="1" spcCol="0" rtlCol="0" fromWordArt="0" anchor="ctr" anchorCtr="0" forceAA="0" compatLnSpc="1"/>
                    </wps:wsp>
                  </a:graphicData>
                </a:graphic>
              </wp:anchor>
            </w:drawing>
          </mc:Choice>
          <mc:Fallback>
            <w:pict>
              <v:shape id="矩形 44" o:spid="_x0000_s1046" type="#_x0000_t202" style="width:29.25pt;height:130.35pt;margin-top:265.75pt;margin-left:174.65pt;mso-wrap-distance-bottom:0;mso-wrap-distance-left:9pt;mso-wrap-distance-right:9pt;mso-wrap-distance-top:0;position:absolute;v-text-anchor:middle;z-index:251662336" fillcolor="white" stroked="t" strokecolor="black" strokeweight="2pt">
                <v:textbox style="layout-flow:vertical-ideographic">
                  <w:txbxContent>
                    <w:p>
                      <w:pPr>
                        <w:pStyle w:val="NormalWeb"/>
                        <w:jc w:val="center"/>
                      </w:pPr>
                      <w:r>
                        <w:rPr>
                          <w:rFonts w:ascii="宋体" w:hAnsi="宋体" w:cs="宋体" w:hint="eastAsia"/>
                          <w:sz w:val="21"/>
                          <w:szCs w:val="21"/>
                        </w:rPr>
                        <w:t>直播</w:t>
                      </w:r>
                      <w:r>
                        <w:rPr>
                          <w:rFonts w:ascii="宋体" w:hAnsi="宋体" w:cs="宋体"/>
                          <w:sz w:val="21"/>
                          <w:szCs w:val="21"/>
                        </w:rPr>
                        <w:t>带货</w:t>
                      </w:r>
                      <w:r>
                        <w:rPr>
                          <w:rFonts w:ascii="宋体" w:hAnsi="宋体" w:cs="宋体" w:hint="eastAsia"/>
                          <w:sz w:val="21"/>
                          <w:szCs w:val="21"/>
                        </w:rPr>
                        <w:t>存在问题</w:t>
                      </w:r>
                    </w:p>
                  </w:txbxContent>
                </v:textbox>
              </v:shape>
            </w:pict>
          </mc:Fallback>
        </mc:AlternateContent>
      </w:r>
      <w:r>
        <w:rPr>
          <w:rFonts w:ascii="宋体" w:eastAsia="宋体" w:cs="宋体"/>
          <w:kern w:val="0"/>
          <w:sz w:val="24"/>
          <w:szCs w:val="24"/>
        </w:rPr>
        <mc:AlternateContent>
          <mc:Choice Requires="wps">
            <w:drawing>
              <wp:anchor distT="0" distB="0" distL="114300" distR="114300" simplePos="0" relativeHeight="251665408" behindDoc="0" locked="0" layoutInCell="1" allowOverlap="1">
                <wp:simplePos x="0" y="0"/>
                <wp:positionH relativeFrom="column">
                  <wp:posOffset>2408555</wp:posOffset>
                </wp:positionH>
                <wp:positionV relativeFrom="paragraph">
                  <wp:posOffset>5057140</wp:posOffset>
                </wp:positionV>
                <wp:extent cx="0" cy="391795"/>
                <wp:effectExtent l="0" t="0" r="19050" b="27305"/>
                <wp:wrapNone/>
                <wp:docPr id="73" name="直接连接符 73"/>
                <wp:cNvGraphicFramePr/>
                <a:graphic xmlns:a="http://schemas.openxmlformats.org/drawingml/2006/main">
                  <a:graphicData uri="http://schemas.microsoft.com/office/word/2010/wordprocessingShape">
                    <wps:wsp xmlns:wps="http://schemas.microsoft.com/office/word/2010/wordprocessingShape">
                      <wps:cNvCnPr/>
                      <wps:spPr>
                        <a:xfrm>
                          <a:off x="0" y="0"/>
                          <a:ext cx="0" cy="391795"/>
                        </a:xfrm>
                        <a:prstGeom prst="line">
                          <a:avLst/>
                        </a:prstGeom>
                        <a:noFill/>
                        <a:ln w="9525">
                          <a:solidFill>
                            <a:srgbClr val="000000">
                              <a:shade val="95000"/>
                              <a:satMod val="105000"/>
                            </a:srgbClr>
                          </a:solidFill>
                          <a:prstDash val="solid"/>
                        </a:ln>
                      </wps:spPr>
                      <wps:bodyPr/>
                    </wps:wsp>
                  </a:graphicData>
                </a:graphic>
              </wp:anchor>
            </w:drawing>
          </mc:Choice>
          <mc:Fallback>
            <w:pict>
              <v:line id="直接连接符 73" o:spid="_x0000_s1047" style="mso-wrap-distance-bottom:0;mso-wrap-distance-left:9pt;mso-wrap-distance-right:9pt;mso-wrap-distance-top:0;position:absolute;v-text-anchor:top;z-index:251664384" from="189.65pt,398.2pt" to="189.65pt,429.05pt" fillcolor="this" stroked="t" strokecolor="black" strokeweight="0.75pt"/>
            </w:pict>
          </mc:Fallback>
        </mc:AlternateContent>
      </w:r>
    </w:p>
    <w:p>
      <w:pPr>
        <w:pStyle w:val="Heading1"/>
        <w:spacing w:before="312" w:after="312"/>
        <w:rPr>
          <w:rFonts w:hAnsi="黑体"/>
        </w:rPr>
      </w:pPr>
      <w:bookmarkStart w:id="20" w:name="_Toc257281445"/>
      <w:r>
        <w:rPr>
          <w:rFonts w:hAnsi="黑体" w:hint="eastAsia"/>
        </w:rPr>
        <w:t>第2章</w:t>
      </w:r>
      <w:bookmarkEnd w:id="16"/>
      <w:bookmarkEnd w:id="17"/>
      <w:bookmarkEnd w:id="20"/>
      <w:r>
        <w:rPr>
          <w:rFonts w:hAnsi="黑体"/>
        </w:rPr>
        <w:t xml:space="preserve"> </w:t>
      </w:r>
      <w:r>
        <w:rPr>
          <w:rFonts w:hAnsi="黑体" w:hint="eastAsia"/>
        </w:rPr>
        <w:t>直播带货的概述</w:t>
      </w:r>
      <w:bookmarkEnd w:id="19"/>
    </w:p>
    <w:bookmarkEnd w:id="18"/>
    <w:p>
      <w:pPr>
        <w:pStyle w:val="Heading2"/>
        <w:spacing w:before="312" w:after="312"/>
      </w:pPr>
      <w:bookmarkStart w:id="21" w:name="_Toc170396538"/>
      <w:bookmarkStart w:id="22" w:name="_Toc170442327"/>
      <w:bookmarkStart w:id="23" w:name="_Toc168504506"/>
      <w:bookmarkStart w:id="24" w:name="_Toc65496025"/>
      <w:bookmarkStart w:id="25" w:name="_Toc168504525"/>
      <w:r>
        <w:rPr>
          <w:rFonts w:hint="eastAsia"/>
        </w:rPr>
        <w:t xml:space="preserve">2.1 </w:t>
      </w:r>
      <w:bookmarkEnd w:id="21"/>
      <w:bookmarkEnd w:id="22"/>
      <w:bookmarkEnd w:id="23"/>
      <w:r>
        <w:rPr>
          <w:rFonts w:hint="eastAsia"/>
        </w:rPr>
        <w:t>直播带货</w:t>
      </w:r>
      <w:r>
        <w:t>的</w:t>
      </w:r>
      <w:r>
        <w:rPr>
          <w:rFonts w:hint="eastAsia"/>
        </w:rPr>
        <w:t>含义</w:t>
      </w:r>
      <w:bookmarkEnd w:id="24"/>
    </w:p>
    <w:p>
      <w:pPr>
        <w:spacing w:line="400" w:lineRule="exact"/>
        <w:ind w:firstLine="480" w:firstLineChars="200"/>
        <w:rPr>
          <w:sz w:val="24"/>
        </w:rPr>
      </w:pPr>
      <w:bookmarkStart w:id="26" w:name="_Toc170396539"/>
      <w:bookmarkStart w:id="27" w:name="_Toc168504509"/>
      <w:bookmarkStart w:id="28" w:name="_Toc170442328"/>
      <w:r>
        <w:rPr>
          <w:rFonts w:hint="eastAsia"/>
          <w:sz w:val="24"/>
        </w:rPr>
        <w:t>直播带货是利用互联网以直播的方式销售商品的一种现代经济现象。这里的商品不仅包括实体商品，还包括了虚拟商品。自媒体时代下，这是一种新型的销售服务方式。商家们主要通过互联网平台，将需要销售的商品面向观众进行近距离的展示，在直播的同时回复观众对产品的咨询，这样的方式依托了互联网技术。直播带货大多由商家自主开设商品直播间，或者聘请职业主播来对商品进行集合推广。从根本上来说，它把“直播”与“电商”结合在了一起，从而使得消费者可以很直观地通过收看主播的推荐和展示和其他直播主体的互动来判断商品价值，因而，直播带货给予消费者一种专业导购式的体验，与传统电商相比，大大提高了商品销售的互动性和亲和力。此外，“直播带货”往往能把商品价格压得很低，因为它一定程度上绕过了大部分传统的经销渠道，直接实现将商品与消费者进行对接。</w:t>
      </w:r>
    </w:p>
    <w:p>
      <w:pPr>
        <w:pStyle w:val="Heading2"/>
        <w:spacing w:before="312" w:after="312"/>
      </w:pPr>
      <w:bookmarkStart w:id="29" w:name="_Toc65496026"/>
      <w:r>
        <w:rPr>
          <w:rFonts w:hint="eastAsia"/>
        </w:rPr>
        <w:t xml:space="preserve">2.2 </w:t>
      </w:r>
      <w:bookmarkEnd w:id="26"/>
      <w:bookmarkEnd w:id="27"/>
      <w:bookmarkEnd w:id="28"/>
      <w:r>
        <w:rPr>
          <w:rFonts w:hint="eastAsia"/>
        </w:rPr>
        <w:t>直播带货的模式</w:t>
      </w:r>
      <w:bookmarkEnd w:id="29"/>
    </w:p>
    <w:p>
      <w:pPr>
        <w:spacing w:line="400" w:lineRule="exact"/>
        <w:ind w:firstLine="480" w:firstLineChars="200"/>
        <w:jc w:val="left"/>
        <w:rPr>
          <w:sz w:val="24"/>
        </w:rPr>
      </w:pPr>
      <w:bookmarkStart w:id="30" w:name="_Toc170442329"/>
      <w:bookmarkStart w:id="31" w:name="_Toc170396540"/>
      <w:bookmarkStart w:id="32" w:name="_Toc168504510"/>
      <w:r>
        <w:rPr>
          <w:rFonts w:hint="eastAsia"/>
          <w:sz w:val="24"/>
        </w:rPr>
        <w:t>当今社会，越来越多的人开始接受线上购物，传统的搜索、购买模式已经不能满足消费者日渐增长的线上购物需求，行业模式开始向“逛”转变——即不再以明确的消费目标为导向，而是更倾向于商家、带货博主输出的商品信息内容以及其中所蕴含的消费理念。现如今，网络上各个规模较大的直播带货平台的推广和销售体系已经日臻完善，消费者们更是开始追求更优越的购物体验和更加丰富多样化的内容分享和产品展示，不再只是着眼于网购带来的便捷廉价。直播带货这一新兴的商业模式，对于商品的销量，乃至于整个电商店铺的销量的影响非常之大。是当下电商商家们不得不予以重视的一种经济手段。从当下直播企业的商业模式上看，主要有以下三大类：</w:t>
      </w:r>
      <w:r>
        <w:rPr>
          <w:rFonts w:ascii="宋体" w:hAnsi="宋体" w:cs="宋体"/>
          <w:bCs/>
          <w:kern w:val="0"/>
          <w:sz w:val="24"/>
        </w:rPr>
        <w:t>孵化直播团队</w:t>
      </w:r>
      <w:r>
        <w:rPr>
          <w:rFonts w:ascii="宋体" w:hAnsi="宋体" w:cs="宋体" w:hint="eastAsia"/>
          <w:bCs/>
          <w:kern w:val="0"/>
          <w:sz w:val="24"/>
        </w:rPr>
        <w:t>、</w:t>
      </w:r>
      <w:r>
        <w:rPr>
          <w:rFonts w:ascii="宋体" w:hAnsi="宋体" w:cs="宋体"/>
          <w:bCs/>
          <w:kern w:val="0"/>
          <w:sz w:val="24"/>
        </w:rPr>
        <w:t>邀请明星助阵</w:t>
      </w:r>
      <w:r>
        <w:rPr>
          <w:rFonts w:ascii="宋体" w:hAnsi="宋体" w:cs="宋体" w:hint="eastAsia"/>
          <w:bCs/>
          <w:kern w:val="0"/>
          <w:sz w:val="24"/>
        </w:rPr>
        <w:t>以及店铺模式</w:t>
      </w:r>
      <w:r>
        <w:rPr>
          <w:rFonts w:ascii="宋体" w:hAnsi="宋体" w:cs="宋体" w:hint="eastAsia"/>
          <w:bCs/>
          <w:kern w:val="0"/>
          <w:sz w:val="24"/>
          <w:vertAlign w:val="superscript"/>
        </w:rPr>
        <w:t>[2</w:t>
      </w:r>
      <w:r>
        <w:rPr>
          <w:rFonts w:ascii="宋体" w:hAnsi="宋体" w:cs="宋体"/>
          <w:bCs/>
          <w:kern w:val="0"/>
          <w:sz w:val="24"/>
          <w:vertAlign w:val="superscript"/>
        </w:rPr>
        <w:t>]</w:t>
      </w:r>
      <w:r>
        <w:rPr>
          <w:rFonts w:ascii="宋体" w:hAnsi="宋体" w:cs="宋体" w:hint="eastAsia"/>
          <w:bCs/>
          <w:kern w:val="0"/>
          <w:sz w:val="24"/>
        </w:rPr>
        <w:t>。</w:t>
      </w:r>
    </w:p>
    <w:p>
      <w:pPr>
        <w:widowControl/>
        <w:spacing w:line="400" w:lineRule="exact"/>
        <w:ind w:firstLine="480" w:firstLineChars="200"/>
        <w:jc w:val="left"/>
        <w:rPr>
          <w:rFonts w:ascii="宋体" w:hAnsi="宋体" w:cs="宋体"/>
          <w:kern w:val="0"/>
          <w:sz w:val="24"/>
        </w:rPr>
        <w:sectPr>
          <w:headerReference w:type="even" r:id="rId22"/>
          <w:footerReference w:type="even" r:id="rId23"/>
          <w:footerReference w:type="default" r:id="rId24"/>
          <w:headerReference w:type="first" r:id="rId25"/>
          <w:type w:val="nextPage"/>
          <w:pgSz w:w="11906" w:h="16838"/>
          <w:pgMar w:top="1417" w:right="1248" w:bottom="1247" w:left="1247" w:header="851" w:footer="992" w:gutter="0"/>
          <w:pgNumType w:start="4"/>
          <w:cols w:num="1" w:space="720"/>
          <w:titlePg w:val="0"/>
          <w:docGrid w:type="lines" w:linePitch="312" w:charSpace="0"/>
        </w:sectPr>
      </w:pPr>
      <w:r>
        <w:rPr>
          <w:rFonts w:ascii="宋体" w:hAnsi="宋体" w:cs="宋体" w:hint="eastAsia"/>
          <w:bCs/>
          <w:kern w:val="0"/>
          <w:sz w:val="24"/>
        </w:rPr>
        <w:t>（1）</w:t>
      </w:r>
      <w:r>
        <w:rPr>
          <w:rFonts w:ascii="宋体" w:hAnsi="宋体" w:cs="宋体"/>
          <w:bCs/>
          <w:kern w:val="0"/>
          <w:sz w:val="24"/>
        </w:rPr>
        <w:t>孵化直播团队：</w:t>
      </w:r>
      <w:r>
        <w:rPr>
          <w:rFonts w:ascii="宋体" w:hAnsi="宋体" w:cs="宋体" w:hint="eastAsia"/>
          <w:bCs/>
          <w:kern w:val="0"/>
          <w:sz w:val="24"/>
        </w:rPr>
        <w:t>挑选与品牌气质相匹配的潜力主播来培育孵化</w:t>
      </w:r>
      <w:r>
        <w:rPr>
          <w:rFonts w:ascii="宋体" w:hAnsi="宋体" w:cs="宋体" w:hint="eastAsia"/>
          <w:kern w:val="0"/>
          <w:sz w:val="24"/>
        </w:rPr>
        <w:t>，这也就是所谓的达人模式。将主播通过一定的推广手段，打造成为某一领域的关键意见领袖KOL（</w:t>
      </w:r>
      <w:r>
        <w:rPr>
          <w:rFonts w:ascii="宋体" w:hAnsi="宋体" w:cs="Arial"/>
          <w:color w:val="333333"/>
          <w:sz w:val="24"/>
          <w:shd w:val="clear" w:color="auto" w:fill="FFFFFF"/>
        </w:rPr>
        <w:t>Key Opinion Leader</w:t>
      </w:r>
      <w:r>
        <w:rPr>
          <w:rFonts w:ascii="宋体" w:hAnsi="宋体" w:cs="宋体" w:hint="eastAsia"/>
          <w:kern w:val="0"/>
          <w:sz w:val="24"/>
        </w:rPr>
        <w:t>），可以是顾问式的导购，也可以做自己的严选品牌，因为消费者愿意信任这个主播在某领域发布信息的专业度，所以信任他们在这一领域推荐的产品。这种模式主要强调的是“个人IP+直播带货”，它的核心并非产品，而是以博主个人IP为核心，消费者首先相信这位达人，其次才对达人推荐的产品给予足够的信任。当下的李佳琦、薇娅，他们都是属于顶级达人，这类达人的直播销量大幅领先其他主播。2020年3月，李佳琦的整体流量（观看人次）达到4.2亿元，加上淘宝三八节大促效应影响，3月4日至5日凌晨时迎来销售高峰，突破惊人的5200万</w:t>
      </w:r>
      <w:r>
        <w:rPr>
          <w:rFonts w:ascii="宋体" w:hAnsi="宋体" w:cs="宋体" w:hint="eastAsia"/>
          <w:kern w:val="0"/>
          <w:sz w:val="24"/>
          <w:vertAlign w:val="superscript"/>
        </w:rPr>
        <w:t>[</w:t>
      </w:r>
      <w:r>
        <w:rPr>
          <w:rFonts w:ascii="宋体" w:hAnsi="宋体" w:cs="宋体"/>
          <w:kern w:val="0"/>
          <w:sz w:val="24"/>
          <w:vertAlign w:val="superscript"/>
        </w:rPr>
        <w:t>3]</w:t>
      </w:r>
      <w:r>
        <w:rPr>
          <w:rFonts w:ascii="宋体" w:hAnsi="宋体" w:cs="宋体" w:hint="eastAsia"/>
          <w:kern w:val="0"/>
          <w:sz w:val="24"/>
        </w:rPr>
        <w:t>。</w:t>
      </w:r>
    </w:p>
    <w:p>
      <w:pPr>
        <w:widowControl/>
        <w:spacing w:line="400" w:lineRule="exact"/>
        <w:ind w:firstLine="480" w:firstLineChars="200"/>
        <w:jc w:val="left"/>
        <w:rPr>
          <w:rFonts w:ascii="宋体" w:hAnsi="宋体" w:cs="宋体"/>
          <w:kern w:val="0"/>
          <w:sz w:val="24"/>
        </w:rPr>
      </w:pPr>
      <w:r>
        <w:rPr>
          <w:rFonts w:ascii="宋体" w:hAnsi="宋体" w:cs="宋体" w:hint="eastAsia"/>
          <w:bCs/>
          <w:kern w:val="0"/>
          <w:sz w:val="24"/>
        </w:rPr>
        <w:t>（2）</w:t>
      </w:r>
      <w:r>
        <w:rPr>
          <w:rFonts w:ascii="宋体" w:hAnsi="宋体" w:cs="宋体"/>
          <w:bCs/>
          <w:kern w:val="0"/>
          <w:sz w:val="24"/>
        </w:rPr>
        <w:t>邀请</w:t>
      </w:r>
      <w:r>
        <w:rPr>
          <w:rFonts w:ascii="宋体" w:hAnsi="宋体" w:cs="宋体" w:hint="eastAsia"/>
          <w:bCs/>
          <w:kern w:val="0"/>
          <w:sz w:val="24"/>
        </w:rPr>
        <w:t>明星助阵</w:t>
      </w:r>
      <w:r>
        <w:rPr>
          <w:rFonts w:ascii="宋体" w:hAnsi="宋体" w:cs="宋体"/>
          <w:bCs/>
          <w:kern w:val="0"/>
          <w:sz w:val="24"/>
        </w:rPr>
        <w:t>：</w:t>
      </w:r>
      <w:r>
        <w:rPr>
          <w:rFonts w:ascii="宋体" w:hAnsi="宋体" w:cs="宋体" w:hint="eastAsia"/>
          <w:kern w:val="0"/>
          <w:sz w:val="24"/>
        </w:rPr>
        <w:t>明星直播的电商模式，通常来说，作为直播间嘉宾的红人和艺人，像是淘宝直播的刘涛、抖音直播种的罗永浩等，他们本身具有高知名度，消费者在粉丝效应的影响下纷纷前来观看，他们的购买行为其实不一定是真实的购物需要，很大程度上是冲着主播的个人形象等主观因素而为商品买单，这是“粉丝消费”的范畴，这样的模式可以认为是实现了粉丝，商家，主播之间的多方共赢。粉丝收获了低价商品，明星得到曝光度和身价溢价，商家产品得以推广售卖出去，明星的偶像光环再结合直播引导销售语境话术，这不失为直播电商行业的一大闪光点。例如，2019年9月16日，星巴克和淘宝“第一主播”薇娅开展合作，当天晚上直播间里的星巴克产品，销售了整整9万多杯的星冰乐双杯券，3.8万多杯的拿铁电子饮品券，3万多杯橙柚派对双杯券，这相当是于一家销量较大的饮品店约莫五个月的销量</w:t>
      </w:r>
      <w:r>
        <w:rPr>
          <w:rFonts w:ascii="宋体" w:hAnsi="宋体" w:cs="宋体" w:hint="eastAsia"/>
          <w:kern w:val="0"/>
          <w:sz w:val="24"/>
          <w:vertAlign w:val="superscript"/>
        </w:rPr>
        <w:t>[</w:t>
      </w:r>
      <w:r>
        <w:rPr>
          <w:rFonts w:ascii="宋体" w:hAnsi="宋体" w:cs="宋体"/>
          <w:kern w:val="0"/>
          <w:sz w:val="24"/>
          <w:vertAlign w:val="superscript"/>
        </w:rPr>
        <w:t>4]</w:t>
      </w:r>
      <w:r>
        <w:rPr>
          <w:rFonts w:ascii="宋体" w:hAnsi="宋体" w:cs="宋体" w:hint="eastAsia"/>
          <w:kern w:val="0"/>
          <w:sz w:val="24"/>
        </w:rPr>
        <w:t>； 2019年12月12日，高晓松、李佳琦在淘宝公益进行同台直播，为我国一些地区的贫困县农产品带货。当晚，40万斤内蒙古扎赉特大米和5万罐安徽金寨山的核桃在仅仅5秒的时间内销售一空， 12万的袋康保燕麦面花了7秒售空，这场直播预计将带动三地1114户贫困农户共计增收439万元</w:t>
      </w:r>
      <w:r>
        <w:rPr>
          <w:rFonts w:ascii="宋体" w:hAnsi="宋体" w:cs="宋体" w:hint="eastAsia"/>
          <w:kern w:val="0"/>
          <w:sz w:val="24"/>
          <w:vertAlign w:val="superscript"/>
        </w:rPr>
        <w:t>[</w:t>
      </w:r>
      <w:r>
        <w:rPr>
          <w:rFonts w:ascii="宋体" w:hAnsi="宋体" w:cs="宋体"/>
          <w:kern w:val="0"/>
          <w:sz w:val="24"/>
          <w:vertAlign w:val="superscript"/>
        </w:rPr>
        <w:t>5]</w:t>
      </w:r>
      <w:r>
        <w:rPr>
          <w:rFonts w:ascii="宋体" w:hAnsi="宋体" w:cs="宋体" w:hint="eastAsia"/>
          <w:kern w:val="0"/>
          <w:sz w:val="24"/>
        </w:rPr>
        <w:t>。</w:t>
      </w:r>
    </w:p>
    <w:p>
      <w:pPr>
        <w:widowControl/>
        <w:spacing w:line="400" w:lineRule="exact"/>
        <w:ind w:firstLine="480" w:firstLineChars="200"/>
        <w:jc w:val="left"/>
        <w:rPr>
          <w:rFonts w:ascii="宋体" w:hAnsi="宋体" w:cs="宋体"/>
          <w:bCs/>
          <w:kern w:val="0"/>
          <w:sz w:val="24"/>
        </w:rPr>
      </w:pPr>
      <w:r>
        <w:rPr>
          <w:rFonts w:ascii="宋体" w:hAnsi="宋体" w:cs="宋体" w:hint="eastAsia"/>
          <w:bCs/>
          <w:kern w:val="0"/>
          <w:sz w:val="24"/>
        </w:rPr>
        <w:t>（3）店铺销售模式：商家在自己经营的网店里，通过直播的方式来促进自己店铺产品的销售，主播等于是网店产品的宣传人员，直播产品的优惠力度也相对有限，只能算是商家通过直播来介绍店铺产品的一种手段，其核心在于产品本身具有一定特色，能够引起观众的兴趣，再配以主播的渲染介绍，从而实现与买家的交易。电商平台中，特别是淘宝，希望扶持这种模式的“店播”，而不是依赖于流量网红的直播。目前的一些比较知名的官方旗舰店有苏宁易购、美的、苏泊尔等，他们利用品牌本身所具有的口碑效益，凭借多年来展示出良好的产品质量，无需借助网红就可以吸引到大量的原先关注店铺的老客户，或是停留在观望阶段的意向顾客。2020年的双十一活动中，苏宁易购的“电竞之夜”足足吸引了超1.5亿人次观看，直播时的峰值观众数更是达到4000万，这两项数据一举打破了平台的娱乐赛事记录，大批电竞爱好者们在直播室的公屏上发送出“双十一上苏宁”的弹幕，等于是为苏宁做足了广告。从苏宁双十一活动1小时战报中可以看出，电子竞技设备销售增长了325%，流量转化效果可见一斑</w:t>
      </w:r>
      <w:r>
        <w:rPr>
          <w:rFonts w:ascii="宋体" w:hAnsi="宋体" w:cs="宋体" w:hint="eastAsia"/>
          <w:bCs/>
          <w:kern w:val="0"/>
          <w:sz w:val="24"/>
          <w:vertAlign w:val="superscript"/>
        </w:rPr>
        <w:t>[6</w:t>
      </w:r>
      <w:r>
        <w:rPr>
          <w:rFonts w:ascii="宋体" w:hAnsi="宋体" w:cs="宋体"/>
          <w:bCs/>
          <w:kern w:val="0"/>
          <w:sz w:val="24"/>
          <w:vertAlign w:val="superscript"/>
        </w:rPr>
        <w:t>]</w:t>
      </w:r>
      <w:r>
        <w:rPr>
          <w:rFonts w:ascii="宋体" w:hAnsi="宋体" w:cs="宋体" w:hint="eastAsia"/>
          <w:bCs/>
          <w:kern w:val="0"/>
          <w:sz w:val="24"/>
        </w:rPr>
        <w:t>。</w:t>
      </w: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pPr>
    </w:p>
    <w:p>
      <w:pPr>
        <w:widowControl/>
        <w:spacing w:line="400" w:lineRule="exact"/>
        <w:ind w:firstLine="480" w:firstLineChars="200"/>
        <w:jc w:val="left"/>
        <w:rPr>
          <w:rFonts w:ascii="宋体" w:hAnsi="宋体" w:cs="宋体"/>
          <w:bCs/>
          <w:kern w:val="0"/>
          <w:sz w:val="24"/>
        </w:rPr>
        <w:sectPr>
          <w:headerReference w:type="even" r:id="rId26"/>
          <w:footerReference w:type="even" r:id="rId27"/>
          <w:footerReference w:type="default" r:id="rId28"/>
          <w:headerReference w:type="first" r:id="rId29"/>
          <w:type w:val="nextPage"/>
          <w:pgSz w:w="11906" w:h="16838"/>
          <w:pgMar w:top="1417" w:right="1248" w:bottom="1247" w:left="1247" w:header="851" w:footer="992" w:gutter="0"/>
          <w:pgNumType w:start="5"/>
          <w:cols w:num="1" w:space="720"/>
          <w:titlePg w:val="0"/>
          <w:docGrid w:type="lines" w:linePitch="312" w:charSpace="0"/>
        </w:sectPr>
      </w:pPr>
    </w:p>
    <w:p>
      <w:pPr>
        <w:widowControl/>
        <w:spacing w:before="312" w:beforeLines="100" w:after="312" w:afterLines="100" w:line="720" w:lineRule="exact"/>
        <w:jc w:val="center"/>
        <w:outlineLvl w:val="0"/>
        <w:rPr>
          <w:rFonts w:ascii="黑体" w:eastAsia="黑体" w:hAnsi="黑体" w:cs="宋体"/>
          <w:kern w:val="0"/>
          <w:sz w:val="36"/>
          <w:szCs w:val="36"/>
        </w:rPr>
      </w:pPr>
      <w:bookmarkStart w:id="33" w:name="_Toc65496027"/>
      <w:r>
        <w:rPr>
          <w:rFonts w:ascii="黑体" w:eastAsia="黑体" w:hAnsi="黑体" w:hint="eastAsia"/>
          <w:sz w:val="36"/>
          <w:szCs w:val="36"/>
        </w:rPr>
        <w:t>第3章  自媒体时代下直播带货的发展现状及问题</w:t>
      </w:r>
      <w:bookmarkEnd w:id="33"/>
    </w:p>
    <w:p>
      <w:pPr>
        <w:pStyle w:val="Heading2"/>
        <w:spacing w:before="312" w:after="312"/>
        <w:rPr>
          <w:rFonts w:ascii="宋体"/>
          <w:szCs w:val="21"/>
        </w:rPr>
      </w:pPr>
      <w:bookmarkStart w:id="34" w:name="_Toc65496028"/>
      <w:r>
        <w:rPr>
          <w:rFonts w:hint="eastAsia"/>
        </w:rPr>
        <w:t xml:space="preserve">3.1 </w:t>
      </w:r>
      <w:r>
        <w:rPr>
          <w:rFonts w:ascii="宋体" w:hint="eastAsia"/>
          <w:szCs w:val="21"/>
        </w:rPr>
        <w:t>自媒体时代下直播带货的发展现状</w:t>
      </w:r>
      <w:bookmarkEnd w:id="34"/>
    </w:p>
    <w:p>
      <w:pPr>
        <w:pStyle w:val="Heading3"/>
        <w:spacing w:before="312" w:after="312"/>
        <w:rPr>
          <w:rFonts w:hAnsi="黑体"/>
        </w:rPr>
      </w:pPr>
      <w:bookmarkStart w:id="35" w:name="_Toc65496029"/>
      <w:r>
        <w:rPr>
          <w:rFonts w:hAnsi="黑体"/>
        </w:rPr>
        <w:t xml:space="preserve">3.1.1 </w:t>
      </w:r>
      <w:r>
        <w:rPr>
          <w:rFonts w:hAnsi="黑体" w:hint="eastAsia"/>
        </w:rPr>
        <w:t>自媒体时代下直播带货</w:t>
      </w:r>
      <w:r>
        <w:rPr>
          <w:rFonts w:hAnsi="黑体"/>
        </w:rPr>
        <w:t>的发展历程</w:t>
      </w:r>
      <w:bookmarkEnd w:id="35"/>
    </w:p>
    <w:bookmarkEnd w:id="25"/>
    <w:bookmarkEnd w:id="30"/>
    <w:bookmarkEnd w:id="31"/>
    <w:bookmarkEnd w:id="32"/>
    <w:p>
      <w:pPr>
        <w:spacing w:line="400" w:lineRule="exact"/>
        <w:ind w:firstLine="480" w:firstLineChars="200"/>
        <w:rPr>
          <w:rFonts w:ascii="宋体" w:hAnsi="宋体"/>
          <w:sz w:val="24"/>
        </w:rPr>
      </w:pPr>
      <w:bookmarkStart w:id="36" w:name="_Toc170396545"/>
      <w:bookmarkStart w:id="37" w:name="_Toc170442334"/>
      <w:r>
        <w:rPr>
          <w:rFonts w:ascii="宋体" w:hAnsi="宋体" w:hint="eastAsia"/>
          <w:sz w:val="24"/>
        </w:rPr>
        <w:t>早在2016年，国内直播带货就已经开始走进人们的视野，行业经过了4年的成长，经历了从探索到慢慢扩张的几个时期，今后还会朝着更加成熟的形态持续发展下去。得益于互联网技术的日新月异，消费者可以享受到比传统购物模式更加直观，信息更加生动的K</w:t>
      </w:r>
      <w:r>
        <w:rPr>
          <w:rFonts w:ascii="宋体" w:hAnsi="宋体"/>
          <w:sz w:val="24"/>
        </w:rPr>
        <w:t>OL</w:t>
      </w:r>
      <w:r>
        <w:rPr>
          <w:rFonts w:ascii="宋体" w:hAnsi="宋体" w:hint="eastAsia"/>
          <w:sz w:val="24"/>
        </w:rPr>
        <w:t>直播带货模式。这种模式的客户转化率高，推广效果甚佳，逐渐成为各个电商平台和内容平台销量的全新引擎。在自媒体时代下，直播带货行业的发展可以划分为四大阶段</w:t>
      </w:r>
      <w:r>
        <w:rPr>
          <w:rFonts w:ascii="宋体" w:hAnsi="宋体" w:hint="eastAsia"/>
          <w:sz w:val="24"/>
          <w:vertAlign w:val="superscript"/>
        </w:rPr>
        <w:t>[</w:t>
      </w:r>
      <w:r>
        <w:rPr>
          <w:rFonts w:ascii="宋体" w:hAnsi="宋体"/>
          <w:sz w:val="24"/>
          <w:vertAlign w:val="superscript"/>
        </w:rPr>
        <w:t>7]</w:t>
      </w:r>
      <w:r>
        <w:rPr>
          <w:rFonts w:ascii="宋体" w:hAnsi="宋体" w:hint="eastAsia"/>
          <w:sz w:val="24"/>
        </w:rPr>
        <w:t>：</w:t>
      </w:r>
      <w:bookmarkEnd w:id="36"/>
      <w:bookmarkEnd w:id="37"/>
    </w:p>
    <w:p>
      <w:pPr>
        <w:spacing w:line="400" w:lineRule="exact"/>
        <w:ind w:firstLine="480" w:firstLineChars="200"/>
        <w:rPr>
          <w:rFonts w:ascii="宋体" w:hAnsi="宋体"/>
          <w:sz w:val="24"/>
        </w:rPr>
      </w:pPr>
      <w:r>
        <w:rPr>
          <w:rStyle w:val="Strong"/>
          <w:rFonts w:ascii="宋体" w:hAnsi="宋体" w:cs="宋体" w:hint="eastAsia"/>
          <w:b w:val="0"/>
          <w:bCs/>
          <w:sz w:val="24"/>
        </w:rPr>
        <w:t>红利期（2010年-2015年），在此阶段，平台对于开发直播商城系统和系统的尝试十分有限，主要由诸如游戏直播和秀场直播等移动直播构成。“直播+内容+电商”是直播平台在行业发展的初期试图打造的模式</w:t>
      </w:r>
      <w:r>
        <w:rPr>
          <w:rFonts w:ascii="宋体" w:hAnsi="宋体" w:cs="宋体" w:hint="eastAsia"/>
          <w:bCs/>
          <w:sz w:val="24"/>
        </w:rPr>
        <w:t>，这一做法对于用户粘性的提高大有脾益，从而也将流量做到了进一步的变现。在2016年，新颖的购物模式吸引到了大量用户，他们率先从中体会到了直播商城系统的便捷，这主要得益于原本的传统电商平台纷纷开始尝试直播带货，例如淘宝、京东、蘑菇街等电商平台就在探索开展“电商+直播”这一新颖的模式领先于其他。</w:t>
      </w:r>
    </w:p>
    <w:p>
      <w:pPr>
        <w:pStyle w:val="NormalWeb"/>
        <w:widowControl/>
        <w:spacing w:beforeAutospacing="0" w:afterAutospacing="0" w:line="400" w:lineRule="exact"/>
        <w:ind w:firstLine="480" w:firstLineChars="200"/>
        <w:jc w:val="both"/>
        <w:rPr>
          <w:rFonts w:ascii="宋体" w:hAnsi="宋体"/>
          <w:color w:val="FF0000"/>
        </w:rPr>
      </w:pPr>
      <w:r>
        <w:rPr>
          <w:rStyle w:val="Strong"/>
          <w:rFonts w:ascii="宋体" w:hAnsi="宋体" w:cs="宋体" w:hint="eastAsia"/>
          <w:b w:val="0"/>
          <w:bCs/>
        </w:rPr>
        <w:t>蓄能期（2015年-2018年）</w:t>
      </w:r>
      <w:r>
        <w:rPr>
          <w:rFonts w:ascii="宋体" w:hAnsi="宋体" w:cs="宋体" w:hint="eastAsia"/>
          <w:bCs/>
        </w:rPr>
        <w:t>，在这个阶段，直播带货行业出现了分化的现象，各种过程中不同的角色接连产生，例如MCN机构、供应链等，精细化成为了直播电商系统的主要发展趋势，直播带货的运营管理也更加的全面和具体。以下这几个主体大概构成了</w:t>
      </w:r>
      <w:r>
        <w:rPr>
          <w:rFonts w:ascii="宋体" w:hAnsi="宋体"/>
        </w:rPr>
        <w:t>直播电商在系统发展过程中的蓄能期</w:t>
      </w:r>
      <w:r>
        <w:rPr>
          <w:rFonts w:ascii="宋体" w:hAnsi="宋体" w:hint="eastAsia"/>
        </w:rPr>
        <w:t>：即传统的老牌电商平台、新兴的短视频平台和一些M</w:t>
      </w:r>
      <w:r>
        <w:rPr>
          <w:rFonts w:ascii="宋体" w:hAnsi="宋体"/>
        </w:rPr>
        <w:t>CN</w:t>
      </w:r>
      <w:r>
        <w:rPr>
          <w:rFonts w:ascii="宋体" w:hAnsi="宋体" w:hint="eastAsia"/>
        </w:rPr>
        <w:t>机构。第一个例子是</w:t>
      </w:r>
      <w:r>
        <w:rPr>
          <w:rFonts w:ascii="宋体" w:hAnsi="宋体"/>
        </w:rPr>
        <w:t>传统的老牌电商平</w:t>
      </w:r>
      <w:r>
        <w:rPr>
          <w:rFonts w:ascii="宋体" w:hAnsi="宋体" w:hint="eastAsia"/>
        </w:rPr>
        <w:t>台，特别是淘宝直播和蘑菇街。他们不断的</w:t>
      </w:r>
      <w:r>
        <w:rPr>
          <w:rFonts w:ascii="宋体" w:hAnsi="宋体"/>
        </w:rPr>
        <w:t>发展直播带货</w:t>
      </w:r>
      <w:r>
        <w:rPr>
          <w:rFonts w:ascii="宋体" w:hAnsi="宋体" w:hint="eastAsia"/>
        </w:rPr>
        <w:t>，</w:t>
      </w:r>
      <w:r>
        <w:rPr>
          <w:rFonts w:ascii="宋体" w:hAnsi="宋体"/>
        </w:rPr>
        <w:t>一个较为完整的</w:t>
      </w:r>
      <w:r>
        <w:rPr>
          <w:rFonts w:ascii="宋体" w:hAnsi="宋体" w:hint="eastAsia"/>
        </w:rPr>
        <w:t>直播带货体系随之逐步形成</w:t>
      </w:r>
      <w:r>
        <w:rPr>
          <w:rFonts w:ascii="宋体" w:hAnsi="宋体"/>
        </w:rPr>
        <w:t>。</w:t>
      </w:r>
      <w:r>
        <w:rPr>
          <w:rFonts w:ascii="宋体" w:hAnsi="宋体" w:hint="eastAsia"/>
        </w:rPr>
        <w:t>这些电商</w:t>
      </w:r>
      <w:r>
        <w:rPr>
          <w:rFonts w:ascii="宋体" w:hAnsi="宋体"/>
        </w:rPr>
        <w:t>平台</w:t>
      </w:r>
      <w:r>
        <w:rPr>
          <w:rFonts w:ascii="宋体" w:hAnsi="宋体" w:hint="eastAsia"/>
        </w:rPr>
        <w:t>致力于</w:t>
      </w:r>
      <w:r>
        <w:rPr>
          <w:rFonts w:ascii="宋体" w:hAnsi="宋体"/>
        </w:rPr>
        <w:t>孵化各类直播</w:t>
      </w:r>
      <w:r>
        <w:rPr>
          <w:rFonts w:ascii="宋体" w:hAnsi="宋体" w:hint="eastAsia"/>
        </w:rPr>
        <w:t>达人</w:t>
      </w:r>
      <w:r>
        <w:rPr>
          <w:rFonts w:ascii="宋体" w:hAnsi="宋体"/>
        </w:rPr>
        <w:t>、</w:t>
      </w:r>
      <w:r>
        <w:rPr>
          <w:rFonts w:ascii="宋体" w:hAnsi="宋体" w:hint="eastAsia"/>
        </w:rPr>
        <w:t>整合产业</w:t>
      </w:r>
      <w:r>
        <w:rPr>
          <w:rFonts w:ascii="宋体" w:hAnsi="宋体"/>
        </w:rPr>
        <w:t>供应链等，通过</w:t>
      </w:r>
      <w:r>
        <w:rPr>
          <w:rFonts w:ascii="宋体" w:hAnsi="宋体" w:hint="eastAsia"/>
        </w:rPr>
        <w:t>聘请大量带货主播，</w:t>
      </w:r>
      <w:r>
        <w:rPr>
          <w:rFonts w:ascii="宋体" w:hAnsi="宋体"/>
        </w:rPr>
        <w:t>从而推动直播商城系统的发展</w:t>
      </w:r>
      <w:r>
        <w:rPr>
          <w:rFonts w:ascii="宋体" w:hAnsi="宋体" w:hint="eastAsia"/>
        </w:rPr>
        <w:t>；</w:t>
      </w:r>
      <w:r>
        <w:rPr>
          <w:rFonts w:ascii="宋体" w:hAnsi="宋体" w:cs="宋体" w:hint="eastAsia"/>
          <w:bCs/>
        </w:rPr>
        <w:t>在这之后，</w:t>
      </w:r>
      <w:r>
        <w:rPr>
          <w:rFonts w:ascii="宋体" w:hAnsi="宋体"/>
        </w:rPr>
        <w:t>短视频平台</w:t>
      </w:r>
      <w:r>
        <w:rPr>
          <w:rFonts w:ascii="宋体" w:hAnsi="宋体" w:hint="eastAsia"/>
        </w:rPr>
        <w:t>随之发展了起来</w:t>
      </w:r>
      <w:r>
        <w:rPr>
          <w:rFonts w:ascii="宋体" w:hAnsi="宋体"/>
        </w:rPr>
        <w:t>。一些短视频平台已经开始布局直播商城系统领域</w:t>
      </w:r>
      <w:r>
        <w:rPr>
          <w:rFonts w:ascii="宋体" w:hAnsi="宋体" w:hint="eastAsia"/>
        </w:rPr>
        <w:t>，</w:t>
      </w:r>
      <w:r>
        <w:rPr>
          <w:rFonts w:ascii="宋体" w:hAnsi="宋体"/>
        </w:rPr>
        <w:t>其中不乏快手、抖音和美拍等大型短视频平台，经过这次的尝试，可以说为直播电商系统的全民化走向</w:t>
      </w:r>
      <w:r>
        <w:rPr>
          <w:rFonts w:ascii="宋体" w:hAnsi="宋体" w:hint="eastAsia"/>
        </w:rPr>
        <w:t>打下</w:t>
      </w:r>
      <w:r>
        <w:rPr>
          <w:rFonts w:ascii="宋体" w:hAnsi="宋体"/>
        </w:rPr>
        <w:t>了</w:t>
      </w:r>
      <w:r>
        <w:rPr>
          <w:rFonts w:ascii="宋体" w:hAnsi="宋体" w:hint="eastAsia"/>
        </w:rPr>
        <w:t>基石；另一方面， MCN（Multi-Channel Network）网红孵化机构帮助一批最早的带货主播快速成长，而这些机构同时服务于</w:t>
      </w:r>
      <w:r>
        <w:rPr>
          <w:rFonts w:ascii="宋体" w:hAnsi="宋体"/>
        </w:rPr>
        <w:t>线下服直播电商。</w:t>
      </w:r>
    </w:p>
    <w:p>
      <w:pPr>
        <w:pStyle w:val="NormalWeb"/>
        <w:widowControl/>
        <w:spacing w:beforeAutospacing="0" w:afterAutospacing="0" w:line="400" w:lineRule="exact"/>
        <w:ind w:firstLine="480" w:firstLineChars="200"/>
        <w:jc w:val="both"/>
        <w:rPr>
          <w:rFonts w:ascii="宋体" w:hAnsi="宋体" w:cs="宋体"/>
          <w:bCs/>
        </w:rPr>
        <w:sectPr>
          <w:headerReference w:type="even" r:id="rId30"/>
          <w:footerReference w:type="even" r:id="rId31"/>
          <w:footerReference w:type="default" r:id="rId32"/>
          <w:headerReference w:type="first" r:id="rId33"/>
          <w:type w:val="nextPage"/>
          <w:pgSz w:w="11906" w:h="16838"/>
          <w:pgMar w:top="1417" w:right="1248" w:bottom="1247" w:left="1247" w:header="851" w:footer="992" w:gutter="0"/>
          <w:pgNumType w:start="6"/>
          <w:cols w:num="1" w:space="720"/>
          <w:titlePg w:val="0"/>
          <w:docGrid w:type="lines" w:linePitch="312" w:charSpace="0"/>
        </w:sectPr>
      </w:pPr>
      <w:r>
        <w:rPr>
          <w:rStyle w:val="Strong"/>
          <w:rFonts w:ascii="宋体" w:hAnsi="宋体" w:cs="宋体" w:hint="eastAsia"/>
          <w:b w:val="0"/>
          <w:bCs/>
        </w:rPr>
        <w:t>爆发期（2018年-2019年）</w:t>
      </w:r>
      <w:r>
        <w:rPr>
          <w:rFonts w:ascii="宋体" w:hAnsi="宋体" w:cs="宋体" w:hint="eastAsia"/>
          <w:bCs/>
        </w:rPr>
        <w:t>，直播电商占尽了天时地利人和等各种优势，由此进入了一个全新的发展时期，</w:t>
      </w:r>
      <w:r>
        <w:rPr>
          <w:rFonts w:ascii="宋体" w:hAnsi="宋体" w:hint="eastAsia"/>
        </w:rPr>
        <w:t>方向发生了转变。直播供应链等产业链形成了新的方向，体现为线上和线下的资源整合，这同时对解决周期长的问题有着积极的影响。</w:t>
      </w:r>
      <w:r>
        <w:rPr>
          <w:rFonts w:ascii="宋体" w:hAnsi="宋体"/>
        </w:rPr>
        <w:t>淘宝直播开始</w:t>
      </w:r>
      <w:r>
        <w:rPr>
          <w:rFonts w:ascii="宋体" w:hAnsi="宋体" w:hint="eastAsia"/>
        </w:rPr>
        <w:t>成为整个直播带货</w:t>
      </w:r>
      <w:r>
        <w:rPr>
          <w:rFonts w:ascii="宋体" w:hAnsi="宋体"/>
        </w:rPr>
        <w:t>行业的领头羊</w:t>
      </w:r>
      <w:r>
        <w:rPr>
          <w:rFonts w:ascii="宋体" w:hAnsi="宋体" w:hint="eastAsia"/>
        </w:rPr>
        <w:t>，这不得不归结于长期</w:t>
      </w:r>
      <w:r>
        <w:rPr>
          <w:rFonts w:ascii="宋体" w:hAnsi="宋体"/>
        </w:rPr>
        <w:t>的经验积累。同时，通信技术开始了进一步的升级换代</w:t>
      </w:r>
      <w:r>
        <w:rPr>
          <w:rFonts w:ascii="宋体" w:hAnsi="宋体" w:hint="eastAsia"/>
        </w:rPr>
        <w:t>，部分明星纷纷加入了直播带货的行列当中，</w:t>
      </w:r>
      <w:r>
        <w:rPr>
          <w:rFonts w:ascii="宋体" w:hAnsi="宋体"/>
        </w:rPr>
        <w:t>引入明星进行直播带货逐渐成为新的流行趋势</w:t>
      </w:r>
      <w:r>
        <w:rPr>
          <w:rFonts w:ascii="宋体" w:hAnsi="宋体" w:hint="eastAsia"/>
        </w:rPr>
        <w:t>。</w:t>
      </w:r>
      <w:r>
        <w:rPr>
          <w:rFonts w:ascii="宋体" w:hAnsi="宋体"/>
        </w:rPr>
        <w:t>各个电商平台</w:t>
      </w:r>
      <w:r>
        <w:rPr>
          <w:rFonts w:ascii="宋体" w:hAnsi="宋体" w:hint="eastAsia"/>
        </w:rPr>
        <w:t>在</w:t>
      </w:r>
    </w:p>
    <w:p>
      <w:pPr>
        <w:pStyle w:val="NormalWeb"/>
        <w:widowControl/>
        <w:spacing w:beforeAutospacing="0" w:afterAutospacing="0" w:line="400" w:lineRule="exact"/>
        <w:ind w:firstLine="480" w:firstLineChars="200"/>
        <w:jc w:val="both"/>
        <w:rPr>
          <w:rFonts w:ascii="宋体" w:hAnsi="宋体" w:cs="宋体"/>
          <w:bCs/>
        </w:rPr>
      </w:pPr>
      <w:r>
        <w:rPr>
          <w:rFonts w:ascii="宋体" w:hAnsi="宋体"/>
        </w:rPr>
        <w:t>网红孵化方面加大投资力度，有针对性的进行相应的流量扶持，在这样的模式下</w:t>
      </w:r>
      <w:r>
        <w:rPr>
          <w:rFonts w:ascii="宋体" w:hAnsi="宋体" w:hint="eastAsia"/>
        </w:rPr>
        <w:t>，</w:t>
      </w:r>
      <w:r>
        <w:rPr>
          <w:rFonts w:ascii="宋体" w:hAnsi="宋体"/>
        </w:rPr>
        <w:t>头部主播所具有的光环效应日渐显著。同时</w:t>
      </w:r>
      <w:r>
        <w:rPr>
          <w:rFonts w:ascii="宋体" w:hAnsi="宋体" w:hint="eastAsia"/>
        </w:rPr>
        <w:t>，直播商城系统功能接连在</w:t>
      </w:r>
      <w:r>
        <w:rPr>
          <w:rFonts w:ascii="宋体" w:hAnsi="宋体"/>
        </w:rPr>
        <w:t>拼多多、小红书、知乎等平台上线</w:t>
      </w:r>
      <w:r>
        <w:rPr>
          <w:rFonts w:ascii="宋体" w:hAnsi="宋体" w:hint="eastAsia"/>
        </w:rPr>
        <w:t>，</w:t>
      </w:r>
      <w:r>
        <w:rPr>
          <w:rFonts w:ascii="宋体" w:hAnsi="宋体"/>
        </w:rPr>
        <w:t>各大MCN机构也不断在深化</w:t>
      </w:r>
      <w:r>
        <w:rPr>
          <w:rFonts w:ascii="宋体" w:hAnsi="宋体" w:hint="eastAsia"/>
        </w:rPr>
        <w:t>探索</w:t>
      </w:r>
      <w:r>
        <w:rPr>
          <w:rFonts w:ascii="宋体" w:hAnsi="宋体"/>
        </w:rPr>
        <w:t>商业变现模式的步伐</w:t>
      </w:r>
      <w:r>
        <w:rPr>
          <w:rFonts w:ascii="宋体" w:hAnsi="宋体" w:hint="eastAsia"/>
        </w:rPr>
        <w:t>。</w:t>
      </w:r>
    </w:p>
    <w:p>
      <w:pPr>
        <w:pStyle w:val="NormalWeb"/>
        <w:widowControl/>
        <w:spacing w:beforeAutospacing="0" w:afterAutospacing="0" w:line="400" w:lineRule="exact"/>
        <w:ind w:firstLine="480" w:firstLineChars="200"/>
        <w:jc w:val="both"/>
        <w:rPr>
          <w:rFonts w:ascii="宋体" w:hAnsi="宋体"/>
          <w:bCs/>
          <w:color w:val="FF0000"/>
        </w:rPr>
      </w:pPr>
      <w:r>
        <w:rPr>
          <w:rStyle w:val="Strong"/>
          <w:rFonts w:ascii="宋体" w:hAnsi="宋体"/>
          <w:b w:val="0"/>
          <w:bCs/>
        </w:rPr>
        <w:t>持续发展期</w:t>
      </w:r>
      <w:r>
        <w:rPr>
          <w:rStyle w:val="Strong"/>
          <w:rFonts w:ascii="宋体" w:hAnsi="宋体" w:hint="eastAsia"/>
          <w:b w:val="0"/>
          <w:bCs/>
        </w:rPr>
        <w:t>（2019年至今）</w:t>
      </w:r>
      <w:r>
        <w:rPr>
          <w:rFonts w:ascii="宋体" w:hAnsi="宋体" w:hint="eastAsia"/>
          <w:bCs/>
        </w:rPr>
        <w:t>，</w:t>
      </w:r>
      <w:r>
        <w:rPr>
          <w:rFonts w:ascii="宋体" w:hAnsi="宋体"/>
        </w:rPr>
        <w:t>直播电商系统</w:t>
      </w:r>
      <w:r>
        <w:rPr>
          <w:rFonts w:ascii="宋体" w:hAnsi="宋体" w:hint="eastAsia"/>
        </w:rPr>
        <w:t>发展形势蒸蒸日上</w:t>
      </w:r>
      <w:r>
        <w:rPr>
          <w:rFonts w:ascii="宋体" w:hAnsi="宋体"/>
        </w:rPr>
        <w:t>，成为了电商行业发展的</w:t>
      </w:r>
      <w:r>
        <w:rPr>
          <w:rFonts w:ascii="宋体" w:hAnsi="宋体" w:hint="eastAsia"/>
        </w:rPr>
        <w:t>不可或缺的一股</w:t>
      </w:r>
      <w:r>
        <w:rPr>
          <w:rFonts w:ascii="宋体" w:hAnsi="宋体"/>
        </w:rPr>
        <w:t>力量。在这一时期里</w:t>
      </w:r>
      <w:r>
        <w:rPr>
          <w:rFonts w:ascii="宋体" w:hAnsi="宋体" w:hint="eastAsia"/>
        </w:rPr>
        <w:t>，</w:t>
      </w:r>
      <w:r>
        <w:rPr>
          <w:rFonts w:ascii="宋体" w:hAnsi="宋体"/>
        </w:rPr>
        <w:t>互联网技术发展飞速</w:t>
      </w:r>
      <w:r>
        <w:rPr>
          <w:rFonts w:ascii="宋体" w:hAnsi="宋体" w:hint="eastAsia"/>
        </w:rPr>
        <w:t>，网红孵化机构的经营模式演变出产业化和规模化的特性。他们的获利渠道主要是提供广告平台，并且积极的投入大量资金为他们所孵化的网红进行相应的推广和宣传。根据</w:t>
      </w:r>
      <w:r>
        <w:rPr>
          <w:rFonts w:ascii="宋体" w:hAnsi="宋体"/>
        </w:rPr>
        <w:t>相关数据所预测，在未来的三年内</w:t>
      </w:r>
      <w:r>
        <w:rPr>
          <w:rFonts w:ascii="宋体" w:hAnsi="宋体" w:hint="eastAsia"/>
        </w:rPr>
        <w:t>，</w:t>
      </w:r>
      <w:r>
        <w:rPr>
          <w:rFonts w:ascii="宋体" w:hAnsi="宋体"/>
        </w:rPr>
        <w:t>淘宝直播带动</w:t>
      </w:r>
      <w:r>
        <w:rPr>
          <w:rFonts w:ascii="宋体" w:hAnsi="宋体" w:hint="eastAsia"/>
        </w:rPr>
        <w:t>的成交额</w:t>
      </w:r>
      <w:r>
        <w:rPr>
          <w:rFonts w:ascii="宋体" w:hAnsi="宋体"/>
        </w:rPr>
        <w:t>将会</w:t>
      </w:r>
      <w:r>
        <w:rPr>
          <w:rFonts w:ascii="宋体" w:hAnsi="宋体" w:hint="eastAsia"/>
        </w:rPr>
        <w:t>高达</w:t>
      </w:r>
      <w:r>
        <w:rPr>
          <w:rFonts w:ascii="宋体" w:hAnsi="宋体"/>
        </w:rPr>
        <w:t>5000亿。</w:t>
      </w:r>
      <w:r>
        <w:rPr>
          <w:rFonts w:ascii="宋体" w:hAnsi="宋体" w:hint="eastAsia"/>
        </w:rPr>
        <w:t>到了2020年，腾讯也加入了直播带货。</w:t>
      </w:r>
      <w:r>
        <w:rPr>
          <w:rFonts w:ascii="宋体" w:hAnsi="宋体"/>
        </w:rPr>
        <w:t>可见直播电商的未来前景十分明朗</w:t>
      </w:r>
      <w:r>
        <w:rPr>
          <w:rFonts w:ascii="宋体" w:hAnsi="宋体" w:hint="eastAsia"/>
        </w:rPr>
        <w:t>，</w:t>
      </w:r>
      <w:r>
        <w:rPr>
          <w:rFonts w:ascii="宋体" w:hAnsi="宋体"/>
        </w:rPr>
        <w:t>市场规模将会继续保持</w:t>
      </w:r>
      <w:r>
        <w:rPr>
          <w:rFonts w:ascii="宋体" w:hAnsi="宋体" w:hint="eastAsia"/>
        </w:rPr>
        <w:t>高速增长</w:t>
      </w:r>
      <w:r>
        <w:rPr>
          <w:rFonts w:ascii="宋体" w:hAnsi="宋体"/>
        </w:rPr>
        <w:t>，</w:t>
      </w:r>
      <w:r>
        <w:rPr>
          <w:rFonts w:ascii="宋体" w:hAnsi="宋体" w:hint="eastAsia"/>
        </w:rPr>
        <w:t>直播带货的品种和类别会有新的突破</w:t>
      </w:r>
      <w:r>
        <w:rPr>
          <w:rFonts w:ascii="宋体" w:hAnsi="宋体"/>
        </w:rPr>
        <w:t>，新零售也将</w:t>
      </w:r>
      <w:r>
        <w:rPr>
          <w:rFonts w:ascii="宋体" w:hAnsi="宋体" w:hint="eastAsia"/>
        </w:rPr>
        <w:t>迎来</w:t>
      </w:r>
      <w:r>
        <w:rPr>
          <w:rFonts w:ascii="宋体" w:hAnsi="宋体"/>
        </w:rPr>
        <w:t>全新的发展机遇。</w:t>
      </w:r>
      <w:r>
        <w:rPr>
          <w:rFonts w:ascii="宋体" w:hAnsi="宋体" w:hint="eastAsia"/>
        </w:rPr>
        <w:t>直播电商在这场纷争中的出现，最直接的后果就是电商行业混战局面被终结，最后在不同的带货模式之间实现进一步的分化。</w:t>
      </w:r>
    </w:p>
    <w:p>
      <w:pPr>
        <w:pStyle w:val="Heading3"/>
        <w:spacing w:before="312" w:after="312"/>
        <w:rPr>
          <w:rFonts w:hAnsi="黑体"/>
        </w:rPr>
      </w:pPr>
      <w:bookmarkStart w:id="38" w:name="_Toc65496030"/>
      <w:r>
        <w:rPr>
          <w:rFonts w:hAnsi="黑体"/>
        </w:rPr>
        <w:t xml:space="preserve">3.1.2 </w:t>
      </w:r>
      <w:r>
        <w:rPr>
          <w:rFonts w:hAnsi="黑体" w:hint="eastAsia"/>
        </w:rPr>
        <w:t>自媒体时代下直播带货</w:t>
      </w:r>
      <w:r>
        <w:rPr>
          <w:rFonts w:hAnsi="黑体"/>
        </w:rPr>
        <w:t>的经营现状</w:t>
      </w:r>
      <w:bookmarkEnd w:id="38"/>
    </w:p>
    <w:p>
      <w:pPr>
        <w:spacing w:line="400" w:lineRule="exact"/>
        <w:ind w:firstLine="420" w:firstLineChars="200"/>
        <w:rPr>
          <w:rFonts w:ascii="宋体"/>
          <w:sz w:val="24"/>
        </w:rPr>
      </w:pPr>
      <w:r>
        <w:rPr>
          <w:rFonts w:hint="eastAsia"/>
        </w:rPr>
        <w:drawing>
          <wp:anchor distT="0" distB="0" distL="114300" distR="114300" simplePos="0" relativeHeight="251666432" behindDoc="0" locked="0" layoutInCell="1" allowOverlap="1">
            <wp:simplePos x="0" y="0"/>
            <wp:positionH relativeFrom="margin">
              <wp:posOffset>570230</wp:posOffset>
            </wp:positionH>
            <wp:positionV relativeFrom="paragraph">
              <wp:posOffset>2567940</wp:posOffset>
            </wp:positionV>
            <wp:extent cx="5000625" cy="2667000"/>
            <wp:effectExtent l="0" t="0" r="9525" b="0"/>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anchor>
        </w:drawing>
      </w:r>
      <w:r>
        <w:rPr>
          <w:rFonts w:ascii="宋体" w:hAnsi="宋体" w:hint="eastAsia"/>
          <w:sz w:val="24"/>
        </w:rPr>
        <w:t>在自媒体时代下,</w:t>
      </w:r>
      <w:r>
        <w:rPr>
          <w:rFonts w:hint="eastAsia"/>
        </w:rPr>
        <w:t xml:space="preserve"> </w:t>
      </w:r>
      <w:r>
        <w:rPr>
          <w:rFonts w:ascii="宋体" w:hAnsi="宋体" w:hint="eastAsia"/>
          <w:sz w:val="24"/>
        </w:rPr>
        <w:t>直播带货行业在一个优质舒适的发展环境孕育而生。首先是成熟的直播技术，这使得屏幕两端的带货主播和直播间的观众之间的交流更加的便捷舒适，其次是政府出台各项政策对直播行业进行有力的扶持，电商行业对直播带货不断更新需求，以及人民消费方式不断的转型与升级。在目前，</w:t>
      </w:r>
      <w:r>
        <w:rPr>
          <w:rFonts w:ascii="宋体" w:hint="eastAsia"/>
          <w:sz w:val="24"/>
        </w:rPr>
        <w:t>直播带货的经营主体主要由自媒体群体所构成。直播带货的经营一般分为以下三个步骤，分别为前期人气积累阶段，中期引导下单阶段和后期流量变现阶段。从行业竞争格局来看整体成交额，如图3-1所示，在2018年淘宝直播</w:t>
      </w:r>
      <w:r>
        <w:rPr>
          <w:rFonts w:ascii="宋体"/>
          <w:sz w:val="24"/>
        </w:rPr>
        <w:t>GMV (Gross Merchandise Volume)</w:t>
      </w:r>
      <w:r>
        <w:rPr>
          <w:rFonts w:ascii="宋体" w:hint="eastAsia"/>
          <w:sz w:val="24"/>
        </w:rPr>
        <w:t xml:space="preserve"> 平台成交额达到1000亿规模，占据71.42%市场份额；在2019年的GMV规模达到了2000亿，占据46.12%市场份额。抖音和快手在2018年双雄并起，进入直播电商市场，并在2019年带货规模分别达到400亿和1000亿，占据了23.8%和9.5%的市场份额</w:t>
      </w:r>
      <w:r>
        <w:rPr>
          <w:rFonts w:ascii="宋体"/>
          <w:sz w:val="24"/>
          <w:vertAlign w:val="superscript"/>
        </w:rPr>
        <w:t>[9]</w:t>
      </w:r>
      <w:r>
        <w:rPr>
          <w:rFonts w:ascii="宋体" w:hint="eastAsia"/>
          <w:sz w:val="24"/>
        </w:rPr>
        <w:t>，可见直播电商市场中形成一超双雄的局面。</w:t>
      </w:r>
    </w:p>
    <w:p>
      <w:pPr>
        <w:jc w:val="center"/>
        <w:rPr>
          <w:vertAlign w:val="superscript"/>
        </w:rPr>
        <w:sectPr>
          <w:headerReference w:type="even" r:id="rId35"/>
          <w:footerReference w:type="even" r:id="rId36"/>
          <w:footerReference w:type="default" r:id="rId37"/>
          <w:headerReference w:type="first" r:id="rId38"/>
          <w:type w:val="nextPage"/>
          <w:pgSz w:w="11906" w:h="16838"/>
          <w:pgMar w:top="1417" w:right="1248" w:bottom="1247" w:left="1247" w:header="851" w:footer="992" w:gutter="0"/>
          <w:pgNumType w:start="7"/>
          <w:cols w:num="1" w:space="720"/>
          <w:titlePg w:val="0"/>
          <w:docGrid w:type="lines" w:linePitch="312" w:charSpace="0"/>
        </w:sectPr>
      </w:pPr>
      <w:r>
        <w:rPr>
          <w:rFonts w:hint="eastAsia"/>
        </w:rPr>
        <w:t>图3-1 2018-2020直播带货头部企业GMV规模</w:t>
      </w:r>
      <w:r>
        <w:rPr>
          <w:rFonts w:hint="eastAsia"/>
          <w:vertAlign w:val="superscript"/>
        </w:rPr>
        <w:t>1</w:t>
      </w:r>
    </w:p>
    <w:p>
      <w:pPr>
        <w:jc w:val="center"/>
      </w:pPr>
      <w:r>
        <w:rPr>
          <w:rFonts w:hint="eastAsia"/>
          <w:vertAlign w:val="superscript"/>
        </w:rPr>
        <w:t>1</w:t>
      </w:r>
      <w:r>
        <w:rPr>
          <w:rFonts w:hint="eastAsia"/>
        </w:rPr>
        <w:t>资料来源：https://www.sohu.com/a/420550216_120491808</w:t>
      </w:r>
    </w:p>
    <w:p>
      <w:pPr>
        <w:spacing w:line="400" w:lineRule="exact"/>
        <w:ind w:firstLine="480" w:firstLineChars="200"/>
        <w:rPr>
          <w:rFonts w:ascii="宋体"/>
          <w:sz w:val="24"/>
        </w:rPr>
      </w:pPr>
      <w:r>
        <w:rPr>
          <w:rFonts w:ascii="宋体" w:hint="eastAsia"/>
          <w:sz w:val="24"/>
        </w:rPr>
        <w:t>根据表3-1 2020中国带货主播排名TOP20可以看出，淘宝直播的两位头部主播薇娅、李佳琦稳居冠亚军，快手带货达人主播辛有志在薇娅、李佳琦之后排在了第三，在一个月的时间里罗永浩就冲进了第四名，张沫凡也位于第五。同时在这份TOP20榜单中，除了这几位带货能力超群的超头部和头部网红之外，我们还能看到林允、李湘、徐冬冬、林依轮、朱丹等一些明星，他们凭借自身超强的带货能力和与之俱来的明星效应也进入这份榜单中。</w:t>
      </w:r>
    </w:p>
    <w:p>
      <w:pPr>
        <w:jc w:val="center"/>
      </w:pPr>
      <w:r>
        <w:rPr>
          <w:rFonts w:hint="eastAsia"/>
        </w:rPr>
        <w:t>表3-1</w:t>
      </w:r>
      <w:r>
        <w:t xml:space="preserve"> </w:t>
      </w:r>
      <w:r>
        <w:rPr>
          <w:rFonts w:hint="eastAsia"/>
        </w:rPr>
        <w:t>2020中国直播带货销量前20的主播</w:t>
      </w:r>
    </w:p>
    <w:tbl>
      <w:tblPr>
        <w:tblStyle w:val="TableGrid0"/>
        <w:tblpPr w:leftFromText="180" w:rightFromText="180" w:vertAnchor="text" w:tblpXSpec="center" w:tblpY="73"/>
        <w:tblOverlap w:val="never"/>
        <w:tblW w:w="9677" w:type="dxa"/>
        <w:jc w:val="center"/>
        <w:tblBorders>
          <w:top w:val="single" w:sz="4"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3225"/>
        <w:gridCol w:w="3226"/>
        <w:gridCol w:w="3226"/>
      </w:tblGrid>
      <w:tr>
        <w:tblPrEx>
          <w:tblW w:w="9677" w:type="dxa"/>
          <w:jc w:val="center"/>
          <w:tblBorders>
            <w:top w:val="single" w:sz="4" w:space="0" w:color="auto"/>
            <w:left w:val="none" w:sz="0" w:space="0" w:color="auto"/>
            <w:bottom w:val="none" w:sz="0"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主播</w:t>
            </w:r>
          </w:p>
        </w:tc>
        <w:tc>
          <w:tcPr>
            <w:tcW w:w="3226" w:type="dxa"/>
            <w:vAlign w:val="center"/>
          </w:tcPr>
          <w:p>
            <w:pPr>
              <w:jc w:val="center"/>
              <w:rPr>
                <w:rFonts w:ascii="宋体" w:hAnsi="宋体"/>
                <w:szCs w:val="21"/>
              </w:rPr>
            </w:pPr>
            <w:r>
              <w:rPr>
                <w:rFonts w:ascii="宋体" w:hAnsi="宋体" w:hint="eastAsia"/>
                <w:szCs w:val="21"/>
              </w:rPr>
              <w:t>直播平均在线</w:t>
            </w:r>
          </w:p>
        </w:tc>
        <w:tc>
          <w:tcPr>
            <w:tcW w:w="3226" w:type="dxa"/>
            <w:vAlign w:val="center"/>
          </w:tcPr>
          <w:p>
            <w:pPr>
              <w:jc w:val="center"/>
              <w:rPr>
                <w:rFonts w:ascii="宋体" w:hAnsi="宋体"/>
                <w:szCs w:val="21"/>
              </w:rPr>
            </w:pPr>
            <w:r>
              <w:rPr>
                <w:rFonts w:ascii="宋体" w:hAnsi="宋体" w:hint="eastAsia"/>
                <w:szCs w:val="21"/>
              </w:rPr>
              <w:t>带货销售值</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薇娅</w:t>
            </w:r>
          </w:p>
        </w:tc>
        <w:tc>
          <w:tcPr>
            <w:tcW w:w="3226" w:type="dxa"/>
            <w:vAlign w:val="center"/>
          </w:tcPr>
          <w:p>
            <w:pPr>
              <w:jc w:val="center"/>
              <w:rPr>
                <w:rFonts w:ascii="宋体" w:hAnsi="宋体"/>
                <w:szCs w:val="21"/>
              </w:rPr>
            </w:pPr>
            <w:r>
              <w:rPr>
                <w:rFonts w:ascii="宋体" w:hAnsi="宋体" w:hint="eastAsia"/>
                <w:szCs w:val="21"/>
              </w:rPr>
              <w:t>3000万</w:t>
            </w:r>
          </w:p>
        </w:tc>
        <w:tc>
          <w:tcPr>
            <w:tcW w:w="3226" w:type="dxa"/>
            <w:vAlign w:val="center"/>
          </w:tcPr>
          <w:p>
            <w:pPr>
              <w:jc w:val="center"/>
              <w:rPr>
                <w:rFonts w:ascii="宋体" w:hAnsi="宋体"/>
                <w:szCs w:val="21"/>
              </w:rPr>
            </w:pPr>
            <w:r>
              <w:rPr>
                <w:rFonts w:ascii="宋体" w:hAnsi="宋体" w:hint="eastAsia"/>
                <w:szCs w:val="21"/>
              </w:rPr>
              <w:t>85%</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李佳琦</w:t>
            </w:r>
          </w:p>
        </w:tc>
        <w:tc>
          <w:tcPr>
            <w:tcW w:w="3226" w:type="dxa"/>
            <w:vAlign w:val="center"/>
          </w:tcPr>
          <w:p>
            <w:pPr>
              <w:jc w:val="center"/>
              <w:rPr>
                <w:rFonts w:ascii="宋体" w:hAnsi="宋体"/>
                <w:szCs w:val="21"/>
              </w:rPr>
            </w:pPr>
            <w:r>
              <w:rPr>
                <w:rFonts w:ascii="宋体" w:hAnsi="宋体" w:hint="eastAsia"/>
                <w:szCs w:val="21"/>
              </w:rPr>
              <w:t>2800万</w:t>
            </w:r>
          </w:p>
        </w:tc>
        <w:tc>
          <w:tcPr>
            <w:tcW w:w="3226" w:type="dxa"/>
            <w:vAlign w:val="center"/>
          </w:tcPr>
          <w:p>
            <w:pPr>
              <w:jc w:val="center"/>
              <w:rPr>
                <w:rFonts w:ascii="宋体" w:hAnsi="宋体"/>
                <w:szCs w:val="21"/>
              </w:rPr>
            </w:pPr>
            <w:r>
              <w:rPr>
                <w:rFonts w:ascii="宋体" w:hAnsi="宋体" w:hint="eastAsia"/>
                <w:szCs w:val="21"/>
              </w:rPr>
              <w:t>84%</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辛有志</w:t>
            </w:r>
          </w:p>
        </w:tc>
        <w:tc>
          <w:tcPr>
            <w:tcW w:w="3226" w:type="dxa"/>
            <w:vAlign w:val="center"/>
          </w:tcPr>
          <w:p>
            <w:pPr>
              <w:jc w:val="center"/>
              <w:rPr>
                <w:rFonts w:ascii="宋体" w:hAnsi="宋体"/>
                <w:szCs w:val="21"/>
              </w:rPr>
            </w:pPr>
            <w:r>
              <w:rPr>
                <w:rFonts w:ascii="宋体" w:hAnsi="宋体" w:hint="eastAsia"/>
                <w:szCs w:val="21"/>
              </w:rPr>
              <w:t>2000万</w:t>
            </w:r>
          </w:p>
        </w:tc>
        <w:tc>
          <w:tcPr>
            <w:tcW w:w="3226" w:type="dxa"/>
            <w:vAlign w:val="center"/>
          </w:tcPr>
          <w:p>
            <w:pPr>
              <w:jc w:val="center"/>
              <w:rPr>
                <w:rFonts w:ascii="宋体" w:hAnsi="宋体"/>
                <w:szCs w:val="21"/>
              </w:rPr>
            </w:pPr>
            <w:r>
              <w:rPr>
                <w:rFonts w:ascii="宋体" w:hAnsi="宋体" w:hint="eastAsia"/>
                <w:szCs w:val="21"/>
              </w:rPr>
              <w:t>80%</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罗永浩</w:t>
            </w:r>
          </w:p>
        </w:tc>
        <w:tc>
          <w:tcPr>
            <w:tcW w:w="3226" w:type="dxa"/>
            <w:vAlign w:val="center"/>
          </w:tcPr>
          <w:p>
            <w:pPr>
              <w:jc w:val="center"/>
              <w:rPr>
                <w:rFonts w:ascii="宋体" w:hAnsi="宋体"/>
                <w:szCs w:val="21"/>
              </w:rPr>
            </w:pPr>
            <w:r>
              <w:rPr>
                <w:rFonts w:ascii="宋体" w:hAnsi="宋体" w:hint="eastAsia"/>
                <w:szCs w:val="21"/>
              </w:rPr>
              <w:t>1600万</w:t>
            </w:r>
          </w:p>
        </w:tc>
        <w:tc>
          <w:tcPr>
            <w:tcW w:w="3226" w:type="dxa"/>
            <w:vAlign w:val="center"/>
          </w:tcPr>
          <w:p>
            <w:pPr>
              <w:jc w:val="center"/>
              <w:rPr>
                <w:rFonts w:ascii="宋体" w:hAnsi="宋体"/>
                <w:szCs w:val="21"/>
              </w:rPr>
            </w:pPr>
            <w:r>
              <w:rPr>
                <w:rFonts w:ascii="宋体" w:hAnsi="宋体" w:hint="eastAsia"/>
                <w:szCs w:val="21"/>
              </w:rPr>
              <w:t>79%</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张沫凡</w:t>
            </w:r>
          </w:p>
        </w:tc>
        <w:tc>
          <w:tcPr>
            <w:tcW w:w="3226" w:type="dxa"/>
            <w:vAlign w:val="center"/>
          </w:tcPr>
          <w:p>
            <w:pPr>
              <w:jc w:val="center"/>
              <w:rPr>
                <w:rFonts w:ascii="宋体" w:hAnsi="宋体"/>
                <w:szCs w:val="21"/>
              </w:rPr>
            </w:pPr>
            <w:r>
              <w:rPr>
                <w:rFonts w:ascii="宋体" w:hAnsi="宋体" w:hint="eastAsia"/>
                <w:szCs w:val="21"/>
              </w:rPr>
              <w:t>1300万</w:t>
            </w:r>
          </w:p>
        </w:tc>
        <w:tc>
          <w:tcPr>
            <w:tcW w:w="3226" w:type="dxa"/>
            <w:vAlign w:val="center"/>
          </w:tcPr>
          <w:p>
            <w:pPr>
              <w:jc w:val="center"/>
              <w:rPr>
                <w:rFonts w:ascii="宋体" w:hAnsi="宋体"/>
                <w:szCs w:val="21"/>
              </w:rPr>
            </w:pPr>
            <w:r>
              <w:rPr>
                <w:rFonts w:ascii="宋体" w:hAnsi="宋体" w:hint="eastAsia"/>
                <w:szCs w:val="21"/>
              </w:rPr>
              <w:t>76%</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林允</w:t>
            </w:r>
          </w:p>
        </w:tc>
        <w:tc>
          <w:tcPr>
            <w:tcW w:w="3226" w:type="dxa"/>
            <w:vAlign w:val="center"/>
          </w:tcPr>
          <w:p>
            <w:pPr>
              <w:jc w:val="center"/>
              <w:rPr>
                <w:rFonts w:ascii="宋体" w:hAnsi="宋体"/>
                <w:szCs w:val="21"/>
              </w:rPr>
            </w:pPr>
            <w:r>
              <w:rPr>
                <w:rFonts w:ascii="宋体" w:hAnsi="宋体" w:hint="eastAsia"/>
                <w:szCs w:val="21"/>
              </w:rPr>
              <w:t>1080万</w:t>
            </w:r>
          </w:p>
        </w:tc>
        <w:tc>
          <w:tcPr>
            <w:tcW w:w="3226" w:type="dxa"/>
            <w:vAlign w:val="center"/>
          </w:tcPr>
          <w:p>
            <w:pPr>
              <w:jc w:val="center"/>
              <w:rPr>
                <w:rFonts w:ascii="宋体" w:hAnsi="宋体"/>
                <w:szCs w:val="21"/>
              </w:rPr>
            </w:pPr>
            <w:r>
              <w:rPr>
                <w:rFonts w:ascii="宋体" w:hAnsi="宋体" w:hint="eastAsia"/>
                <w:szCs w:val="21"/>
              </w:rPr>
              <w:t>70%</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平荣</w:t>
            </w:r>
          </w:p>
        </w:tc>
        <w:tc>
          <w:tcPr>
            <w:tcW w:w="3226" w:type="dxa"/>
            <w:vAlign w:val="center"/>
          </w:tcPr>
          <w:p>
            <w:pPr>
              <w:jc w:val="center"/>
              <w:rPr>
                <w:rFonts w:ascii="宋体" w:hAnsi="宋体"/>
                <w:szCs w:val="21"/>
              </w:rPr>
            </w:pPr>
            <w:r>
              <w:rPr>
                <w:rFonts w:ascii="宋体" w:hAnsi="宋体" w:hint="eastAsia"/>
                <w:szCs w:val="21"/>
              </w:rPr>
              <w:t>920万</w:t>
            </w:r>
          </w:p>
        </w:tc>
        <w:tc>
          <w:tcPr>
            <w:tcW w:w="3226" w:type="dxa"/>
            <w:vAlign w:val="center"/>
          </w:tcPr>
          <w:p>
            <w:pPr>
              <w:jc w:val="center"/>
              <w:rPr>
                <w:rFonts w:ascii="宋体" w:hAnsi="宋体"/>
                <w:szCs w:val="21"/>
              </w:rPr>
            </w:pPr>
            <w:r>
              <w:rPr>
                <w:rFonts w:ascii="宋体" w:hAnsi="宋体" w:hint="eastAsia"/>
                <w:szCs w:val="21"/>
              </w:rPr>
              <w:t>67%</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李湘</w:t>
            </w:r>
          </w:p>
        </w:tc>
        <w:tc>
          <w:tcPr>
            <w:tcW w:w="3226" w:type="dxa"/>
            <w:vAlign w:val="center"/>
          </w:tcPr>
          <w:p>
            <w:pPr>
              <w:jc w:val="center"/>
              <w:rPr>
                <w:rFonts w:ascii="宋体" w:hAnsi="宋体"/>
                <w:szCs w:val="21"/>
              </w:rPr>
            </w:pPr>
            <w:r>
              <w:rPr>
                <w:rFonts w:ascii="宋体" w:hAnsi="宋体" w:hint="eastAsia"/>
                <w:szCs w:val="21"/>
              </w:rPr>
              <w:t>850万</w:t>
            </w:r>
          </w:p>
        </w:tc>
        <w:tc>
          <w:tcPr>
            <w:tcW w:w="3226" w:type="dxa"/>
            <w:vAlign w:val="center"/>
          </w:tcPr>
          <w:p>
            <w:pPr>
              <w:jc w:val="center"/>
              <w:rPr>
                <w:rFonts w:ascii="宋体" w:hAnsi="宋体"/>
                <w:szCs w:val="21"/>
              </w:rPr>
            </w:pPr>
            <w:r>
              <w:rPr>
                <w:rFonts w:ascii="宋体" w:hAnsi="宋体" w:hint="eastAsia"/>
                <w:szCs w:val="21"/>
              </w:rPr>
              <w:t>63%</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徐冬冬</w:t>
            </w:r>
          </w:p>
        </w:tc>
        <w:tc>
          <w:tcPr>
            <w:tcW w:w="3226" w:type="dxa"/>
            <w:vAlign w:val="center"/>
          </w:tcPr>
          <w:p>
            <w:pPr>
              <w:jc w:val="center"/>
              <w:rPr>
                <w:rFonts w:ascii="宋体" w:hAnsi="宋体"/>
                <w:szCs w:val="21"/>
              </w:rPr>
            </w:pPr>
            <w:r>
              <w:rPr>
                <w:rFonts w:ascii="宋体" w:hAnsi="宋体" w:hint="eastAsia"/>
                <w:szCs w:val="21"/>
              </w:rPr>
              <w:t>700万</w:t>
            </w:r>
          </w:p>
        </w:tc>
        <w:tc>
          <w:tcPr>
            <w:tcW w:w="3226" w:type="dxa"/>
            <w:vAlign w:val="center"/>
          </w:tcPr>
          <w:p>
            <w:pPr>
              <w:jc w:val="center"/>
              <w:rPr>
                <w:rFonts w:ascii="宋体" w:hAnsi="宋体"/>
                <w:szCs w:val="21"/>
              </w:rPr>
            </w:pPr>
            <w:r>
              <w:rPr>
                <w:rFonts w:ascii="宋体" w:hAnsi="宋体" w:hint="eastAsia"/>
                <w:szCs w:val="21"/>
              </w:rPr>
              <w:t>59%</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正善牛肉哥</w:t>
            </w:r>
          </w:p>
        </w:tc>
        <w:tc>
          <w:tcPr>
            <w:tcW w:w="3226" w:type="dxa"/>
            <w:vAlign w:val="center"/>
          </w:tcPr>
          <w:p>
            <w:pPr>
              <w:jc w:val="center"/>
              <w:rPr>
                <w:rFonts w:ascii="宋体" w:hAnsi="宋体"/>
                <w:szCs w:val="21"/>
              </w:rPr>
            </w:pPr>
            <w:r>
              <w:rPr>
                <w:rFonts w:ascii="宋体" w:hAnsi="宋体" w:hint="eastAsia"/>
                <w:szCs w:val="21"/>
              </w:rPr>
              <w:t>600万</w:t>
            </w:r>
          </w:p>
        </w:tc>
        <w:tc>
          <w:tcPr>
            <w:tcW w:w="3226" w:type="dxa"/>
            <w:vAlign w:val="center"/>
          </w:tcPr>
          <w:p>
            <w:pPr>
              <w:jc w:val="center"/>
              <w:rPr>
                <w:rFonts w:ascii="宋体" w:hAnsi="宋体"/>
                <w:szCs w:val="21"/>
              </w:rPr>
            </w:pPr>
            <w:r>
              <w:rPr>
                <w:rFonts w:ascii="宋体" w:hAnsi="宋体" w:hint="eastAsia"/>
                <w:szCs w:val="21"/>
              </w:rPr>
              <w:t>55%</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张大奕</w:t>
            </w:r>
          </w:p>
        </w:tc>
        <w:tc>
          <w:tcPr>
            <w:tcW w:w="3226" w:type="dxa"/>
            <w:vAlign w:val="center"/>
          </w:tcPr>
          <w:p>
            <w:pPr>
              <w:jc w:val="center"/>
              <w:rPr>
                <w:rFonts w:ascii="宋体" w:hAnsi="宋体"/>
                <w:szCs w:val="21"/>
              </w:rPr>
            </w:pPr>
            <w:r>
              <w:rPr>
                <w:rFonts w:ascii="宋体" w:hAnsi="宋体" w:hint="eastAsia"/>
                <w:szCs w:val="21"/>
              </w:rPr>
              <w:t>550万</w:t>
            </w:r>
          </w:p>
        </w:tc>
        <w:tc>
          <w:tcPr>
            <w:tcW w:w="3226" w:type="dxa"/>
            <w:vAlign w:val="center"/>
          </w:tcPr>
          <w:p>
            <w:pPr>
              <w:jc w:val="center"/>
              <w:rPr>
                <w:rFonts w:ascii="宋体" w:hAnsi="宋体"/>
                <w:szCs w:val="21"/>
              </w:rPr>
            </w:pPr>
            <w:r>
              <w:rPr>
                <w:rFonts w:ascii="宋体" w:hAnsi="宋体" w:hint="eastAsia"/>
                <w:szCs w:val="21"/>
              </w:rPr>
              <w:t>50</w:t>
            </w:r>
            <w:r>
              <w:rPr>
                <w:rFonts w:ascii="宋体" w:hAnsi="宋体"/>
                <w:szCs w:val="21"/>
              </w:rPr>
              <w:t>%</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林依轮</w:t>
            </w:r>
          </w:p>
        </w:tc>
        <w:tc>
          <w:tcPr>
            <w:tcW w:w="3226" w:type="dxa"/>
            <w:vAlign w:val="center"/>
          </w:tcPr>
          <w:p>
            <w:pPr>
              <w:jc w:val="center"/>
              <w:rPr>
                <w:rFonts w:ascii="宋体" w:hAnsi="宋体"/>
                <w:szCs w:val="21"/>
              </w:rPr>
            </w:pPr>
            <w:r>
              <w:rPr>
                <w:rFonts w:ascii="宋体" w:hAnsi="宋体" w:hint="eastAsia"/>
                <w:szCs w:val="21"/>
              </w:rPr>
              <w:t>520万</w:t>
            </w:r>
          </w:p>
        </w:tc>
        <w:tc>
          <w:tcPr>
            <w:tcW w:w="3226" w:type="dxa"/>
            <w:vAlign w:val="center"/>
          </w:tcPr>
          <w:p>
            <w:pPr>
              <w:jc w:val="center"/>
              <w:rPr>
                <w:rFonts w:ascii="宋体" w:hAnsi="宋体"/>
                <w:szCs w:val="21"/>
              </w:rPr>
            </w:pPr>
            <w:r>
              <w:rPr>
                <w:rFonts w:ascii="宋体" w:hAnsi="宋体" w:hint="eastAsia"/>
                <w:szCs w:val="21"/>
              </w:rPr>
              <w:t>49%</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b/>
                <w:szCs w:val="21"/>
              </w:rPr>
            </w:pPr>
            <w:r>
              <w:rPr>
                <w:rFonts w:ascii="宋体" w:hAnsi="宋体" w:hint="eastAsia"/>
                <w:b/>
                <w:szCs w:val="21"/>
              </w:rPr>
              <w:t>朱丹</w:t>
            </w:r>
          </w:p>
        </w:tc>
        <w:tc>
          <w:tcPr>
            <w:tcW w:w="3226" w:type="dxa"/>
            <w:vAlign w:val="center"/>
          </w:tcPr>
          <w:p>
            <w:pPr>
              <w:jc w:val="center"/>
              <w:rPr>
                <w:rFonts w:ascii="宋体" w:hAnsi="宋体"/>
                <w:szCs w:val="21"/>
              </w:rPr>
            </w:pPr>
            <w:r>
              <w:rPr>
                <w:rFonts w:ascii="宋体" w:hAnsi="宋体" w:hint="eastAsia"/>
                <w:szCs w:val="21"/>
              </w:rPr>
              <w:t>480万</w:t>
            </w:r>
          </w:p>
        </w:tc>
        <w:tc>
          <w:tcPr>
            <w:tcW w:w="3226" w:type="dxa"/>
            <w:vAlign w:val="center"/>
          </w:tcPr>
          <w:p>
            <w:pPr>
              <w:jc w:val="center"/>
              <w:rPr>
                <w:rFonts w:ascii="宋体" w:hAnsi="宋体"/>
                <w:szCs w:val="21"/>
              </w:rPr>
            </w:pPr>
            <w:r>
              <w:rPr>
                <w:rFonts w:ascii="宋体" w:hAnsi="宋体" w:hint="eastAsia"/>
                <w:szCs w:val="21"/>
              </w:rPr>
              <w:t>47%</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陈洁</w:t>
            </w:r>
          </w:p>
        </w:tc>
        <w:tc>
          <w:tcPr>
            <w:tcW w:w="3226" w:type="dxa"/>
            <w:vAlign w:val="center"/>
          </w:tcPr>
          <w:p>
            <w:pPr>
              <w:jc w:val="center"/>
              <w:rPr>
                <w:rFonts w:ascii="宋体" w:hAnsi="宋体"/>
                <w:szCs w:val="21"/>
              </w:rPr>
            </w:pPr>
            <w:r>
              <w:rPr>
                <w:rFonts w:ascii="宋体" w:hAnsi="宋体" w:hint="eastAsia"/>
                <w:szCs w:val="21"/>
              </w:rPr>
              <w:t>400万</w:t>
            </w:r>
          </w:p>
        </w:tc>
        <w:tc>
          <w:tcPr>
            <w:tcW w:w="3226" w:type="dxa"/>
            <w:vAlign w:val="center"/>
          </w:tcPr>
          <w:p>
            <w:pPr>
              <w:jc w:val="center"/>
              <w:rPr>
                <w:rFonts w:ascii="宋体" w:hAnsi="宋体"/>
                <w:szCs w:val="21"/>
              </w:rPr>
            </w:pPr>
            <w:r>
              <w:rPr>
                <w:rFonts w:ascii="宋体" w:hAnsi="宋体" w:hint="eastAsia"/>
                <w:szCs w:val="21"/>
              </w:rPr>
              <w:t>44%</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娃娃姐</w:t>
            </w:r>
          </w:p>
        </w:tc>
        <w:tc>
          <w:tcPr>
            <w:tcW w:w="3226" w:type="dxa"/>
            <w:vAlign w:val="center"/>
          </w:tcPr>
          <w:p>
            <w:pPr>
              <w:jc w:val="center"/>
              <w:rPr>
                <w:rFonts w:ascii="宋体" w:hAnsi="宋体"/>
                <w:szCs w:val="21"/>
              </w:rPr>
            </w:pPr>
            <w:r>
              <w:rPr>
                <w:rFonts w:ascii="宋体" w:hAnsi="宋体" w:hint="eastAsia"/>
                <w:szCs w:val="21"/>
              </w:rPr>
              <w:t>360万</w:t>
            </w:r>
          </w:p>
        </w:tc>
        <w:tc>
          <w:tcPr>
            <w:tcW w:w="3226" w:type="dxa"/>
            <w:vAlign w:val="center"/>
          </w:tcPr>
          <w:p>
            <w:pPr>
              <w:jc w:val="center"/>
              <w:rPr>
                <w:rFonts w:ascii="宋体" w:hAnsi="宋体"/>
                <w:szCs w:val="21"/>
              </w:rPr>
            </w:pPr>
            <w:r>
              <w:rPr>
                <w:rFonts w:ascii="宋体" w:hAnsi="宋体" w:hint="eastAsia"/>
                <w:szCs w:val="21"/>
              </w:rPr>
              <w:t>40%</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冯提莫</w:t>
            </w:r>
          </w:p>
        </w:tc>
        <w:tc>
          <w:tcPr>
            <w:tcW w:w="3226" w:type="dxa"/>
            <w:vAlign w:val="center"/>
          </w:tcPr>
          <w:p>
            <w:pPr>
              <w:jc w:val="center"/>
              <w:rPr>
                <w:rFonts w:ascii="宋体" w:hAnsi="宋体"/>
                <w:szCs w:val="21"/>
              </w:rPr>
            </w:pPr>
            <w:r>
              <w:rPr>
                <w:rFonts w:ascii="宋体" w:hAnsi="宋体" w:hint="eastAsia"/>
                <w:szCs w:val="21"/>
              </w:rPr>
              <w:t>320万</w:t>
            </w:r>
          </w:p>
        </w:tc>
        <w:tc>
          <w:tcPr>
            <w:tcW w:w="3226" w:type="dxa"/>
            <w:vAlign w:val="center"/>
          </w:tcPr>
          <w:p>
            <w:pPr>
              <w:jc w:val="center"/>
              <w:rPr>
                <w:rFonts w:ascii="宋体" w:hAnsi="宋体"/>
                <w:szCs w:val="21"/>
              </w:rPr>
            </w:pPr>
            <w:r>
              <w:rPr>
                <w:rFonts w:ascii="宋体" w:hAnsi="宋体" w:hint="eastAsia"/>
                <w:szCs w:val="21"/>
              </w:rPr>
              <w:t>36%</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散打哥</w:t>
            </w:r>
          </w:p>
        </w:tc>
        <w:tc>
          <w:tcPr>
            <w:tcW w:w="3226" w:type="dxa"/>
            <w:vAlign w:val="center"/>
          </w:tcPr>
          <w:p>
            <w:pPr>
              <w:jc w:val="center"/>
              <w:rPr>
                <w:rFonts w:ascii="宋体" w:hAnsi="宋体"/>
                <w:szCs w:val="21"/>
              </w:rPr>
            </w:pPr>
            <w:r>
              <w:rPr>
                <w:rFonts w:ascii="宋体" w:hAnsi="宋体" w:hint="eastAsia"/>
                <w:szCs w:val="21"/>
              </w:rPr>
              <w:t>280万</w:t>
            </w:r>
          </w:p>
        </w:tc>
        <w:tc>
          <w:tcPr>
            <w:tcW w:w="3226" w:type="dxa"/>
            <w:vAlign w:val="center"/>
          </w:tcPr>
          <w:p>
            <w:pPr>
              <w:jc w:val="center"/>
              <w:rPr>
                <w:rFonts w:ascii="宋体" w:hAnsi="宋体"/>
                <w:szCs w:val="21"/>
              </w:rPr>
            </w:pPr>
            <w:r>
              <w:rPr>
                <w:rFonts w:ascii="宋体" w:hAnsi="宋体" w:hint="eastAsia"/>
                <w:szCs w:val="21"/>
              </w:rPr>
              <w:t>33%</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雪梨</w:t>
            </w:r>
          </w:p>
        </w:tc>
        <w:tc>
          <w:tcPr>
            <w:tcW w:w="3226" w:type="dxa"/>
            <w:vAlign w:val="center"/>
          </w:tcPr>
          <w:p>
            <w:pPr>
              <w:jc w:val="center"/>
              <w:rPr>
                <w:rFonts w:ascii="宋体" w:hAnsi="宋体"/>
                <w:szCs w:val="21"/>
              </w:rPr>
            </w:pPr>
            <w:r>
              <w:rPr>
                <w:rFonts w:ascii="宋体" w:hAnsi="宋体" w:hint="eastAsia"/>
                <w:szCs w:val="21"/>
              </w:rPr>
              <w:t>230万</w:t>
            </w:r>
          </w:p>
        </w:tc>
        <w:tc>
          <w:tcPr>
            <w:tcW w:w="3226" w:type="dxa"/>
            <w:vAlign w:val="center"/>
          </w:tcPr>
          <w:p>
            <w:pPr>
              <w:jc w:val="center"/>
              <w:rPr>
                <w:rFonts w:ascii="宋体" w:hAnsi="宋体"/>
                <w:szCs w:val="21"/>
              </w:rPr>
            </w:pPr>
            <w:r>
              <w:rPr>
                <w:rFonts w:ascii="宋体" w:hAnsi="宋体" w:hint="eastAsia"/>
                <w:szCs w:val="21"/>
              </w:rPr>
              <w:t>28%</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球球</w:t>
            </w:r>
          </w:p>
        </w:tc>
        <w:tc>
          <w:tcPr>
            <w:tcW w:w="3226" w:type="dxa"/>
            <w:vAlign w:val="center"/>
          </w:tcPr>
          <w:p>
            <w:pPr>
              <w:jc w:val="center"/>
              <w:rPr>
                <w:rFonts w:ascii="宋体" w:hAnsi="宋体"/>
                <w:szCs w:val="21"/>
              </w:rPr>
            </w:pPr>
            <w:r>
              <w:rPr>
                <w:rFonts w:ascii="宋体" w:hAnsi="宋体" w:hint="eastAsia"/>
                <w:szCs w:val="21"/>
              </w:rPr>
              <w:t>160万</w:t>
            </w:r>
          </w:p>
        </w:tc>
        <w:tc>
          <w:tcPr>
            <w:tcW w:w="3226" w:type="dxa"/>
            <w:vAlign w:val="center"/>
          </w:tcPr>
          <w:p>
            <w:pPr>
              <w:jc w:val="center"/>
              <w:rPr>
                <w:rFonts w:ascii="宋体" w:hAnsi="宋体"/>
                <w:szCs w:val="21"/>
              </w:rPr>
            </w:pPr>
            <w:r>
              <w:rPr>
                <w:rFonts w:ascii="宋体" w:hAnsi="宋体" w:hint="eastAsia"/>
                <w:szCs w:val="21"/>
              </w:rPr>
              <w:t>24%</w:t>
            </w:r>
          </w:p>
        </w:tc>
      </w:tr>
      <w:tr>
        <w:tblPrEx>
          <w:tblW w:w="9677" w:type="dxa"/>
          <w:jc w:val="center"/>
          <w:tblLayout w:type="fixed"/>
          <w:tblCellMar>
            <w:top w:w="0" w:type="dxa"/>
            <w:left w:w="108" w:type="dxa"/>
            <w:bottom w:w="0" w:type="dxa"/>
            <w:right w:w="108" w:type="dxa"/>
          </w:tblCellMar>
        </w:tblPrEx>
        <w:trPr>
          <w:trHeight w:val="510"/>
          <w:jc w:val="center"/>
        </w:trPr>
        <w:tc>
          <w:tcPr>
            <w:tcW w:w="3225" w:type="dxa"/>
            <w:vAlign w:val="center"/>
          </w:tcPr>
          <w:p>
            <w:pPr>
              <w:jc w:val="center"/>
              <w:rPr>
                <w:rFonts w:ascii="宋体" w:hAnsi="宋体"/>
                <w:szCs w:val="21"/>
              </w:rPr>
            </w:pPr>
            <w:r>
              <w:rPr>
                <w:rFonts w:ascii="宋体" w:hAnsi="宋体" w:hint="eastAsia"/>
                <w:szCs w:val="21"/>
              </w:rPr>
              <w:t>仙洋</w:t>
            </w:r>
          </w:p>
        </w:tc>
        <w:tc>
          <w:tcPr>
            <w:tcW w:w="3226" w:type="dxa"/>
            <w:vAlign w:val="center"/>
          </w:tcPr>
          <w:p>
            <w:pPr>
              <w:jc w:val="center"/>
              <w:rPr>
                <w:rFonts w:ascii="宋体" w:hAnsi="宋体"/>
                <w:szCs w:val="21"/>
              </w:rPr>
            </w:pPr>
            <w:r>
              <w:rPr>
                <w:rFonts w:ascii="宋体" w:hAnsi="宋体" w:hint="eastAsia"/>
                <w:szCs w:val="21"/>
              </w:rPr>
              <w:t>100万</w:t>
            </w:r>
          </w:p>
        </w:tc>
        <w:tc>
          <w:tcPr>
            <w:tcW w:w="3226" w:type="dxa"/>
            <w:vAlign w:val="center"/>
          </w:tcPr>
          <w:p>
            <w:pPr>
              <w:jc w:val="center"/>
              <w:rPr>
                <w:rFonts w:ascii="宋体" w:hAnsi="宋体"/>
                <w:szCs w:val="21"/>
              </w:rPr>
            </w:pPr>
            <w:r>
              <w:rPr>
                <w:rFonts w:ascii="宋体" w:hAnsi="宋体" w:hint="eastAsia"/>
                <w:szCs w:val="21"/>
              </w:rPr>
              <w:t>20%</w:t>
            </w:r>
          </w:p>
        </w:tc>
      </w:tr>
    </w:tbl>
    <w:p>
      <w:pPr>
        <w:jc w:val="left"/>
        <w:rPr>
          <w:rFonts w:ascii="宋体" w:hAnsi="宋体" w:hint="eastAsia"/>
          <w:u w:val="single"/>
        </w:rPr>
        <w:sectPr>
          <w:headerReference w:type="even" r:id="rId39"/>
          <w:footerReference w:type="even" r:id="rId40"/>
          <w:footerReference w:type="default" r:id="rId41"/>
          <w:headerReference w:type="first" r:id="rId42"/>
          <w:type w:val="nextPage"/>
          <w:pgSz w:w="11906" w:h="16838"/>
          <w:pgMar w:top="1417" w:right="1248" w:bottom="1247" w:left="1247" w:header="851" w:footer="992" w:gutter="0"/>
          <w:pgNumType w:start="8"/>
          <w:cols w:num="1" w:space="720"/>
          <w:titlePg w:val="0"/>
          <w:docGrid w:type="lines" w:linePitch="312" w:charSpace="0"/>
        </w:sectPr>
      </w:pPr>
      <w:r>
        <w:rPr>
          <w:rFonts w:ascii="宋体" w:hAnsi="宋体" w:hint="eastAsia"/>
        </w:rPr>
        <w:t>资料来源：</w:t>
      </w:r>
      <w:r>
        <w:rPr>
          <w:rFonts w:ascii="宋体" w:hAnsi="宋体" w:hint="eastAsia"/>
          <w:lang w:eastAsia="zh-CN"/>
        </w:rPr>
        <w:t>互联网</w:t>
      </w:r>
    </w:p>
    <w:p>
      <w:pPr>
        <w:spacing w:before="312" w:beforeLines="100" w:after="312" w:afterLines="100" w:line="400" w:lineRule="exact"/>
        <w:ind w:firstLine="600" w:firstLineChars="200"/>
        <w:jc w:val="left"/>
        <w:outlineLvl w:val="2"/>
        <w:rPr>
          <w:rFonts w:ascii="黑体" w:eastAsia="黑体" w:hAnsi="黑体"/>
          <w:sz w:val="30"/>
          <w:szCs w:val="30"/>
          <w:u w:val="single"/>
        </w:rPr>
      </w:pPr>
      <w:bookmarkStart w:id="39" w:name="_Toc65496031"/>
      <w:r>
        <w:rPr>
          <w:rFonts w:ascii="黑体" w:eastAsia="黑体" w:hAnsi="黑体"/>
          <w:sz w:val="30"/>
          <w:szCs w:val="30"/>
        </w:rPr>
        <w:t xml:space="preserve">3.1.3 </w:t>
      </w:r>
      <w:r>
        <w:rPr>
          <w:rFonts w:ascii="黑体" w:eastAsia="黑体" w:hAnsi="黑体" w:hint="eastAsia"/>
          <w:sz w:val="30"/>
          <w:szCs w:val="30"/>
        </w:rPr>
        <w:t>自媒体时代下直播带货</w:t>
      </w:r>
      <w:r>
        <w:rPr>
          <w:rFonts w:ascii="黑体" w:eastAsia="黑体" w:hAnsi="黑体"/>
          <w:sz w:val="30"/>
          <w:szCs w:val="30"/>
        </w:rPr>
        <w:t>的市场规模</w:t>
      </w:r>
      <w:bookmarkEnd w:id="39"/>
    </w:p>
    <w:p>
      <w:pPr>
        <w:spacing w:line="400" w:lineRule="exact"/>
        <w:ind w:firstLine="480" w:firstLineChars="200"/>
        <w:rPr>
          <w:rFonts w:ascii="宋体" w:hAnsi="宋体"/>
          <w:sz w:val="24"/>
        </w:rPr>
      </w:pPr>
      <w:r>
        <w:rPr>
          <w:rFonts w:ascii="宋体" w:hAnsi="宋体" w:hint="eastAsia"/>
          <w:sz w:val="24"/>
        </w:rPr>
        <w:t>直播带货在近两年表现出井喷式增长的趋势，许多品牌电商犹如雨后春笋般蜂拥而上，争先恐后的加入到直播带货的行列当中。根据一些相关的数据显示，在2</w:t>
      </w:r>
      <w:r>
        <w:rPr>
          <w:rFonts w:ascii="宋体" w:hAnsi="宋体"/>
          <w:sz w:val="24"/>
        </w:rPr>
        <w:t>017年到</w:t>
      </w:r>
      <w:r>
        <w:rPr>
          <w:rFonts w:ascii="宋体" w:hAnsi="宋体" w:hint="eastAsia"/>
          <w:sz w:val="24"/>
        </w:rPr>
        <w:t>2019年的两年时间内，国内直播电商市场规模从190亿元飞速涨至4338亿元，2020年中国直播电商的市场规模预测可以将达到9610亿元，对比前两年增长121.53%，整个直播带货行业将继续稳步提升</w:t>
      </w:r>
      <w:r>
        <w:rPr>
          <w:rFonts w:ascii="宋体" w:hAnsi="宋体" w:hint="eastAsia"/>
          <w:sz w:val="24"/>
          <w:vertAlign w:val="superscript"/>
        </w:rPr>
        <w:t>[8]</w:t>
      </w:r>
      <w:r>
        <w:rPr>
          <w:rFonts w:ascii="宋体" w:hAnsi="宋体" w:hint="eastAsia"/>
          <w:sz w:val="24"/>
        </w:rPr>
        <w:t>。</w:t>
      </w:r>
    </w:p>
    <w:p>
      <w:pPr>
        <w:spacing w:line="400" w:lineRule="exact"/>
        <w:ind w:firstLine="480" w:firstLineChars="200"/>
        <w:rPr>
          <w:rFonts w:ascii="宋体" w:hAnsi="宋体"/>
          <w:sz w:val="24"/>
        </w:rPr>
      </w:pPr>
      <w:r>
        <w:rPr>
          <w:rFonts w:ascii="宋体" w:hAnsi="宋体" w:hint="eastAsia"/>
          <w:sz w:val="24"/>
        </w:rPr>
        <w:t>经过了数年的发展，如图3-</w:t>
      </w:r>
      <w:r>
        <w:rPr>
          <w:rFonts w:ascii="宋体" w:hAnsi="宋体"/>
          <w:sz w:val="24"/>
        </w:rPr>
        <w:t>2可见</w:t>
      </w:r>
      <w:r>
        <w:rPr>
          <w:rFonts w:ascii="宋体" w:hAnsi="宋体" w:hint="eastAsia"/>
          <w:sz w:val="24"/>
        </w:rPr>
        <w:t>，在2019年，中国在线直播行业用户规模突破了5亿人次，年增长率保持在10%以上，中国在线直播继续保持高速发展，在2020年用户规模预计将会达5.26亿人。在未来领域，直播带货行业逐渐具有专业化、精细化的阶段特点。</w:t>
      </w:r>
    </w:p>
    <w:p>
      <w:pPr>
        <w:spacing w:line="400" w:lineRule="exact"/>
        <w:ind w:firstLine="420" w:firstLineChars="200"/>
        <w:rPr>
          <w:rFonts w:ascii="宋体" w:hAnsi="宋体"/>
          <w:sz w:val="24"/>
        </w:rPr>
      </w:pPr>
      <w:r>
        <w:rPr>
          <w:rFonts w:hint="eastAsia"/>
        </w:rPr>
        <w:drawing>
          <wp:anchor distT="0" distB="0" distL="114300" distR="114300" simplePos="0" relativeHeight="251667456" behindDoc="0" locked="0" layoutInCell="1" allowOverlap="1">
            <wp:simplePos x="0" y="0"/>
            <wp:positionH relativeFrom="margin">
              <wp:align>center</wp:align>
            </wp:positionH>
            <wp:positionV relativeFrom="paragraph">
              <wp:posOffset>1947545</wp:posOffset>
            </wp:positionV>
            <wp:extent cx="5010150" cy="2867025"/>
            <wp:effectExtent l="0" t="0" r="0" b="9525"/>
            <wp:wrapTopAndBottom/>
            <wp:docPr id="65" name="图表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anchor>
        </w:drawing>
      </w:r>
      <w:r>
        <w:rPr>
          <w:rFonts w:ascii="宋体" w:hAnsi="宋体" w:hint="eastAsia"/>
          <w:sz w:val="24"/>
        </w:rPr>
        <w:t>近两年来，达人主播比例持续下降，而店铺主播比例却不断攀升。直播电商总观看次数在2020年10月高达249.09亿次，同比增长1.48%；主播开播总数有11.44万人之多，在这之中店铺主播的基数最大，而达人主播的数量却从0.69万家降低至0.49万家，仅仅只是8月份到10月份，所占比例33%。不难看出，部分商家开始对直播带货的电商模式表示认同，逐渐拥抱这样一个全新的模式。在另一方面，部分商家对产品的认识比主播更深，并且在供应链具有一定优势的情况下，直播电商不失为令商家实现品质和效能二者合一的有利手段。</w:t>
      </w:r>
    </w:p>
    <w:p>
      <w:pPr>
        <w:spacing w:line="400" w:lineRule="exact"/>
        <w:ind w:firstLine="420" w:firstLineChars="200"/>
        <w:jc w:val="center"/>
        <w:rPr>
          <w:rFonts w:ascii="宋体" w:hAnsi="宋体"/>
          <w:szCs w:val="21"/>
          <w:vertAlign w:val="superscript"/>
        </w:rPr>
      </w:pPr>
      <w:r>
        <w:rPr>
          <w:rFonts w:ascii="宋体" w:hAnsi="宋体" w:hint="eastAsia"/>
          <w:szCs w:val="21"/>
        </w:rPr>
        <w:t>图3-</w:t>
      </w:r>
      <w:r>
        <w:rPr>
          <w:rFonts w:ascii="宋体" w:hAnsi="宋体"/>
          <w:szCs w:val="21"/>
        </w:rPr>
        <w:t>2</w:t>
      </w:r>
      <w:r>
        <w:rPr>
          <w:rFonts w:ascii="宋体" w:hAnsi="宋体" w:hint="eastAsia"/>
          <w:szCs w:val="21"/>
        </w:rPr>
        <w:t xml:space="preserve"> 2016-2020年中国在线直播用户规模及预测</w:t>
      </w:r>
      <w:r>
        <w:rPr>
          <w:rFonts w:ascii="宋体" w:hAnsi="宋体" w:hint="eastAsia"/>
          <w:szCs w:val="21"/>
          <w:vertAlign w:val="superscript"/>
        </w:rPr>
        <w:t>2</w:t>
      </w:r>
    </w:p>
    <w:p>
      <w:pPr>
        <w:pStyle w:val="Heading3"/>
        <w:spacing w:before="312" w:after="312"/>
        <w:rPr>
          <w:rFonts w:hAnsi="黑体"/>
        </w:rPr>
      </w:pPr>
      <w:bookmarkStart w:id="40" w:name="_Toc65496032"/>
      <w:r>
        <w:rPr>
          <w:rFonts w:hAnsi="黑体"/>
        </w:rPr>
        <w:t xml:space="preserve">3.1.4 </w:t>
      </w:r>
      <w:r>
        <w:rPr>
          <w:rFonts w:hAnsi="黑体" w:hint="eastAsia"/>
        </w:rPr>
        <w:t>自媒体时代下直播带货</w:t>
      </w:r>
      <w:r>
        <w:rPr>
          <w:rFonts w:hAnsi="黑体"/>
        </w:rPr>
        <w:t>的运营模式</w:t>
      </w:r>
      <w:bookmarkEnd w:id="40"/>
    </w:p>
    <w:p>
      <w:pPr>
        <w:spacing w:line="400" w:lineRule="exact"/>
        <w:ind w:firstLine="480" w:firstLineChars="200"/>
        <w:rPr>
          <w:rFonts w:ascii="宋体" w:hAnsi="宋体"/>
          <w:color w:val="FF0000"/>
          <w:sz w:val="24"/>
        </w:rPr>
      </w:pPr>
      <w:r>
        <w:rPr>
          <w:rFonts w:ascii="宋体" w:hAnsi="宋体"/>
          <w:color w:val="FF0000"/>
          <w:sz w:val="24"/>
        </w:rPr>
        <w:br/>
      </w:r>
      <w:r>
        <w:rPr>
          <w:rFonts w:ascii="宋体" w:hAnsi="宋体"/>
          <w:color w:val="FF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https://d.book118.com/678130060045006025</w:t>
        </w:r>
      </w:hyperlink>
    </w:p>
    <w:p>
      <w:pPr>
        <w:spacing w:line="400" w:lineRule="exact"/>
        <w:ind w:firstLine="480" w:firstLineChars="200"/>
        <w:rPr>
          <w:rFonts w:ascii="宋体" w:hAnsi="宋体"/>
          <w:color w:val="FF0000"/>
          <w:sz w:val="24"/>
        </w:rPr>
      </w:pPr>
    </w:p>
    <w:sectPr>
      <w:headerReference w:type="even" r:id="rId45"/>
      <w:footerReference w:type="even" r:id="rId46"/>
      <w:footerReference w:type="default" r:id="rId47"/>
      <w:headerReference w:type="first" r:id="rId48"/>
      <w:type w:val="nextPage"/>
      <w:pgSz w:w="11906" w:h="16838"/>
      <w:pgMar w:top="1417" w:right="1248" w:bottom="1247" w:left="1247" w:header="851" w:footer="992"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等线 Light">
    <w:panose1 w:val="02010600030101010101"/>
    <w:charset w:val="86"/>
    <w:family w:val="auto"/>
    <w:pitch w:val="default"/>
    <w:sig w:usb0="A00002BF" w:usb1="38CF7CFA" w:usb2="00000016" w:usb3="00000000" w:csb0="0004000F" w:csb1="00000000"/>
  </w:font>
  <w:font w:name="华文行楷">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Malgun Gothic">
    <w:panose1 w:val="020B0503020000020004"/>
    <w:charset w:val="81"/>
    <w:family w:val="swiss"/>
    <w:pitch w:val="default"/>
    <w:sig w:usb0="900002AF" w:usb1="01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20</w:t>
    </w:r>
    <w:r>
      <w:fldChar w:fldCharType="end"/>
    </w:r>
  </w:p>
  <w:p>
    <w:pPr>
      <w:pStyle w:val="Footer"/>
      <w:ind w:right="360"/>
      <w:rPr>
        <w:rFonts w:ascii="宋体" w:hAnsi="宋体"/>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ind w:right="360"/>
      <w:rPr>
        <w:rFonts w:ascii="宋体" w:hAnsi="宋体"/>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ind w:right="360"/>
      <w:rPr>
        <w:rFonts w:ascii="宋体" w:hAnsi="宋体"/>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4</w:t>
    </w:r>
    <w:r>
      <w:fldChar w:fldCharType="end"/>
    </w:r>
  </w:p>
  <w:p>
    <w:pPr>
      <w:pStyle w:val="Footer"/>
      <w:ind w:right="360"/>
      <w:rPr>
        <w:rFonts w:ascii="宋体" w:hAnsi="宋体"/>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5</w:t>
    </w:r>
    <w:r>
      <w:fldChar w:fldCharType="end"/>
    </w:r>
  </w:p>
  <w:p>
    <w:pPr>
      <w:pStyle w:val="Footer"/>
      <w:ind w:right="360"/>
      <w:rPr>
        <w:rFonts w:ascii="宋体" w:hAnsi="宋体"/>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7</w:t>
    </w:r>
    <w:r>
      <w:fldChar w:fldCharType="end"/>
    </w:r>
  </w:p>
  <w:p>
    <w:pPr>
      <w:pStyle w:val="Footer"/>
      <w:ind w:right="360"/>
      <w:rPr>
        <w:rFonts w:ascii="宋体" w:hAnsi="宋体"/>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7</w:t>
    </w:r>
    <w:r>
      <w:fldChar w:fldCharType="end"/>
    </w:r>
  </w:p>
  <w:p>
    <w:pPr>
      <w:pStyle w:val="Footer"/>
      <w:ind w:right="360"/>
      <w:rPr>
        <w:rFonts w:ascii="宋体" w:hAnsi="宋体"/>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rPr>
        <w:rFonts w:ascii="宋体" w:hAnsi="宋体"/>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9</w:t>
    </w:r>
    <w:r>
      <w:fldChar w:fldCharType="end"/>
    </w:r>
  </w:p>
  <w:p>
    <w:pPr>
      <w:pStyle w:val="Footer"/>
      <w:ind w:right="360"/>
      <w:rPr>
        <w:rFonts w:ascii="宋体" w:hAnsi="宋体"/>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ascii="宋体" w:hAnsi="宋体" w:hint="eastAsia"/>
        <w:sz w:val="21"/>
        <w:szCs w:val="21"/>
      </w:rPr>
      <w:t xml:space="preserve">厦门工学院  </w:t>
    </w:r>
    <w:r>
      <w:rPr>
        <w:rFonts w:ascii="宋体" w:hAnsi="宋体"/>
        <w:sz w:val="21"/>
        <w:szCs w:val="21"/>
      </w:rPr>
      <w:t>毕业设计(论文)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9C58A0E"/>
    <w:multiLevelType w:val="singleLevel"/>
    <w:tmpl w:val="E9C58A0E"/>
    <w:lvl w:ilvl="0">
      <w:start w:val="1"/>
      <w:numFmt w:val="decimal"/>
      <w:suff w:val="nothing"/>
      <w:lvlText w:val="（%1）"/>
      <w:lvlJc w:val="left"/>
      <w:rPr>
        <w:rFonts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222"/>
    <w:rsid w:val="00002571"/>
    <w:rsid w:val="00004671"/>
    <w:rsid w:val="000076A8"/>
    <w:rsid w:val="00010EF8"/>
    <w:rsid w:val="000135A2"/>
    <w:rsid w:val="000137CF"/>
    <w:rsid w:val="00015AD1"/>
    <w:rsid w:val="00015FCF"/>
    <w:rsid w:val="00020EE3"/>
    <w:rsid w:val="000221C1"/>
    <w:rsid w:val="00023E94"/>
    <w:rsid w:val="00026B73"/>
    <w:rsid w:val="00030B73"/>
    <w:rsid w:val="000342C3"/>
    <w:rsid w:val="000365A5"/>
    <w:rsid w:val="000409DA"/>
    <w:rsid w:val="00043700"/>
    <w:rsid w:val="00045570"/>
    <w:rsid w:val="00046D64"/>
    <w:rsid w:val="00047107"/>
    <w:rsid w:val="000502B0"/>
    <w:rsid w:val="0005075F"/>
    <w:rsid w:val="00052157"/>
    <w:rsid w:val="00053B3F"/>
    <w:rsid w:val="00054EFC"/>
    <w:rsid w:val="0005790A"/>
    <w:rsid w:val="000600B1"/>
    <w:rsid w:val="00061571"/>
    <w:rsid w:val="000615D2"/>
    <w:rsid w:val="00062273"/>
    <w:rsid w:val="000652D4"/>
    <w:rsid w:val="00067959"/>
    <w:rsid w:val="00073E9C"/>
    <w:rsid w:val="000740F9"/>
    <w:rsid w:val="00075670"/>
    <w:rsid w:val="00077303"/>
    <w:rsid w:val="0008356A"/>
    <w:rsid w:val="000858E8"/>
    <w:rsid w:val="00085928"/>
    <w:rsid w:val="00087D96"/>
    <w:rsid w:val="00087F58"/>
    <w:rsid w:val="0009139B"/>
    <w:rsid w:val="00092297"/>
    <w:rsid w:val="00092902"/>
    <w:rsid w:val="00093E9E"/>
    <w:rsid w:val="0009497B"/>
    <w:rsid w:val="00094E5F"/>
    <w:rsid w:val="00094FCA"/>
    <w:rsid w:val="000954DC"/>
    <w:rsid w:val="000969EB"/>
    <w:rsid w:val="00096E96"/>
    <w:rsid w:val="0009736D"/>
    <w:rsid w:val="000A0068"/>
    <w:rsid w:val="000A2BFA"/>
    <w:rsid w:val="000A6018"/>
    <w:rsid w:val="000A7245"/>
    <w:rsid w:val="000B1D55"/>
    <w:rsid w:val="000B24D7"/>
    <w:rsid w:val="000B3C60"/>
    <w:rsid w:val="000B6A6F"/>
    <w:rsid w:val="000B7668"/>
    <w:rsid w:val="000C1B5F"/>
    <w:rsid w:val="000C2506"/>
    <w:rsid w:val="000C2DE9"/>
    <w:rsid w:val="000C5564"/>
    <w:rsid w:val="000C589C"/>
    <w:rsid w:val="000C6017"/>
    <w:rsid w:val="000C7187"/>
    <w:rsid w:val="000C7FFC"/>
    <w:rsid w:val="000D0471"/>
    <w:rsid w:val="000D0C92"/>
    <w:rsid w:val="000D0D1A"/>
    <w:rsid w:val="000D2EB3"/>
    <w:rsid w:val="000D440E"/>
    <w:rsid w:val="000D6178"/>
    <w:rsid w:val="000D696B"/>
    <w:rsid w:val="000D69ED"/>
    <w:rsid w:val="000D73BF"/>
    <w:rsid w:val="000E14D4"/>
    <w:rsid w:val="000E2046"/>
    <w:rsid w:val="000E32F4"/>
    <w:rsid w:val="000E3B1C"/>
    <w:rsid w:val="000E65EC"/>
    <w:rsid w:val="000F04D1"/>
    <w:rsid w:val="000F1637"/>
    <w:rsid w:val="000F1DFB"/>
    <w:rsid w:val="000F1FC8"/>
    <w:rsid w:val="000F2F5A"/>
    <w:rsid w:val="000F572C"/>
    <w:rsid w:val="000F6B98"/>
    <w:rsid w:val="000F744C"/>
    <w:rsid w:val="00100203"/>
    <w:rsid w:val="0010072A"/>
    <w:rsid w:val="001019F9"/>
    <w:rsid w:val="00101B3C"/>
    <w:rsid w:val="00102006"/>
    <w:rsid w:val="00103033"/>
    <w:rsid w:val="001041CA"/>
    <w:rsid w:val="00104BE7"/>
    <w:rsid w:val="00104E3F"/>
    <w:rsid w:val="001057B8"/>
    <w:rsid w:val="00105B14"/>
    <w:rsid w:val="00106CAC"/>
    <w:rsid w:val="00107DE3"/>
    <w:rsid w:val="00110AD2"/>
    <w:rsid w:val="00111128"/>
    <w:rsid w:val="00111375"/>
    <w:rsid w:val="001114E7"/>
    <w:rsid w:val="00111DA2"/>
    <w:rsid w:val="00112AAF"/>
    <w:rsid w:val="00113FDB"/>
    <w:rsid w:val="00114E93"/>
    <w:rsid w:val="00116275"/>
    <w:rsid w:val="001178E0"/>
    <w:rsid w:val="001202B2"/>
    <w:rsid w:val="00121651"/>
    <w:rsid w:val="0012302C"/>
    <w:rsid w:val="001246E4"/>
    <w:rsid w:val="00125132"/>
    <w:rsid w:val="001254E4"/>
    <w:rsid w:val="00126220"/>
    <w:rsid w:val="0013324B"/>
    <w:rsid w:val="00134591"/>
    <w:rsid w:val="00134CA9"/>
    <w:rsid w:val="001352DA"/>
    <w:rsid w:val="001357DB"/>
    <w:rsid w:val="001367B7"/>
    <w:rsid w:val="00136B5B"/>
    <w:rsid w:val="0013734E"/>
    <w:rsid w:val="0013742D"/>
    <w:rsid w:val="0014053E"/>
    <w:rsid w:val="00140756"/>
    <w:rsid w:val="00140925"/>
    <w:rsid w:val="00141BBC"/>
    <w:rsid w:val="0014358B"/>
    <w:rsid w:val="001448CF"/>
    <w:rsid w:val="00144A78"/>
    <w:rsid w:val="0014652D"/>
    <w:rsid w:val="00146B6D"/>
    <w:rsid w:val="00146B79"/>
    <w:rsid w:val="00146FC4"/>
    <w:rsid w:val="0015086C"/>
    <w:rsid w:val="00151586"/>
    <w:rsid w:val="0015191B"/>
    <w:rsid w:val="001525FA"/>
    <w:rsid w:val="00154A77"/>
    <w:rsid w:val="00155D77"/>
    <w:rsid w:val="001611DA"/>
    <w:rsid w:val="00164939"/>
    <w:rsid w:val="00164C44"/>
    <w:rsid w:val="001741DE"/>
    <w:rsid w:val="00174E7C"/>
    <w:rsid w:val="00175068"/>
    <w:rsid w:val="0017521B"/>
    <w:rsid w:val="001752C4"/>
    <w:rsid w:val="001767A1"/>
    <w:rsid w:val="00176DD4"/>
    <w:rsid w:val="001802DB"/>
    <w:rsid w:val="001803EA"/>
    <w:rsid w:val="00180664"/>
    <w:rsid w:val="00180F55"/>
    <w:rsid w:val="001812D4"/>
    <w:rsid w:val="001818D3"/>
    <w:rsid w:val="00182CFE"/>
    <w:rsid w:val="001854DB"/>
    <w:rsid w:val="001859EE"/>
    <w:rsid w:val="001860AB"/>
    <w:rsid w:val="001920A8"/>
    <w:rsid w:val="0019344A"/>
    <w:rsid w:val="001936A9"/>
    <w:rsid w:val="001937D8"/>
    <w:rsid w:val="00197F8F"/>
    <w:rsid w:val="001A0625"/>
    <w:rsid w:val="001A08CF"/>
    <w:rsid w:val="001A0B68"/>
    <w:rsid w:val="001A2788"/>
    <w:rsid w:val="001A2ED3"/>
    <w:rsid w:val="001A3C5E"/>
    <w:rsid w:val="001A66B3"/>
    <w:rsid w:val="001A759F"/>
    <w:rsid w:val="001B265A"/>
    <w:rsid w:val="001B3A94"/>
    <w:rsid w:val="001B3C74"/>
    <w:rsid w:val="001B3CA4"/>
    <w:rsid w:val="001B42BD"/>
    <w:rsid w:val="001B6FC0"/>
    <w:rsid w:val="001C0038"/>
    <w:rsid w:val="001C1FA5"/>
    <w:rsid w:val="001C2B20"/>
    <w:rsid w:val="001C32E9"/>
    <w:rsid w:val="001C4415"/>
    <w:rsid w:val="001C485A"/>
    <w:rsid w:val="001C5AFC"/>
    <w:rsid w:val="001C6AA0"/>
    <w:rsid w:val="001C7443"/>
    <w:rsid w:val="001D5086"/>
    <w:rsid w:val="001D5765"/>
    <w:rsid w:val="001D6EF1"/>
    <w:rsid w:val="001E01B7"/>
    <w:rsid w:val="001E0492"/>
    <w:rsid w:val="001E110F"/>
    <w:rsid w:val="001E2410"/>
    <w:rsid w:val="001E2ABB"/>
    <w:rsid w:val="001E3493"/>
    <w:rsid w:val="001E5C6A"/>
    <w:rsid w:val="001E5E3E"/>
    <w:rsid w:val="001E752C"/>
    <w:rsid w:val="001F1440"/>
    <w:rsid w:val="001F38D3"/>
    <w:rsid w:val="001F42A5"/>
    <w:rsid w:val="001F6E32"/>
    <w:rsid w:val="001F7393"/>
    <w:rsid w:val="00200222"/>
    <w:rsid w:val="00201822"/>
    <w:rsid w:val="002042B1"/>
    <w:rsid w:val="00204B97"/>
    <w:rsid w:val="00205342"/>
    <w:rsid w:val="00211AB8"/>
    <w:rsid w:val="002126AA"/>
    <w:rsid w:val="00213E4F"/>
    <w:rsid w:val="00215EB5"/>
    <w:rsid w:val="00216730"/>
    <w:rsid w:val="00217372"/>
    <w:rsid w:val="00221507"/>
    <w:rsid w:val="00222FFE"/>
    <w:rsid w:val="00223CE5"/>
    <w:rsid w:val="00225A9A"/>
    <w:rsid w:val="002263B9"/>
    <w:rsid w:val="002275CC"/>
    <w:rsid w:val="00227819"/>
    <w:rsid w:val="00227B94"/>
    <w:rsid w:val="0023034B"/>
    <w:rsid w:val="0023068E"/>
    <w:rsid w:val="00231321"/>
    <w:rsid w:val="00231FFE"/>
    <w:rsid w:val="00232680"/>
    <w:rsid w:val="00236999"/>
    <w:rsid w:val="00236C71"/>
    <w:rsid w:val="00240E96"/>
    <w:rsid w:val="002418AF"/>
    <w:rsid w:val="00242006"/>
    <w:rsid w:val="00245EE6"/>
    <w:rsid w:val="002472BC"/>
    <w:rsid w:val="002476AC"/>
    <w:rsid w:val="002520C6"/>
    <w:rsid w:val="00253C50"/>
    <w:rsid w:val="00254BE6"/>
    <w:rsid w:val="002602DD"/>
    <w:rsid w:val="002608D6"/>
    <w:rsid w:val="0026127E"/>
    <w:rsid w:val="0026359E"/>
    <w:rsid w:val="002638CC"/>
    <w:rsid w:val="00263EEB"/>
    <w:rsid w:val="002640BD"/>
    <w:rsid w:val="0026507A"/>
    <w:rsid w:val="00265725"/>
    <w:rsid w:val="00265B97"/>
    <w:rsid w:val="00267ECC"/>
    <w:rsid w:val="0027030C"/>
    <w:rsid w:val="00270ABB"/>
    <w:rsid w:val="0027106A"/>
    <w:rsid w:val="002728B1"/>
    <w:rsid w:val="00274345"/>
    <w:rsid w:val="00275BA9"/>
    <w:rsid w:val="002765EE"/>
    <w:rsid w:val="002802BF"/>
    <w:rsid w:val="0028207A"/>
    <w:rsid w:val="002833A8"/>
    <w:rsid w:val="00283A84"/>
    <w:rsid w:val="002843C9"/>
    <w:rsid w:val="002849DA"/>
    <w:rsid w:val="0028647D"/>
    <w:rsid w:val="002864DF"/>
    <w:rsid w:val="00286569"/>
    <w:rsid w:val="002927E0"/>
    <w:rsid w:val="002928B8"/>
    <w:rsid w:val="00292AE8"/>
    <w:rsid w:val="002930AA"/>
    <w:rsid w:val="00294318"/>
    <w:rsid w:val="00294400"/>
    <w:rsid w:val="002947E8"/>
    <w:rsid w:val="00294D5A"/>
    <w:rsid w:val="0029508B"/>
    <w:rsid w:val="002956E5"/>
    <w:rsid w:val="00295CAE"/>
    <w:rsid w:val="00296373"/>
    <w:rsid w:val="00297FE9"/>
    <w:rsid w:val="002A04B5"/>
    <w:rsid w:val="002A13CF"/>
    <w:rsid w:val="002A2CDA"/>
    <w:rsid w:val="002A559A"/>
    <w:rsid w:val="002A57FE"/>
    <w:rsid w:val="002A5C36"/>
    <w:rsid w:val="002A6D49"/>
    <w:rsid w:val="002A6E8F"/>
    <w:rsid w:val="002B13B8"/>
    <w:rsid w:val="002B1FBA"/>
    <w:rsid w:val="002B5F04"/>
    <w:rsid w:val="002B6530"/>
    <w:rsid w:val="002B7ED7"/>
    <w:rsid w:val="002C01F3"/>
    <w:rsid w:val="002C02F1"/>
    <w:rsid w:val="002C33D5"/>
    <w:rsid w:val="002C4514"/>
    <w:rsid w:val="002C4A8B"/>
    <w:rsid w:val="002C7C46"/>
    <w:rsid w:val="002D1D65"/>
    <w:rsid w:val="002D27D9"/>
    <w:rsid w:val="002D3F3B"/>
    <w:rsid w:val="002D4951"/>
    <w:rsid w:val="002D4DD3"/>
    <w:rsid w:val="002D595D"/>
    <w:rsid w:val="002D75C1"/>
    <w:rsid w:val="002D78DD"/>
    <w:rsid w:val="002E05BB"/>
    <w:rsid w:val="002E065D"/>
    <w:rsid w:val="002E1EC5"/>
    <w:rsid w:val="002E2827"/>
    <w:rsid w:val="002E319D"/>
    <w:rsid w:val="002E3B3E"/>
    <w:rsid w:val="002E52EE"/>
    <w:rsid w:val="002E7FF2"/>
    <w:rsid w:val="002F19D5"/>
    <w:rsid w:val="002F30A6"/>
    <w:rsid w:val="002F3C2E"/>
    <w:rsid w:val="002F3E11"/>
    <w:rsid w:val="002F4DF7"/>
    <w:rsid w:val="002F5A13"/>
    <w:rsid w:val="002F5B6E"/>
    <w:rsid w:val="002F5B79"/>
    <w:rsid w:val="002F7286"/>
    <w:rsid w:val="00303F56"/>
    <w:rsid w:val="003043D7"/>
    <w:rsid w:val="00304BCE"/>
    <w:rsid w:val="00306125"/>
    <w:rsid w:val="003070CC"/>
    <w:rsid w:val="0031102F"/>
    <w:rsid w:val="003112AE"/>
    <w:rsid w:val="00311B02"/>
    <w:rsid w:val="00311DBB"/>
    <w:rsid w:val="00312CF7"/>
    <w:rsid w:val="0031355A"/>
    <w:rsid w:val="0031566B"/>
    <w:rsid w:val="00316F95"/>
    <w:rsid w:val="00317AB5"/>
    <w:rsid w:val="003216DA"/>
    <w:rsid w:val="0032332E"/>
    <w:rsid w:val="003234D7"/>
    <w:rsid w:val="00323753"/>
    <w:rsid w:val="00323BF1"/>
    <w:rsid w:val="00323C58"/>
    <w:rsid w:val="00323CC9"/>
    <w:rsid w:val="00323F51"/>
    <w:rsid w:val="00324CD3"/>
    <w:rsid w:val="00326B02"/>
    <w:rsid w:val="00332952"/>
    <w:rsid w:val="003338E5"/>
    <w:rsid w:val="0033439A"/>
    <w:rsid w:val="003351EB"/>
    <w:rsid w:val="00345941"/>
    <w:rsid w:val="003475F6"/>
    <w:rsid w:val="0035029D"/>
    <w:rsid w:val="003522E5"/>
    <w:rsid w:val="00353079"/>
    <w:rsid w:val="00357591"/>
    <w:rsid w:val="003604A8"/>
    <w:rsid w:val="00362D9A"/>
    <w:rsid w:val="003632E3"/>
    <w:rsid w:val="00363BC4"/>
    <w:rsid w:val="00364160"/>
    <w:rsid w:val="00365F61"/>
    <w:rsid w:val="0036606E"/>
    <w:rsid w:val="0037021E"/>
    <w:rsid w:val="0037024B"/>
    <w:rsid w:val="0037060C"/>
    <w:rsid w:val="003716F7"/>
    <w:rsid w:val="00371A18"/>
    <w:rsid w:val="00376021"/>
    <w:rsid w:val="00382091"/>
    <w:rsid w:val="00382E2E"/>
    <w:rsid w:val="00383F9B"/>
    <w:rsid w:val="0038517D"/>
    <w:rsid w:val="00390653"/>
    <w:rsid w:val="003927E8"/>
    <w:rsid w:val="00393772"/>
    <w:rsid w:val="003941D2"/>
    <w:rsid w:val="00395C12"/>
    <w:rsid w:val="00395DEA"/>
    <w:rsid w:val="003967C9"/>
    <w:rsid w:val="003A00EF"/>
    <w:rsid w:val="003A2B31"/>
    <w:rsid w:val="003A3200"/>
    <w:rsid w:val="003A56F0"/>
    <w:rsid w:val="003A6E71"/>
    <w:rsid w:val="003A75FF"/>
    <w:rsid w:val="003B0728"/>
    <w:rsid w:val="003B1CC5"/>
    <w:rsid w:val="003B1E27"/>
    <w:rsid w:val="003B2118"/>
    <w:rsid w:val="003B3744"/>
    <w:rsid w:val="003B3ED2"/>
    <w:rsid w:val="003B501B"/>
    <w:rsid w:val="003C1A9D"/>
    <w:rsid w:val="003C22A9"/>
    <w:rsid w:val="003C22CA"/>
    <w:rsid w:val="003C2645"/>
    <w:rsid w:val="003C2B1F"/>
    <w:rsid w:val="003C4E40"/>
    <w:rsid w:val="003C5221"/>
    <w:rsid w:val="003C5737"/>
    <w:rsid w:val="003C6DB9"/>
    <w:rsid w:val="003C6E2B"/>
    <w:rsid w:val="003D4400"/>
    <w:rsid w:val="003D49E3"/>
    <w:rsid w:val="003D674F"/>
    <w:rsid w:val="003D7267"/>
    <w:rsid w:val="003D7609"/>
    <w:rsid w:val="003D77AF"/>
    <w:rsid w:val="003E2ED8"/>
    <w:rsid w:val="003E3D07"/>
    <w:rsid w:val="003E4053"/>
    <w:rsid w:val="003E52D9"/>
    <w:rsid w:val="003E6750"/>
    <w:rsid w:val="003F001A"/>
    <w:rsid w:val="003F1A44"/>
    <w:rsid w:val="003F1FDA"/>
    <w:rsid w:val="003F21F2"/>
    <w:rsid w:val="003F4F84"/>
    <w:rsid w:val="003F5656"/>
    <w:rsid w:val="003F57ED"/>
    <w:rsid w:val="003F68C5"/>
    <w:rsid w:val="003F6AB3"/>
    <w:rsid w:val="004014A7"/>
    <w:rsid w:val="00402F6B"/>
    <w:rsid w:val="00403D5F"/>
    <w:rsid w:val="0041011E"/>
    <w:rsid w:val="004137BF"/>
    <w:rsid w:val="00413D10"/>
    <w:rsid w:val="00414339"/>
    <w:rsid w:val="0041753F"/>
    <w:rsid w:val="00420CBC"/>
    <w:rsid w:val="004222C8"/>
    <w:rsid w:val="0042307F"/>
    <w:rsid w:val="00426009"/>
    <w:rsid w:val="0043008B"/>
    <w:rsid w:val="0043148F"/>
    <w:rsid w:val="00432224"/>
    <w:rsid w:val="0043242D"/>
    <w:rsid w:val="004345B0"/>
    <w:rsid w:val="00434FEE"/>
    <w:rsid w:val="00435FD8"/>
    <w:rsid w:val="00436B65"/>
    <w:rsid w:val="00436CA0"/>
    <w:rsid w:val="00440338"/>
    <w:rsid w:val="00441DAD"/>
    <w:rsid w:val="004421A4"/>
    <w:rsid w:val="004433E2"/>
    <w:rsid w:val="004444BB"/>
    <w:rsid w:val="00445468"/>
    <w:rsid w:val="00446C04"/>
    <w:rsid w:val="004476E9"/>
    <w:rsid w:val="00447F6E"/>
    <w:rsid w:val="00450EC6"/>
    <w:rsid w:val="004513FB"/>
    <w:rsid w:val="00453091"/>
    <w:rsid w:val="004546BA"/>
    <w:rsid w:val="004572A8"/>
    <w:rsid w:val="004601EF"/>
    <w:rsid w:val="004611FF"/>
    <w:rsid w:val="00462118"/>
    <w:rsid w:val="00465200"/>
    <w:rsid w:val="004666BD"/>
    <w:rsid w:val="00466B8D"/>
    <w:rsid w:val="00467B26"/>
    <w:rsid w:val="004706C6"/>
    <w:rsid w:val="004746CA"/>
    <w:rsid w:val="004749CD"/>
    <w:rsid w:val="00476E10"/>
    <w:rsid w:val="00477458"/>
    <w:rsid w:val="00481D6C"/>
    <w:rsid w:val="00481EAD"/>
    <w:rsid w:val="00483804"/>
    <w:rsid w:val="0048393F"/>
    <w:rsid w:val="00485B8D"/>
    <w:rsid w:val="00486C7A"/>
    <w:rsid w:val="0049090A"/>
    <w:rsid w:val="00494FE6"/>
    <w:rsid w:val="00496D75"/>
    <w:rsid w:val="004A2231"/>
    <w:rsid w:val="004A2D2F"/>
    <w:rsid w:val="004A5017"/>
    <w:rsid w:val="004A534F"/>
    <w:rsid w:val="004A57E3"/>
    <w:rsid w:val="004A5928"/>
    <w:rsid w:val="004B33B3"/>
    <w:rsid w:val="004B4315"/>
    <w:rsid w:val="004B431D"/>
    <w:rsid w:val="004B4D0E"/>
    <w:rsid w:val="004B52D5"/>
    <w:rsid w:val="004C0BA6"/>
    <w:rsid w:val="004C1DC0"/>
    <w:rsid w:val="004C28F7"/>
    <w:rsid w:val="004C2AFA"/>
    <w:rsid w:val="004C3FED"/>
    <w:rsid w:val="004C414F"/>
    <w:rsid w:val="004C51E0"/>
    <w:rsid w:val="004C59EA"/>
    <w:rsid w:val="004C5B99"/>
    <w:rsid w:val="004C5C37"/>
    <w:rsid w:val="004C60AA"/>
    <w:rsid w:val="004C6861"/>
    <w:rsid w:val="004D0124"/>
    <w:rsid w:val="004D06B0"/>
    <w:rsid w:val="004D168F"/>
    <w:rsid w:val="004D1B5D"/>
    <w:rsid w:val="004D1C8B"/>
    <w:rsid w:val="004D1CC9"/>
    <w:rsid w:val="004D37C9"/>
    <w:rsid w:val="004D5657"/>
    <w:rsid w:val="004E13B6"/>
    <w:rsid w:val="004E16F4"/>
    <w:rsid w:val="004E3B80"/>
    <w:rsid w:val="004E3C7C"/>
    <w:rsid w:val="004E5CC0"/>
    <w:rsid w:val="004E703B"/>
    <w:rsid w:val="004E7670"/>
    <w:rsid w:val="004E78F9"/>
    <w:rsid w:val="004F048D"/>
    <w:rsid w:val="004F1D41"/>
    <w:rsid w:val="004F2261"/>
    <w:rsid w:val="004F2B01"/>
    <w:rsid w:val="004F748D"/>
    <w:rsid w:val="004F75BD"/>
    <w:rsid w:val="004F76B2"/>
    <w:rsid w:val="0050125E"/>
    <w:rsid w:val="00502CE0"/>
    <w:rsid w:val="00504F9B"/>
    <w:rsid w:val="00505425"/>
    <w:rsid w:val="00505807"/>
    <w:rsid w:val="0051099C"/>
    <w:rsid w:val="00512783"/>
    <w:rsid w:val="00513786"/>
    <w:rsid w:val="00514811"/>
    <w:rsid w:val="0051740E"/>
    <w:rsid w:val="00521A66"/>
    <w:rsid w:val="005222E1"/>
    <w:rsid w:val="0052448F"/>
    <w:rsid w:val="00527549"/>
    <w:rsid w:val="00527F91"/>
    <w:rsid w:val="00532C2E"/>
    <w:rsid w:val="00533B9F"/>
    <w:rsid w:val="00533EBA"/>
    <w:rsid w:val="005406F0"/>
    <w:rsid w:val="0054252C"/>
    <w:rsid w:val="00543D02"/>
    <w:rsid w:val="0054463B"/>
    <w:rsid w:val="00551A6C"/>
    <w:rsid w:val="005536E0"/>
    <w:rsid w:val="00554A11"/>
    <w:rsid w:val="00554B99"/>
    <w:rsid w:val="005561C0"/>
    <w:rsid w:val="005564F6"/>
    <w:rsid w:val="00560155"/>
    <w:rsid w:val="00560F06"/>
    <w:rsid w:val="00561642"/>
    <w:rsid w:val="005621DE"/>
    <w:rsid w:val="00563127"/>
    <w:rsid w:val="00563B79"/>
    <w:rsid w:val="00565288"/>
    <w:rsid w:val="00566865"/>
    <w:rsid w:val="00567241"/>
    <w:rsid w:val="0057576F"/>
    <w:rsid w:val="005762CD"/>
    <w:rsid w:val="00576975"/>
    <w:rsid w:val="00576FC1"/>
    <w:rsid w:val="00581746"/>
    <w:rsid w:val="00586EB3"/>
    <w:rsid w:val="00591452"/>
    <w:rsid w:val="00591705"/>
    <w:rsid w:val="00593353"/>
    <w:rsid w:val="00594DC1"/>
    <w:rsid w:val="0059534E"/>
    <w:rsid w:val="00595FE2"/>
    <w:rsid w:val="0059712F"/>
    <w:rsid w:val="00597383"/>
    <w:rsid w:val="005A04EF"/>
    <w:rsid w:val="005A0A44"/>
    <w:rsid w:val="005A13FD"/>
    <w:rsid w:val="005A15D8"/>
    <w:rsid w:val="005A267D"/>
    <w:rsid w:val="005A2E4F"/>
    <w:rsid w:val="005A2F18"/>
    <w:rsid w:val="005A3304"/>
    <w:rsid w:val="005A349A"/>
    <w:rsid w:val="005A3C32"/>
    <w:rsid w:val="005A7F87"/>
    <w:rsid w:val="005B04C4"/>
    <w:rsid w:val="005B246B"/>
    <w:rsid w:val="005B51ED"/>
    <w:rsid w:val="005B5C58"/>
    <w:rsid w:val="005B5FD5"/>
    <w:rsid w:val="005B7F46"/>
    <w:rsid w:val="005C0193"/>
    <w:rsid w:val="005C211C"/>
    <w:rsid w:val="005C2C02"/>
    <w:rsid w:val="005C678B"/>
    <w:rsid w:val="005C6B1F"/>
    <w:rsid w:val="005C6DAE"/>
    <w:rsid w:val="005D02E5"/>
    <w:rsid w:val="005D11F2"/>
    <w:rsid w:val="005D1E92"/>
    <w:rsid w:val="005D1F1B"/>
    <w:rsid w:val="005D2671"/>
    <w:rsid w:val="005D45F9"/>
    <w:rsid w:val="005D63B4"/>
    <w:rsid w:val="005D70BC"/>
    <w:rsid w:val="005D7195"/>
    <w:rsid w:val="005E0372"/>
    <w:rsid w:val="005E2482"/>
    <w:rsid w:val="005E4E09"/>
    <w:rsid w:val="005E6C08"/>
    <w:rsid w:val="005E7CB9"/>
    <w:rsid w:val="005F09BC"/>
    <w:rsid w:val="005F2D59"/>
    <w:rsid w:val="005F32F5"/>
    <w:rsid w:val="005F4C5B"/>
    <w:rsid w:val="005F54ED"/>
    <w:rsid w:val="005F6157"/>
    <w:rsid w:val="005F789B"/>
    <w:rsid w:val="006027DA"/>
    <w:rsid w:val="006032E5"/>
    <w:rsid w:val="00603CFB"/>
    <w:rsid w:val="00604664"/>
    <w:rsid w:val="00606088"/>
    <w:rsid w:val="00617086"/>
    <w:rsid w:val="00621126"/>
    <w:rsid w:val="00622360"/>
    <w:rsid w:val="0062461E"/>
    <w:rsid w:val="006259C1"/>
    <w:rsid w:val="00625EA9"/>
    <w:rsid w:val="006263AA"/>
    <w:rsid w:val="00627F23"/>
    <w:rsid w:val="006307BD"/>
    <w:rsid w:val="00630F7C"/>
    <w:rsid w:val="006312B9"/>
    <w:rsid w:val="00631E4A"/>
    <w:rsid w:val="00632D3D"/>
    <w:rsid w:val="006333A0"/>
    <w:rsid w:val="006335B4"/>
    <w:rsid w:val="00635EEF"/>
    <w:rsid w:val="00636753"/>
    <w:rsid w:val="006402D4"/>
    <w:rsid w:val="00642103"/>
    <w:rsid w:val="00643587"/>
    <w:rsid w:val="006438CE"/>
    <w:rsid w:val="00643954"/>
    <w:rsid w:val="00643E02"/>
    <w:rsid w:val="0064726D"/>
    <w:rsid w:val="00647C38"/>
    <w:rsid w:val="006509D9"/>
    <w:rsid w:val="00651360"/>
    <w:rsid w:val="00651558"/>
    <w:rsid w:val="006528BB"/>
    <w:rsid w:val="00653249"/>
    <w:rsid w:val="0065379D"/>
    <w:rsid w:val="006542DC"/>
    <w:rsid w:val="006551F5"/>
    <w:rsid w:val="006554D1"/>
    <w:rsid w:val="00655F14"/>
    <w:rsid w:val="006562C6"/>
    <w:rsid w:val="0065665C"/>
    <w:rsid w:val="00657B84"/>
    <w:rsid w:val="00660BCE"/>
    <w:rsid w:val="00661094"/>
    <w:rsid w:val="00661F35"/>
    <w:rsid w:val="0066415A"/>
    <w:rsid w:val="006646EB"/>
    <w:rsid w:val="0066497E"/>
    <w:rsid w:val="006664AB"/>
    <w:rsid w:val="00667217"/>
    <w:rsid w:val="00667793"/>
    <w:rsid w:val="0067026A"/>
    <w:rsid w:val="006729BA"/>
    <w:rsid w:val="00674915"/>
    <w:rsid w:val="00675599"/>
    <w:rsid w:val="00676952"/>
    <w:rsid w:val="006771E7"/>
    <w:rsid w:val="00680556"/>
    <w:rsid w:val="00680702"/>
    <w:rsid w:val="006817EC"/>
    <w:rsid w:val="00682095"/>
    <w:rsid w:val="00682243"/>
    <w:rsid w:val="0068239C"/>
    <w:rsid w:val="00682F3D"/>
    <w:rsid w:val="00683C99"/>
    <w:rsid w:val="006852BF"/>
    <w:rsid w:val="00685B8F"/>
    <w:rsid w:val="00685BB7"/>
    <w:rsid w:val="0069051E"/>
    <w:rsid w:val="0069060A"/>
    <w:rsid w:val="00690F49"/>
    <w:rsid w:val="00692AE8"/>
    <w:rsid w:val="006936D7"/>
    <w:rsid w:val="00696815"/>
    <w:rsid w:val="00697215"/>
    <w:rsid w:val="0069795B"/>
    <w:rsid w:val="006A1270"/>
    <w:rsid w:val="006A6B3F"/>
    <w:rsid w:val="006B00CC"/>
    <w:rsid w:val="006B2A71"/>
    <w:rsid w:val="006B2BB8"/>
    <w:rsid w:val="006B353C"/>
    <w:rsid w:val="006B53B4"/>
    <w:rsid w:val="006B62FE"/>
    <w:rsid w:val="006B7AE6"/>
    <w:rsid w:val="006C02B3"/>
    <w:rsid w:val="006C18B0"/>
    <w:rsid w:val="006C192F"/>
    <w:rsid w:val="006C26EB"/>
    <w:rsid w:val="006C2936"/>
    <w:rsid w:val="006C2B17"/>
    <w:rsid w:val="006C564E"/>
    <w:rsid w:val="006C748B"/>
    <w:rsid w:val="006D5DA7"/>
    <w:rsid w:val="006E1EFB"/>
    <w:rsid w:val="006E28D0"/>
    <w:rsid w:val="006E57E2"/>
    <w:rsid w:val="006E5900"/>
    <w:rsid w:val="006E6402"/>
    <w:rsid w:val="006E76F1"/>
    <w:rsid w:val="006E7B49"/>
    <w:rsid w:val="006E7E1E"/>
    <w:rsid w:val="006F0D04"/>
    <w:rsid w:val="006F0E5E"/>
    <w:rsid w:val="006F13C1"/>
    <w:rsid w:val="006F1E69"/>
    <w:rsid w:val="006F25EC"/>
    <w:rsid w:val="006F3727"/>
    <w:rsid w:val="006F386E"/>
    <w:rsid w:val="006F57BE"/>
    <w:rsid w:val="006F6E17"/>
    <w:rsid w:val="0070007C"/>
    <w:rsid w:val="00702991"/>
    <w:rsid w:val="00702F33"/>
    <w:rsid w:val="0070366D"/>
    <w:rsid w:val="00704222"/>
    <w:rsid w:val="00706124"/>
    <w:rsid w:val="00706D93"/>
    <w:rsid w:val="007104B1"/>
    <w:rsid w:val="00711054"/>
    <w:rsid w:val="0071152E"/>
    <w:rsid w:val="0071343F"/>
    <w:rsid w:val="007147BF"/>
    <w:rsid w:val="007150DB"/>
    <w:rsid w:val="00715268"/>
    <w:rsid w:val="00716465"/>
    <w:rsid w:val="00716879"/>
    <w:rsid w:val="00717A43"/>
    <w:rsid w:val="00717B84"/>
    <w:rsid w:val="00721570"/>
    <w:rsid w:val="00723239"/>
    <w:rsid w:val="00723F9C"/>
    <w:rsid w:val="0072463B"/>
    <w:rsid w:val="00724AC4"/>
    <w:rsid w:val="00724F3D"/>
    <w:rsid w:val="0072600F"/>
    <w:rsid w:val="007268C4"/>
    <w:rsid w:val="007270EC"/>
    <w:rsid w:val="00727202"/>
    <w:rsid w:val="0072793B"/>
    <w:rsid w:val="00731DA0"/>
    <w:rsid w:val="00740D57"/>
    <w:rsid w:val="00741C16"/>
    <w:rsid w:val="0074334A"/>
    <w:rsid w:val="00743E12"/>
    <w:rsid w:val="00744107"/>
    <w:rsid w:val="00744183"/>
    <w:rsid w:val="007447E4"/>
    <w:rsid w:val="00744809"/>
    <w:rsid w:val="0074480F"/>
    <w:rsid w:val="00744846"/>
    <w:rsid w:val="007460B3"/>
    <w:rsid w:val="00746D15"/>
    <w:rsid w:val="007514F1"/>
    <w:rsid w:val="00751E29"/>
    <w:rsid w:val="0075356E"/>
    <w:rsid w:val="00757CC9"/>
    <w:rsid w:val="00757DC0"/>
    <w:rsid w:val="007611F2"/>
    <w:rsid w:val="007616E5"/>
    <w:rsid w:val="007630B7"/>
    <w:rsid w:val="00764BF5"/>
    <w:rsid w:val="007664BC"/>
    <w:rsid w:val="00766F01"/>
    <w:rsid w:val="00767748"/>
    <w:rsid w:val="00770D0D"/>
    <w:rsid w:val="00770D59"/>
    <w:rsid w:val="007713A0"/>
    <w:rsid w:val="00773C68"/>
    <w:rsid w:val="00775976"/>
    <w:rsid w:val="00776204"/>
    <w:rsid w:val="0077777F"/>
    <w:rsid w:val="007814DE"/>
    <w:rsid w:val="00784CCC"/>
    <w:rsid w:val="007853CA"/>
    <w:rsid w:val="007853F7"/>
    <w:rsid w:val="007900D2"/>
    <w:rsid w:val="00792B9B"/>
    <w:rsid w:val="00792CF3"/>
    <w:rsid w:val="00794671"/>
    <w:rsid w:val="007950E6"/>
    <w:rsid w:val="00796A7A"/>
    <w:rsid w:val="007A0EFD"/>
    <w:rsid w:val="007A2982"/>
    <w:rsid w:val="007A3470"/>
    <w:rsid w:val="007A4F26"/>
    <w:rsid w:val="007A4F7A"/>
    <w:rsid w:val="007A7AA8"/>
    <w:rsid w:val="007B20C9"/>
    <w:rsid w:val="007B3E2C"/>
    <w:rsid w:val="007B41AA"/>
    <w:rsid w:val="007B4A9A"/>
    <w:rsid w:val="007C080E"/>
    <w:rsid w:val="007C1250"/>
    <w:rsid w:val="007C1860"/>
    <w:rsid w:val="007C2FA3"/>
    <w:rsid w:val="007C3B7D"/>
    <w:rsid w:val="007C3C7B"/>
    <w:rsid w:val="007C404C"/>
    <w:rsid w:val="007C59ED"/>
    <w:rsid w:val="007C6CD4"/>
    <w:rsid w:val="007D1B5E"/>
    <w:rsid w:val="007D29D1"/>
    <w:rsid w:val="007D3138"/>
    <w:rsid w:val="007D7776"/>
    <w:rsid w:val="007D7CE4"/>
    <w:rsid w:val="007E216D"/>
    <w:rsid w:val="007E2AE0"/>
    <w:rsid w:val="007E45C0"/>
    <w:rsid w:val="007E6F7C"/>
    <w:rsid w:val="007E7240"/>
    <w:rsid w:val="007E7370"/>
    <w:rsid w:val="007F005F"/>
    <w:rsid w:val="007F22E1"/>
    <w:rsid w:val="007F2B75"/>
    <w:rsid w:val="007F31BF"/>
    <w:rsid w:val="007F3279"/>
    <w:rsid w:val="007F50F8"/>
    <w:rsid w:val="007F52D7"/>
    <w:rsid w:val="007F5B64"/>
    <w:rsid w:val="007F5C7F"/>
    <w:rsid w:val="007F6F44"/>
    <w:rsid w:val="007F7A74"/>
    <w:rsid w:val="007F7B40"/>
    <w:rsid w:val="00800513"/>
    <w:rsid w:val="00803463"/>
    <w:rsid w:val="008043F3"/>
    <w:rsid w:val="008052DC"/>
    <w:rsid w:val="008133C7"/>
    <w:rsid w:val="008145D7"/>
    <w:rsid w:val="00814F93"/>
    <w:rsid w:val="00815BD8"/>
    <w:rsid w:val="00816738"/>
    <w:rsid w:val="008176EA"/>
    <w:rsid w:val="008216EB"/>
    <w:rsid w:val="00821EF1"/>
    <w:rsid w:val="00822C0E"/>
    <w:rsid w:val="00826563"/>
    <w:rsid w:val="008318D1"/>
    <w:rsid w:val="00831AF6"/>
    <w:rsid w:val="00831EF1"/>
    <w:rsid w:val="00832AFF"/>
    <w:rsid w:val="0083311D"/>
    <w:rsid w:val="008376E4"/>
    <w:rsid w:val="00837A0E"/>
    <w:rsid w:val="00837E71"/>
    <w:rsid w:val="00837E9A"/>
    <w:rsid w:val="008410F2"/>
    <w:rsid w:val="008417D6"/>
    <w:rsid w:val="00843FC4"/>
    <w:rsid w:val="0084658D"/>
    <w:rsid w:val="008465B0"/>
    <w:rsid w:val="008465C9"/>
    <w:rsid w:val="00850C72"/>
    <w:rsid w:val="008601DC"/>
    <w:rsid w:val="00863DA6"/>
    <w:rsid w:val="008648BA"/>
    <w:rsid w:val="00865832"/>
    <w:rsid w:val="00870BB3"/>
    <w:rsid w:val="008717A7"/>
    <w:rsid w:val="00872C1F"/>
    <w:rsid w:val="00873734"/>
    <w:rsid w:val="0087548C"/>
    <w:rsid w:val="00876918"/>
    <w:rsid w:val="0088047E"/>
    <w:rsid w:val="00881D39"/>
    <w:rsid w:val="008825ED"/>
    <w:rsid w:val="00882BC2"/>
    <w:rsid w:val="00882CE6"/>
    <w:rsid w:val="00882DED"/>
    <w:rsid w:val="00883897"/>
    <w:rsid w:val="008848E9"/>
    <w:rsid w:val="00890DC5"/>
    <w:rsid w:val="00892985"/>
    <w:rsid w:val="00892D9F"/>
    <w:rsid w:val="00895396"/>
    <w:rsid w:val="00895F9C"/>
    <w:rsid w:val="00896037"/>
    <w:rsid w:val="008A0A9F"/>
    <w:rsid w:val="008A0D7B"/>
    <w:rsid w:val="008A1229"/>
    <w:rsid w:val="008A36D3"/>
    <w:rsid w:val="008A3CD7"/>
    <w:rsid w:val="008A4CBE"/>
    <w:rsid w:val="008A4F08"/>
    <w:rsid w:val="008A5135"/>
    <w:rsid w:val="008A6B60"/>
    <w:rsid w:val="008B057C"/>
    <w:rsid w:val="008B09BE"/>
    <w:rsid w:val="008B0CF8"/>
    <w:rsid w:val="008B2347"/>
    <w:rsid w:val="008C3515"/>
    <w:rsid w:val="008C4218"/>
    <w:rsid w:val="008C42F0"/>
    <w:rsid w:val="008C4F6C"/>
    <w:rsid w:val="008D07A4"/>
    <w:rsid w:val="008D0E3B"/>
    <w:rsid w:val="008D12F0"/>
    <w:rsid w:val="008D6FB3"/>
    <w:rsid w:val="008D7CCC"/>
    <w:rsid w:val="008E218B"/>
    <w:rsid w:val="008E2AAB"/>
    <w:rsid w:val="008E41E8"/>
    <w:rsid w:val="008E42D6"/>
    <w:rsid w:val="008E4AE0"/>
    <w:rsid w:val="008E4FB5"/>
    <w:rsid w:val="008F03F7"/>
    <w:rsid w:val="008F2E69"/>
    <w:rsid w:val="008F4390"/>
    <w:rsid w:val="008F4649"/>
    <w:rsid w:val="008F60E4"/>
    <w:rsid w:val="009029AF"/>
    <w:rsid w:val="00902C20"/>
    <w:rsid w:val="009047F4"/>
    <w:rsid w:val="00905D80"/>
    <w:rsid w:val="00911575"/>
    <w:rsid w:val="009131F8"/>
    <w:rsid w:val="00915AD6"/>
    <w:rsid w:val="00915F06"/>
    <w:rsid w:val="00916A69"/>
    <w:rsid w:val="00920ACB"/>
    <w:rsid w:val="00921F37"/>
    <w:rsid w:val="009224A5"/>
    <w:rsid w:val="00923E2E"/>
    <w:rsid w:val="00925A99"/>
    <w:rsid w:val="009265F1"/>
    <w:rsid w:val="009318DF"/>
    <w:rsid w:val="00934E79"/>
    <w:rsid w:val="00935D26"/>
    <w:rsid w:val="00941759"/>
    <w:rsid w:val="00941AEF"/>
    <w:rsid w:val="0094264A"/>
    <w:rsid w:val="00942945"/>
    <w:rsid w:val="00944052"/>
    <w:rsid w:val="00947921"/>
    <w:rsid w:val="00947D2A"/>
    <w:rsid w:val="00950FFE"/>
    <w:rsid w:val="0095115A"/>
    <w:rsid w:val="00951D65"/>
    <w:rsid w:val="00954ECD"/>
    <w:rsid w:val="009566DD"/>
    <w:rsid w:val="009571BD"/>
    <w:rsid w:val="00957EA3"/>
    <w:rsid w:val="00960A22"/>
    <w:rsid w:val="0096173E"/>
    <w:rsid w:val="00966801"/>
    <w:rsid w:val="00972C9D"/>
    <w:rsid w:val="00973DEC"/>
    <w:rsid w:val="009747C7"/>
    <w:rsid w:val="00975776"/>
    <w:rsid w:val="009758D3"/>
    <w:rsid w:val="00975F6F"/>
    <w:rsid w:val="0097752C"/>
    <w:rsid w:val="00977ED6"/>
    <w:rsid w:val="00982473"/>
    <w:rsid w:val="009827A2"/>
    <w:rsid w:val="00982A69"/>
    <w:rsid w:val="0098356D"/>
    <w:rsid w:val="00985091"/>
    <w:rsid w:val="00990B22"/>
    <w:rsid w:val="009912EF"/>
    <w:rsid w:val="00994E37"/>
    <w:rsid w:val="00994E4F"/>
    <w:rsid w:val="0099527D"/>
    <w:rsid w:val="009964A7"/>
    <w:rsid w:val="009970BB"/>
    <w:rsid w:val="009A0716"/>
    <w:rsid w:val="009A0800"/>
    <w:rsid w:val="009A0CE1"/>
    <w:rsid w:val="009A3BA6"/>
    <w:rsid w:val="009A3CE0"/>
    <w:rsid w:val="009B0465"/>
    <w:rsid w:val="009B1F65"/>
    <w:rsid w:val="009B26BE"/>
    <w:rsid w:val="009B2F0B"/>
    <w:rsid w:val="009B38B3"/>
    <w:rsid w:val="009B3CB2"/>
    <w:rsid w:val="009B61C4"/>
    <w:rsid w:val="009C044F"/>
    <w:rsid w:val="009C2742"/>
    <w:rsid w:val="009C2BE4"/>
    <w:rsid w:val="009C5F6D"/>
    <w:rsid w:val="009C62FB"/>
    <w:rsid w:val="009C72C2"/>
    <w:rsid w:val="009C7B7B"/>
    <w:rsid w:val="009D03E3"/>
    <w:rsid w:val="009D074C"/>
    <w:rsid w:val="009D1CA4"/>
    <w:rsid w:val="009D3680"/>
    <w:rsid w:val="009D3F0B"/>
    <w:rsid w:val="009D43D3"/>
    <w:rsid w:val="009D5129"/>
    <w:rsid w:val="009D5149"/>
    <w:rsid w:val="009D5FB2"/>
    <w:rsid w:val="009D627B"/>
    <w:rsid w:val="009E017E"/>
    <w:rsid w:val="009E13E7"/>
    <w:rsid w:val="009E36A9"/>
    <w:rsid w:val="009E36B3"/>
    <w:rsid w:val="009E3EC7"/>
    <w:rsid w:val="009E47B5"/>
    <w:rsid w:val="009E7005"/>
    <w:rsid w:val="009F0E97"/>
    <w:rsid w:val="009F1C88"/>
    <w:rsid w:val="009F29DE"/>
    <w:rsid w:val="009F2A00"/>
    <w:rsid w:val="009F3011"/>
    <w:rsid w:val="009F58A1"/>
    <w:rsid w:val="009F5B40"/>
    <w:rsid w:val="009F6BAA"/>
    <w:rsid w:val="009F6E49"/>
    <w:rsid w:val="009F7CF2"/>
    <w:rsid w:val="009F7D30"/>
    <w:rsid w:val="00A03C35"/>
    <w:rsid w:val="00A05220"/>
    <w:rsid w:val="00A1097D"/>
    <w:rsid w:val="00A1106B"/>
    <w:rsid w:val="00A13570"/>
    <w:rsid w:val="00A13BF4"/>
    <w:rsid w:val="00A149A1"/>
    <w:rsid w:val="00A14B9E"/>
    <w:rsid w:val="00A1526B"/>
    <w:rsid w:val="00A17130"/>
    <w:rsid w:val="00A20167"/>
    <w:rsid w:val="00A20C7D"/>
    <w:rsid w:val="00A21FF1"/>
    <w:rsid w:val="00A233FF"/>
    <w:rsid w:val="00A23CD3"/>
    <w:rsid w:val="00A2638C"/>
    <w:rsid w:val="00A27603"/>
    <w:rsid w:val="00A3013A"/>
    <w:rsid w:val="00A31DBE"/>
    <w:rsid w:val="00A32628"/>
    <w:rsid w:val="00A32A2F"/>
    <w:rsid w:val="00A349DD"/>
    <w:rsid w:val="00A3583F"/>
    <w:rsid w:val="00A36004"/>
    <w:rsid w:val="00A3624C"/>
    <w:rsid w:val="00A4069A"/>
    <w:rsid w:val="00A4197B"/>
    <w:rsid w:val="00A42088"/>
    <w:rsid w:val="00A4554C"/>
    <w:rsid w:val="00A45B65"/>
    <w:rsid w:val="00A46FC3"/>
    <w:rsid w:val="00A47EB7"/>
    <w:rsid w:val="00A50BEE"/>
    <w:rsid w:val="00A51729"/>
    <w:rsid w:val="00A51B08"/>
    <w:rsid w:val="00A52F3C"/>
    <w:rsid w:val="00A54999"/>
    <w:rsid w:val="00A54BB4"/>
    <w:rsid w:val="00A565C9"/>
    <w:rsid w:val="00A57C8F"/>
    <w:rsid w:val="00A635BD"/>
    <w:rsid w:val="00A63C8B"/>
    <w:rsid w:val="00A63D70"/>
    <w:rsid w:val="00A655B5"/>
    <w:rsid w:val="00A6651C"/>
    <w:rsid w:val="00A67C09"/>
    <w:rsid w:val="00A70632"/>
    <w:rsid w:val="00A70B2A"/>
    <w:rsid w:val="00A75321"/>
    <w:rsid w:val="00A75CC5"/>
    <w:rsid w:val="00A75E40"/>
    <w:rsid w:val="00A761C2"/>
    <w:rsid w:val="00A76D4B"/>
    <w:rsid w:val="00A80055"/>
    <w:rsid w:val="00A826B0"/>
    <w:rsid w:val="00A84C8D"/>
    <w:rsid w:val="00A8622F"/>
    <w:rsid w:val="00A876B1"/>
    <w:rsid w:val="00A90673"/>
    <w:rsid w:val="00A909F1"/>
    <w:rsid w:val="00A927E3"/>
    <w:rsid w:val="00A92CE5"/>
    <w:rsid w:val="00A93F96"/>
    <w:rsid w:val="00A94AC9"/>
    <w:rsid w:val="00A94E2F"/>
    <w:rsid w:val="00AA08A3"/>
    <w:rsid w:val="00AA0C83"/>
    <w:rsid w:val="00AA1CF3"/>
    <w:rsid w:val="00AA3EE4"/>
    <w:rsid w:val="00AA5FCC"/>
    <w:rsid w:val="00AA6154"/>
    <w:rsid w:val="00AA62BA"/>
    <w:rsid w:val="00AA6799"/>
    <w:rsid w:val="00AA6B75"/>
    <w:rsid w:val="00AB03B0"/>
    <w:rsid w:val="00AB0713"/>
    <w:rsid w:val="00AB1AF7"/>
    <w:rsid w:val="00AB1FED"/>
    <w:rsid w:val="00AB2DCF"/>
    <w:rsid w:val="00AB3893"/>
    <w:rsid w:val="00AB3B5B"/>
    <w:rsid w:val="00AB4271"/>
    <w:rsid w:val="00AB5126"/>
    <w:rsid w:val="00AB66BC"/>
    <w:rsid w:val="00AB6F78"/>
    <w:rsid w:val="00AB73EC"/>
    <w:rsid w:val="00AB746F"/>
    <w:rsid w:val="00AC014B"/>
    <w:rsid w:val="00AC0961"/>
    <w:rsid w:val="00AC105F"/>
    <w:rsid w:val="00AC156E"/>
    <w:rsid w:val="00AC2614"/>
    <w:rsid w:val="00AC327D"/>
    <w:rsid w:val="00AC4DA1"/>
    <w:rsid w:val="00AC6426"/>
    <w:rsid w:val="00AC6FA1"/>
    <w:rsid w:val="00AC77A7"/>
    <w:rsid w:val="00AC77F7"/>
    <w:rsid w:val="00AD1288"/>
    <w:rsid w:val="00AD1B09"/>
    <w:rsid w:val="00AD3873"/>
    <w:rsid w:val="00AD44B3"/>
    <w:rsid w:val="00AD6410"/>
    <w:rsid w:val="00AD6C51"/>
    <w:rsid w:val="00AD7FB0"/>
    <w:rsid w:val="00AE04F3"/>
    <w:rsid w:val="00AE0FF8"/>
    <w:rsid w:val="00AE1D61"/>
    <w:rsid w:val="00AE245D"/>
    <w:rsid w:val="00AE34F2"/>
    <w:rsid w:val="00AE4801"/>
    <w:rsid w:val="00AE5253"/>
    <w:rsid w:val="00AE6AE3"/>
    <w:rsid w:val="00AE73CB"/>
    <w:rsid w:val="00AF0472"/>
    <w:rsid w:val="00AF082A"/>
    <w:rsid w:val="00AF0AE2"/>
    <w:rsid w:val="00AF33BC"/>
    <w:rsid w:val="00AF54BC"/>
    <w:rsid w:val="00B00B18"/>
    <w:rsid w:val="00B017B9"/>
    <w:rsid w:val="00B023AE"/>
    <w:rsid w:val="00B03EFB"/>
    <w:rsid w:val="00B04C2D"/>
    <w:rsid w:val="00B04E0E"/>
    <w:rsid w:val="00B1179F"/>
    <w:rsid w:val="00B11AB3"/>
    <w:rsid w:val="00B14665"/>
    <w:rsid w:val="00B14864"/>
    <w:rsid w:val="00B14AED"/>
    <w:rsid w:val="00B15213"/>
    <w:rsid w:val="00B21614"/>
    <w:rsid w:val="00B2234E"/>
    <w:rsid w:val="00B241AF"/>
    <w:rsid w:val="00B273EA"/>
    <w:rsid w:val="00B27859"/>
    <w:rsid w:val="00B3177A"/>
    <w:rsid w:val="00B32025"/>
    <w:rsid w:val="00B335A9"/>
    <w:rsid w:val="00B3591C"/>
    <w:rsid w:val="00B41DB9"/>
    <w:rsid w:val="00B42502"/>
    <w:rsid w:val="00B4341F"/>
    <w:rsid w:val="00B43FAC"/>
    <w:rsid w:val="00B456D2"/>
    <w:rsid w:val="00B52AA2"/>
    <w:rsid w:val="00B53D21"/>
    <w:rsid w:val="00B600CC"/>
    <w:rsid w:val="00B60929"/>
    <w:rsid w:val="00B60B83"/>
    <w:rsid w:val="00B61E6D"/>
    <w:rsid w:val="00B62F28"/>
    <w:rsid w:val="00B63862"/>
    <w:rsid w:val="00B64999"/>
    <w:rsid w:val="00B7040B"/>
    <w:rsid w:val="00B71657"/>
    <w:rsid w:val="00B73295"/>
    <w:rsid w:val="00B7504A"/>
    <w:rsid w:val="00B759F2"/>
    <w:rsid w:val="00B77111"/>
    <w:rsid w:val="00B773CF"/>
    <w:rsid w:val="00B81A87"/>
    <w:rsid w:val="00B81D9B"/>
    <w:rsid w:val="00B82C26"/>
    <w:rsid w:val="00B842A3"/>
    <w:rsid w:val="00B863EB"/>
    <w:rsid w:val="00B87CF5"/>
    <w:rsid w:val="00B91088"/>
    <w:rsid w:val="00B92243"/>
    <w:rsid w:val="00B938D4"/>
    <w:rsid w:val="00B93AC6"/>
    <w:rsid w:val="00B97AA0"/>
    <w:rsid w:val="00BA0D83"/>
    <w:rsid w:val="00BA0E0F"/>
    <w:rsid w:val="00BA2B18"/>
    <w:rsid w:val="00BA3283"/>
    <w:rsid w:val="00BA34A9"/>
    <w:rsid w:val="00BA44F5"/>
    <w:rsid w:val="00BA46AA"/>
    <w:rsid w:val="00BA4FDB"/>
    <w:rsid w:val="00BA65BE"/>
    <w:rsid w:val="00BA7C50"/>
    <w:rsid w:val="00BB0339"/>
    <w:rsid w:val="00BB0921"/>
    <w:rsid w:val="00BB13FC"/>
    <w:rsid w:val="00BB234F"/>
    <w:rsid w:val="00BB4842"/>
    <w:rsid w:val="00BB4DDC"/>
    <w:rsid w:val="00BB5128"/>
    <w:rsid w:val="00BB5B30"/>
    <w:rsid w:val="00BB5FCC"/>
    <w:rsid w:val="00BB7EA8"/>
    <w:rsid w:val="00BC1108"/>
    <w:rsid w:val="00BC1539"/>
    <w:rsid w:val="00BC1C01"/>
    <w:rsid w:val="00BC1E47"/>
    <w:rsid w:val="00BC3E69"/>
    <w:rsid w:val="00BC3EEF"/>
    <w:rsid w:val="00BC4E41"/>
    <w:rsid w:val="00BC5503"/>
    <w:rsid w:val="00BC5945"/>
    <w:rsid w:val="00BC6AF7"/>
    <w:rsid w:val="00BD63CB"/>
    <w:rsid w:val="00BD67E9"/>
    <w:rsid w:val="00BD6DC8"/>
    <w:rsid w:val="00BD7DAF"/>
    <w:rsid w:val="00BE0627"/>
    <w:rsid w:val="00BE1263"/>
    <w:rsid w:val="00BE2B26"/>
    <w:rsid w:val="00BE37D1"/>
    <w:rsid w:val="00BE7C36"/>
    <w:rsid w:val="00BF0113"/>
    <w:rsid w:val="00BF08B1"/>
    <w:rsid w:val="00BF14F2"/>
    <w:rsid w:val="00BF29B0"/>
    <w:rsid w:val="00BF48A7"/>
    <w:rsid w:val="00BF5348"/>
    <w:rsid w:val="00C0072F"/>
    <w:rsid w:val="00C00879"/>
    <w:rsid w:val="00C02D38"/>
    <w:rsid w:val="00C02F45"/>
    <w:rsid w:val="00C02FBD"/>
    <w:rsid w:val="00C03935"/>
    <w:rsid w:val="00C04537"/>
    <w:rsid w:val="00C101FE"/>
    <w:rsid w:val="00C11034"/>
    <w:rsid w:val="00C1107E"/>
    <w:rsid w:val="00C125F7"/>
    <w:rsid w:val="00C15C4E"/>
    <w:rsid w:val="00C16F5A"/>
    <w:rsid w:val="00C172CE"/>
    <w:rsid w:val="00C17BF9"/>
    <w:rsid w:val="00C22DBC"/>
    <w:rsid w:val="00C22F02"/>
    <w:rsid w:val="00C23916"/>
    <w:rsid w:val="00C23E88"/>
    <w:rsid w:val="00C249CF"/>
    <w:rsid w:val="00C2790D"/>
    <w:rsid w:val="00C27BB5"/>
    <w:rsid w:val="00C3011B"/>
    <w:rsid w:val="00C30855"/>
    <w:rsid w:val="00C32B68"/>
    <w:rsid w:val="00C34165"/>
    <w:rsid w:val="00C34567"/>
    <w:rsid w:val="00C3527D"/>
    <w:rsid w:val="00C408CC"/>
    <w:rsid w:val="00C43E00"/>
    <w:rsid w:val="00C4486D"/>
    <w:rsid w:val="00C4524E"/>
    <w:rsid w:val="00C45593"/>
    <w:rsid w:val="00C460F3"/>
    <w:rsid w:val="00C51CFF"/>
    <w:rsid w:val="00C542D1"/>
    <w:rsid w:val="00C549C8"/>
    <w:rsid w:val="00C61B0E"/>
    <w:rsid w:val="00C6282E"/>
    <w:rsid w:val="00C62BFD"/>
    <w:rsid w:val="00C633E2"/>
    <w:rsid w:val="00C63E82"/>
    <w:rsid w:val="00C6565E"/>
    <w:rsid w:val="00C669A5"/>
    <w:rsid w:val="00C66D4A"/>
    <w:rsid w:val="00C67C1B"/>
    <w:rsid w:val="00C70FC1"/>
    <w:rsid w:val="00C71050"/>
    <w:rsid w:val="00C717DD"/>
    <w:rsid w:val="00C71E75"/>
    <w:rsid w:val="00C72917"/>
    <w:rsid w:val="00C7797D"/>
    <w:rsid w:val="00C77B48"/>
    <w:rsid w:val="00C80794"/>
    <w:rsid w:val="00C81B21"/>
    <w:rsid w:val="00C8206C"/>
    <w:rsid w:val="00C82D0A"/>
    <w:rsid w:val="00C84C01"/>
    <w:rsid w:val="00C872A2"/>
    <w:rsid w:val="00C91CC3"/>
    <w:rsid w:val="00C91F8C"/>
    <w:rsid w:val="00C92628"/>
    <w:rsid w:val="00C93F96"/>
    <w:rsid w:val="00C949E0"/>
    <w:rsid w:val="00C9504B"/>
    <w:rsid w:val="00C95F57"/>
    <w:rsid w:val="00CA248F"/>
    <w:rsid w:val="00CA3EA0"/>
    <w:rsid w:val="00CA5CC0"/>
    <w:rsid w:val="00CA601F"/>
    <w:rsid w:val="00CA7018"/>
    <w:rsid w:val="00CA73DB"/>
    <w:rsid w:val="00CA7B7A"/>
    <w:rsid w:val="00CB254F"/>
    <w:rsid w:val="00CB3179"/>
    <w:rsid w:val="00CB5792"/>
    <w:rsid w:val="00CB59CE"/>
    <w:rsid w:val="00CB5A4C"/>
    <w:rsid w:val="00CB795F"/>
    <w:rsid w:val="00CC0DE6"/>
    <w:rsid w:val="00CC0E21"/>
    <w:rsid w:val="00CC1FDF"/>
    <w:rsid w:val="00CC6A35"/>
    <w:rsid w:val="00CC7698"/>
    <w:rsid w:val="00CC7C40"/>
    <w:rsid w:val="00CD173E"/>
    <w:rsid w:val="00CD1A2F"/>
    <w:rsid w:val="00CD289C"/>
    <w:rsid w:val="00CD5A21"/>
    <w:rsid w:val="00CD679D"/>
    <w:rsid w:val="00CE1165"/>
    <w:rsid w:val="00CE1BB9"/>
    <w:rsid w:val="00CE2022"/>
    <w:rsid w:val="00CE432D"/>
    <w:rsid w:val="00CE4366"/>
    <w:rsid w:val="00CE4740"/>
    <w:rsid w:val="00CE5978"/>
    <w:rsid w:val="00CE5E69"/>
    <w:rsid w:val="00CE6078"/>
    <w:rsid w:val="00CE6387"/>
    <w:rsid w:val="00CE666A"/>
    <w:rsid w:val="00CF05AF"/>
    <w:rsid w:val="00CF14CD"/>
    <w:rsid w:val="00CF23D1"/>
    <w:rsid w:val="00CF2563"/>
    <w:rsid w:val="00CF4F3F"/>
    <w:rsid w:val="00CF5872"/>
    <w:rsid w:val="00CF68C5"/>
    <w:rsid w:val="00D01756"/>
    <w:rsid w:val="00D024DF"/>
    <w:rsid w:val="00D031EE"/>
    <w:rsid w:val="00D03550"/>
    <w:rsid w:val="00D04BCD"/>
    <w:rsid w:val="00D04CEE"/>
    <w:rsid w:val="00D053E3"/>
    <w:rsid w:val="00D0587D"/>
    <w:rsid w:val="00D07321"/>
    <w:rsid w:val="00D154F0"/>
    <w:rsid w:val="00D1550D"/>
    <w:rsid w:val="00D16386"/>
    <w:rsid w:val="00D1649F"/>
    <w:rsid w:val="00D20218"/>
    <w:rsid w:val="00D2099F"/>
    <w:rsid w:val="00D2331B"/>
    <w:rsid w:val="00D249F5"/>
    <w:rsid w:val="00D254BD"/>
    <w:rsid w:val="00D26AFC"/>
    <w:rsid w:val="00D27FD7"/>
    <w:rsid w:val="00D30E92"/>
    <w:rsid w:val="00D31EA2"/>
    <w:rsid w:val="00D33198"/>
    <w:rsid w:val="00D354E1"/>
    <w:rsid w:val="00D3619F"/>
    <w:rsid w:val="00D368EF"/>
    <w:rsid w:val="00D36AC7"/>
    <w:rsid w:val="00D37438"/>
    <w:rsid w:val="00D4168B"/>
    <w:rsid w:val="00D419E2"/>
    <w:rsid w:val="00D42400"/>
    <w:rsid w:val="00D44452"/>
    <w:rsid w:val="00D44AA9"/>
    <w:rsid w:val="00D459CD"/>
    <w:rsid w:val="00D4780A"/>
    <w:rsid w:val="00D5202C"/>
    <w:rsid w:val="00D55543"/>
    <w:rsid w:val="00D5564A"/>
    <w:rsid w:val="00D60E0B"/>
    <w:rsid w:val="00D61E8B"/>
    <w:rsid w:val="00D62B9D"/>
    <w:rsid w:val="00D65944"/>
    <w:rsid w:val="00D659EB"/>
    <w:rsid w:val="00D71958"/>
    <w:rsid w:val="00D73B5E"/>
    <w:rsid w:val="00D73DCD"/>
    <w:rsid w:val="00D75512"/>
    <w:rsid w:val="00D76E58"/>
    <w:rsid w:val="00D80226"/>
    <w:rsid w:val="00D80515"/>
    <w:rsid w:val="00D94086"/>
    <w:rsid w:val="00D95C52"/>
    <w:rsid w:val="00D97D52"/>
    <w:rsid w:val="00DA0BB6"/>
    <w:rsid w:val="00DA1E9B"/>
    <w:rsid w:val="00DA37CA"/>
    <w:rsid w:val="00DA3BAB"/>
    <w:rsid w:val="00DA4A6C"/>
    <w:rsid w:val="00DA530B"/>
    <w:rsid w:val="00DA5B9E"/>
    <w:rsid w:val="00DB0217"/>
    <w:rsid w:val="00DB1089"/>
    <w:rsid w:val="00DB15CD"/>
    <w:rsid w:val="00DB1A4E"/>
    <w:rsid w:val="00DB249A"/>
    <w:rsid w:val="00DB44B7"/>
    <w:rsid w:val="00DB4825"/>
    <w:rsid w:val="00DB5E7A"/>
    <w:rsid w:val="00DB706B"/>
    <w:rsid w:val="00DC03E2"/>
    <w:rsid w:val="00DC0BE6"/>
    <w:rsid w:val="00DC0BED"/>
    <w:rsid w:val="00DC0EBC"/>
    <w:rsid w:val="00DC1359"/>
    <w:rsid w:val="00DC2FB5"/>
    <w:rsid w:val="00DC30BC"/>
    <w:rsid w:val="00DC368F"/>
    <w:rsid w:val="00DC4443"/>
    <w:rsid w:val="00DC55BD"/>
    <w:rsid w:val="00DD0B1C"/>
    <w:rsid w:val="00DD16BC"/>
    <w:rsid w:val="00DD2A21"/>
    <w:rsid w:val="00DD4E2D"/>
    <w:rsid w:val="00DD74AF"/>
    <w:rsid w:val="00DE02BC"/>
    <w:rsid w:val="00DE1180"/>
    <w:rsid w:val="00DE1435"/>
    <w:rsid w:val="00DE32E8"/>
    <w:rsid w:val="00DE3DCF"/>
    <w:rsid w:val="00DE570A"/>
    <w:rsid w:val="00DE6B45"/>
    <w:rsid w:val="00DE6BEB"/>
    <w:rsid w:val="00DF1377"/>
    <w:rsid w:val="00DF148F"/>
    <w:rsid w:val="00DF5AFD"/>
    <w:rsid w:val="00DF6E34"/>
    <w:rsid w:val="00DF7D29"/>
    <w:rsid w:val="00E01521"/>
    <w:rsid w:val="00E01CA2"/>
    <w:rsid w:val="00E0256E"/>
    <w:rsid w:val="00E0578B"/>
    <w:rsid w:val="00E101DB"/>
    <w:rsid w:val="00E1029D"/>
    <w:rsid w:val="00E13D06"/>
    <w:rsid w:val="00E16781"/>
    <w:rsid w:val="00E16DB3"/>
    <w:rsid w:val="00E174ED"/>
    <w:rsid w:val="00E234AF"/>
    <w:rsid w:val="00E23771"/>
    <w:rsid w:val="00E23ABC"/>
    <w:rsid w:val="00E23AD5"/>
    <w:rsid w:val="00E250F1"/>
    <w:rsid w:val="00E26AB1"/>
    <w:rsid w:val="00E2753B"/>
    <w:rsid w:val="00E3189E"/>
    <w:rsid w:val="00E3333D"/>
    <w:rsid w:val="00E35883"/>
    <w:rsid w:val="00E37481"/>
    <w:rsid w:val="00E402D7"/>
    <w:rsid w:val="00E40BA1"/>
    <w:rsid w:val="00E40E90"/>
    <w:rsid w:val="00E42380"/>
    <w:rsid w:val="00E43360"/>
    <w:rsid w:val="00E43637"/>
    <w:rsid w:val="00E43EB6"/>
    <w:rsid w:val="00E47235"/>
    <w:rsid w:val="00E47FAC"/>
    <w:rsid w:val="00E50E1D"/>
    <w:rsid w:val="00E51AD0"/>
    <w:rsid w:val="00E55561"/>
    <w:rsid w:val="00E56756"/>
    <w:rsid w:val="00E567F1"/>
    <w:rsid w:val="00E56F63"/>
    <w:rsid w:val="00E57A27"/>
    <w:rsid w:val="00E61488"/>
    <w:rsid w:val="00E6204F"/>
    <w:rsid w:val="00E63193"/>
    <w:rsid w:val="00E653AF"/>
    <w:rsid w:val="00E65439"/>
    <w:rsid w:val="00E658C3"/>
    <w:rsid w:val="00E661E0"/>
    <w:rsid w:val="00E664EB"/>
    <w:rsid w:val="00E66788"/>
    <w:rsid w:val="00E7010D"/>
    <w:rsid w:val="00E71C34"/>
    <w:rsid w:val="00E7446F"/>
    <w:rsid w:val="00E7576E"/>
    <w:rsid w:val="00E76A9D"/>
    <w:rsid w:val="00E77C00"/>
    <w:rsid w:val="00E80B3D"/>
    <w:rsid w:val="00E80F9D"/>
    <w:rsid w:val="00E81FAE"/>
    <w:rsid w:val="00E8317D"/>
    <w:rsid w:val="00E87D15"/>
    <w:rsid w:val="00E91277"/>
    <w:rsid w:val="00E91F97"/>
    <w:rsid w:val="00E92BEA"/>
    <w:rsid w:val="00E93CEE"/>
    <w:rsid w:val="00E9472B"/>
    <w:rsid w:val="00E95296"/>
    <w:rsid w:val="00E95919"/>
    <w:rsid w:val="00E95DBA"/>
    <w:rsid w:val="00EA1E43"/>
    <w:rsid w:val="00EA2148"/>
    <w:rsid w:val="00EA254A"/>
    <w:rsid w:val="00EA2CD6"/>
    <w:rsid w:val="00EA407D"/>
    <w:rsid w:val="00EA4543"/>
    <w:rsid w:val="00EA6CA7"/>
    <w:rsid w:val="00EA751B"/>
    <w:rsid w:val="00EB108F"/>
    <w:rsid w:val="00EB19E8"/>
    <w:rsid w:val="00EB1ACE"/>
    <w:rsid w:val="00EB3181"/>
    <w:rsid w:val="00EB3491"/>
    <w:rsid w:val="00EB442D"/>
    <w:rsid w:val="00EB6751"/>
    <w:rsid w:val="00EB7820"/>
    <w:rsid w:val="00EB7CE7"/>
    <w:rsid w:val="00EC07A9"/>
    <w:rsid w:val="00EC0EF3"/>
    <w:rsid w:val="00EC1189"/>
    <w:rsid w:val="00EC2944"/>
    <w:rsid w:val="00EC3A47"/>
    <w:rsid w:val="00EC4F49"/>
    <w:rsid w:val="00EC5462"/>
    <w:rsid w:val="00EC54F7"/>
    <w:rsid w:val="00ED0BB2"/>
    <w:rsid w:val="00ED0FE4"/>
    <w:rsid w:val="00ED1798"/>
    <w:rsid w:val="00ED2A43"/>
    <w:rsid w:val="00ED3BE4"/>
    <w:rsid w:val="00ED3D7F"/>
    <w:rsid w:val="00ED4C91"/>
    <w:rsid w:val="00ED4F1F"/>
    <w:rsid w:val="00ED7FC0"/>
    <w:rsid w:val="00EE0E28"/>
    <w:rsid w:val="00EE206E"/>
    <w:rsid w:val="00EE225A"/>
    <w:rsid w:val="00EE2EF9"/>
    <w:rsid w:val="00EE3427"/>
    <w:rsid w:val="00EE3BB4"/>
    <w:rsid w:val="00EE3CE7"/>
    <w:rsid w:val="00EE68FF"/>
    <w:rsid w:val="00EE732C"/>
    <w:rsid w:val="00EF00FD"/>
    <w:rsid w:val="00EF20B9"/>
    <w:rsid w:val="00EF2111"/>
    <w:rsid w:val="00EF2916"/>
    <w:rsid w:val="00EF2C64"/>
    <w:rsid w:val="00EF3157"/>
    <w:rsid w:val="00EF40B2"/>
    <w:rsid w:val="00EF6FD9"/>
    <w:rsid w:val="00F00D38"/>
    <w:rsid w:val="00F01716"/>
    <w:rsid w:val="00F0244E"/>
    <w:rsid w:val="00F02672"/>
    <w:rsid w:val="00F048BF"/>
    <w:rsid w:val="00F07C26"/>
    <w:rsid w:val="00F10438"/>
    <w:rsid w:val="00F108C8"/>
    <w:rsid w:val="00F10972"/>
    <w:rsid w:val="00F11188"/>
    <w:rsid w:val="00F1674E"/>
    <w:rsid w:val="00F2196C"/>
    <w:rsid w:val="00F22F18"/>
    <w:rsid w:val="00F23902"/>
    <w:rsid w:val="00F248D6"/>
    <w:rsid w:val="00F2539D"/>
    <w:rsid w:val="00F306FF"/>
    <w:rsid w:val="00F323E5"/>
    <w:rsid w:val="00F327E2"/>
    <w:rsid w:val="00F32D98"/>
    <w:rsid w:val="00F33F0F"/>
    <w:rsid w:val="00F34912"/>
    <w:rsid w:val="00F426C6"/>
    <w:rsid w:val="00F45D0C"/>
    <w:rsid w:val="00F475BA"/>
    <w:rsid w:val="00F5069E"/>
    <w:rsid w:val="00F50ECB"/>
    <w:rsid w:val="00F522CA"/>
    <w:rsid w:val="00F53B9F"/>
    <w:rsid w:val="00F544AD"/>
    <w:rsid w:val="00F55566"/>
    <w:rsid w:val="00F5743C"/>
    <w:rsid w:val="00F57DCD"/>
    <w:rsid w:val="00F60294"/>
    <w:rsid w:val="00F60ED4"/>
    <w:rsid w:val="00F61EED"/>
    <w:rsid w:val="00F63358"/>
    <w:rsid w:val="00F653AC"/>
    <w:rsid w:val="00F65787"/>
    <w:rsid w:val="00F65A65"/>
    <w:rsid w:val="00F675A9"/>
    <w:rsid w:val="00F679C1"/>
    <w:rsid w:val="00F70B80"/>
    <w:rsid w:val="00F70DAF"/>
    <w:rsid w:val="00F71135"/>
    <w:rsid w:val="00F731DC"/>
    <w:rsid w:val="00F73269"/>
    <w:rsid w:val="00F740A9"/>
    <w:rsid w:val="00F76240"/>
    <w:rsid w:val="00F76F0A"/>
    <w:rsid w:val="00F770D1"/>
    <w:rsid w:val="00F778AA"/>
    <w:rsid w:val="00F84297"/>
    <w:rsid w:val="00F8458C"/>
    <w:rsid w:val="00F86925"/>
    <w:rsid w:val="00F8784E"/>
    <w:rsid w:val="00F87E99"/>
    <w:rsid w:val="00F924FC"/>
    <w:rsid w:val="00F948AC"/>
    <w:rsid w:val="00F95645"/>
    <w:rsid w:val="00F96744"/>
    <w:rsid w:val="00FA0A35"/>
    <w:rsid w:val="00FA165C"/>
    <w:rsid w:val="00FA1881"/>
    <w:rsid w:val="00FA2356"/>
    <w:rsid w:val="00FA239F"/>
    <w:rsid w:val="00FA54A8"/>
    <w:rsid w:val="00FA5970"/>
    <w:rsid w:val="00FA5D4E"/>
    <w:rsid w:val="00FA623F"/>
    <w:rsid w:val="00FA6AF1"/>
    <w:rsid w:val="00FA76BA"/>
    <w:rsid w:val="00FA789C"/>
    <w:rsid w:val="00FB5BDF"/>
    <w:rsid w:val="00FB67E1"/>
    <w:rsid w:val="00FC2B57"/>
    <w:rsid w:val="00FC340E"/>
    <w:rsid w:val="00FC52E3"/>
    <w:rsid w:val="00FC55DF"/>
    <w:rsid w:val="00FC6D0C"/>
    <w:rsid w:val="00FC7518"/>
    <w:rsid w:val="00FD1CC4"/>
    <w:rsid w:val="00FD2EBF"/>
    <w:rsid w:val="00FD3B60"/>
    <w:rsid w:val="00FD7079"/>
    <w:rsid w:val="00FD71BC"/>
    <w:rsid w:val="00FE0130"/>
    <w:rsid w:val="00FE1497"/>
    <w:rsid w:val="00FE1A1A"/>
    <w:rsid w:val="00FE32C0"/>
    <w:rsid w:val="00FE462F"/>
    <w:rsid w:val="00FE4E13"/>
    <w:rsid w:val="00FE5294"/>
    <w:rsid w:val="00FE6C54"/>
    <w:rsid w:val="00FE6D88"/>
    <w:rsid w:val="00FE6F82"/>
    <w:rsid w:val="00FE7645"/>
    <w:rsid w:val="00FF0425"/>
    <w:rsid w:val="00FF28AB"/>
    <w:rsid w:val="00FF492F"/>
    <w:rsid w:val="00FF7B9E"/>
    <w:rsid w:val="07620DE5"/>
    <w:rsid w:val="08FA14F0"/>
    <w:rsid w:val="095C3EFB"/>
    <w:rsid w:val="09CA5632"/>
    <w:rsid w:val="0A2C37E9"/>
    <w:rsid w:val="0AA15B47"/>
    <w:rsid w:val="0AAB62DD"/>
    <w:rsid w:val="0AC0055C"/>
    <w:rsid w:val="0C04530F"/>
    <w:rsid w:val="0CDC7A6F"/>
    <w:rsid w:val="0D78081E"/>
    <w:rsid w:val="0DE00E5E"/>
    <w:rsid w:val="0E5054E2"/>
    <w:rsid w:val="0F275B9A"/>
    <w:rsid w:val="13794ECF"/>
    <w:rsid w:val="16226694"/>
    <w:rsid w:val="163B2158"/>
    <w:rsid w:val="181C64A6"/>
    <w:rsid w:val="19297168"/>
    <w:rsid w:val="19CA0FFC"/>
    <w:rsid w:val="1A235B57"/>
    <w:rsid w:val="1C52107D"/>
    <w:rsid w:val="1D564959"/>
    <w:rsid w:val="1F8D0009"/>
    <w:rsid w:val="20CE0112"/>
    <w:rsid w:val="20FF7A3F"/>
    <w:rsid w:val="22B9095C"/>
    <w:rsid w:val="24AE26D0"/>
    <w:rsid w:val="252B631A"/>
    <w:rsid w:val="271C5BC0"/>
    <w:rsid w:val="2A295C1A"/>
    <w:rsid w:val="2B180178"/>
    <w:rsid w:val="2B4C281D"/>
    <w:rsid w:val="2C8665D2"/>
    <w:rsid w:val="2E8B2D6E"/>
    <w:rsid w:val="2F18127B"/>
    <w:rsid w:val="32326A0E"/>
    <w:rsid w:val="33605FDC"/>
    <w:rsid w:val="35617869"/>
    <w:rsid w:val="362A466A"/>
    <w:rsid w:val="375F328F"/>
    <w:rsid w:val="3A342715"/>
    <w:rsid w:val="3AC657EC"/>
    <w:rsid w:val="3B4F5B23"/>
    <w:rsid w:val="3D4B58E1"/>
    <w:rsid w:val="3E552B63"/>
    <w:rsid w:val="3EB328D2"/>
    <w:rsid w:val="3F2775D8"/>
    <w:rsid w:val="41DB3347"/>
    <w:rsid w:val="423663BF"/>
    <w:rsid w:val="42924B3A"/>
    <w:rsid w:val="450F2060"/>
    <w:rsid w:val="4AD10265"/>
    <w:rsid w:val="4F88178F"/>
    <w:rsid w:val="517A24FE"/>
    <w:rsid w:val="51BF1693"/>
    <w:rsid w:val="52113B0A"/>
    <w:rsid w:val="522845CC"/>
    <w:rsid w:val="54072A30"/>
    <w:rsid w:val="54C271E9"/>
    <w:rsid w:val="562F7397"/>
    <w:rsid w:val="5737599D"/>
    <w:rsid w:val="589C0B18"/>
    <w:rsid w:val="5A7D1874"/>
    <w:rsid w:val="5D0079B7"/>
    <w:rsid w:val="5D576002"/>
    <w:rsid w:val="5F7D2686"/>
    <w:rsid w:val="623A2006"/>
    <w:rsid w:val="63AD025E"/>
    <w:rsid w:val="63E56B8C"/>
    <w:rsid w:val="64A337FB"/>
    <w:rsid w:val="65146B44"/>
    <w:rsid w:val="653702AA"/>
    <w:rsid w:val="67895611"/>
    <w:rsid w:val="68084832"/>
    <w:rsid w:val="69314D98"/>
    <w:rsid w:val="6CC1216A"/>
    <w:rsid w:val="6F6208A6"/>
    <w:rsid w:val="728C4C42"/>
    <w:rsid w:val="73285814"/>
    <w:rsid w:val="73744912"/>
    <w:rsid w:val="74342DDF"/>
    <w:rsid w:val="745D6D18"/>
    <w:rsid w:val="74793AEE"/>
    <w:rsid w:val="761253DF"/>
    <w:rsid w:val="76977446"/>
    <w:rsid w:val="78304775"/>
    <w:rsid w:val="785607A6"/>
    <w:rsid w:val="79E13C7C"/>
    <w:rsid w:val="79F17EA9"/>
    <w:rsid w:val="7B48743F"/>
    <w:rsid w:val="7E644F99"/>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unhideWhenUsed="0" w:qFormat="1"/>
    <w:lsdException w:name="header" w:semiHidden="0" w:uiPriority="0" w:unhideWhenUsed="0" w:qFormat="1"/>
    <w:lsdException w:name="footer" w:semiHidden="0" w:uiPriority="0" w:unhideWhenUsed="0" w:qFormat="1"/>
    <w:lsdException w:name="index heading" w:uiPriority="0"/>
    <w:lsdException w:name="caption" w:semiHidden="0" w:uiPriority="0" w:unhideWhenUsed="0" w:qFormat="1"/>
    <w:lsdException w:name="table of figures" w:uiPriority="0"/>
    <w:lsdException w:name="envelope address" w:uiPriority="0"/>
    <w:lsdException w:name="envelope return" w:uiPriority="0"/>
    <w:lsdException w:name="footnote reference" w:uiPriority="0"/>
    <w:lsdException w:name="annotation reference"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semiHidden="0" w:uiPriority="0" w:unhideWhenUsed="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uiPriority="0"/>
    <w:lsdException w:name="Strong" w:semiHidden="0" w:uiPriority="22" w:unhideWhenUsed="0" w:qFormat="1"/>
    <w:lsdException w:name="Emphasis" w:semiHidden="0" w:uiPriority="0" w:unhideWhenUsed="0" w:qFormat="1"/>
    <w:lsdException w:name="Document Map" w:uiPriority="0" w:unhideWhenUsed="0" w:qFormat="1"/>
    <w:lsdException w:name="Plain Text" w:uiPriority="0"/>
    <w:lsdException w:name="E-mail Signature" w:uiPriority="0"/>
    <w:lsdException w:name="Normal (Web)" w:semiHidden="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Lines="100" w:afterLines="100" w:line="720" w:lineRule="exact"/>
      <w:jc w:val="center"/>
      <w:outlineLvl w:val="0"/>
    </w:pPr>
    <w:rPr>
      <w:rFonts w:ascii="黑体" w:eastAsia="黑体" w:hAnsi="宋体"/>
      <w:bCs/>
      <w:kern w:val="44"/>
      <w:sz w:val="36"/>
      <w:szCs w:val="36"/>
    </w:rPr>
  </w:style>
  <w:style w:type="paragraph" w:styleId="Heading2">
    <w:name w:val="heading 2"/>
    <w:basedOn w:val="Normal"/>
    <w:next w:val="Normal"/>
    <w:qFormat/>
    <w:pPr>
      <w:keepNext/>
      <w:keepLines/>
      <w:spacing w:beforeLines="100" w:afterLines="100" w:line="480" w:lineRule="exact"/>
      <w:outlineLvl w:val="1"/>
    </w:pPr>
    <w:rPr>
      <w:rFonts w:ascii="黑体" w:eastAsia="黑体" w:hAnsi="宋体"/>
      <w:bCs/>
      <w:sz w:val="30"/>
      <w:szCs w:val="30"/>
    </w:rPr>
  </w:style>
  <w:style w:type="paragraph" w:styleId="Heading3">
    <w:name w:val="heading 3"/>
    <w:basedOn w:val="Normal"/>
    <w:next w:val="Normal"/>
    <w:qFormat/>
    <w:pPr>
      <w:keepNext/>
      <w:keepLines/>
      <w:spacing w:beforeLines="100" w:afterLines="100" w:line="400" w:lineRule="exact"/>
      <w:ind w:left="420" w:leftChars="200"/>
      <w:outlineLvl w:val="2"/>
    </w:pPr>
    <w:rPr>
      <w:rFonts w:ascii="黑体" w:eastAsia="黑体" w:hAnsi="宋体"/>
      <w:bCs/>
      <w:kern w:val="0"/>
      <w:sz w:val="30"/>
      <w:szCs w:val="30"/>
    </w:rPr>
  </w:style>
  <w:style w:type="paragraph" w:styleId="Heading9">
    <w:name w:val="heading 9"/>
    <w:basedOn w:val="Normal"/>
    <w:next w:val="Normal"/>
    <w:link w:val="9Char"/>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aption">
    <w:name w:val="caption"/>
    <w:basedOn w:val="Normal"/>
    <w:next w:val="Normal"/>
    <w:autoRedefine/>
    <w:qFormat/>
    <w:rPr>
      <w:rFonts w:ascii="Arial" w:eastAsia="黑体" w:hAnsi="Arial" w:cs="Arial"/>
      <w:sz w:val="20"/>
      <w:szCs w:val="20"/>
    </w:rPr>
  </w:style>
  <w:style w:type="paragraph" w:styleId="DocumentMap">
    <w:name w:val="Document Map"/>
    <w:basedOn w:val="Normal"/>
    <w:autoRedefine/>
    <w:semiHidden/>
    <w:qFormat/>
    <w:pPr>
      <w:shd w:val="clear" w:color="auto" w:fill="000080"/>
    </w:pPr>
  </w:style>
  <w:style w:type="paragraph" w:styleId="CommentText">
    <w:name w:val="annotation text"/>
    <w:basedOn w:val="Normal"/>
    <w:link w:val="Char"/>
    <w:autoRedefine/>
    <w:semiHidden/>
    <w:qFormat/>
    <w:pPr>
      <w:jc w:val="left"/>
    </w:pPr>
  </w:style>
  <w:style w:type="paragraph" w:styleId="BodyTextIndent">
    <w:name w:val="Body Text Indent"/>
    <w:basedOn w:val="Normal"/>
    <w:autoRedefine/>
    <w:qFormat/>
    <w:pPr>
      <w:ind w:firstLine="693" w:firstLineChars="231"/>
    </w:pPr>
    <w:rPr>
      <w:sz w:val="30"/>
    </w:rPr>
  </w:style>
  <w:style w:type="paragraph" w:styleId="TOC3">
    <w:name w:val="toc 3"/>
    <w:basedOn w:val="Normal"/>
    <w:next w:val="Normal"/>
    <w:autoRedefine/>
    <w:uiPriority w:val="39"/>
    <w:qFormat/>
    <w:pPr>
      <w:ind w:left="840" w:leftChars="400"/>
    </w:pPr>
  </w:style>
  <w:style w:type="paragraph" w:styleId="BalloonText">
    <w:name w:val="Balloon Text"/>
    <w:basedOn w:val="Normal"/>
    <w:autoRedefine/>
    <w:semiHidden/>
    <w:qFormat/>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tabs>
        <w:tab w:val="right" w:leader="dot" w:pos="9344"/>
      </w:tabs>
      <w:adjustRightInd w:val="0"/>
      <w:snapToGrid w:val="0"/>
      <w:spacing w:line="400" w:lineRule="atLeast"/>
      <w:jc w:val="left"/>
    </w:pPr>
    <w:rPr>
      <w:rFonts w:ascii="黑体"/>
      <w:sz w:val="24"/>
    </w:rPr>
  </w:style>
  <w:style w:type="paragraph" w:styleId="TOC4">
    <w:name w:val="toc 4"/>
    <w:basedOn w:val="Normal"/>
    <w:next w:val="Normal"/>
    <w:semiHidden/>
    <w:qFormat/>
    <w:pPr>
      <w:ind w:left="1260" w:leftChars="600"/>
    </w:pPr>
  </w:style>
  <w:style w:type="paragraph" w:styleId="TOC2">
    <w:name w:val="toc 2"/>
    <w:basedOn w:val="Normal"/>
    <w:next w:val="Normal"/>
    <w:uiPriority w:val="39"/>
    <w:qFormat/>
    <w:pPr>
      <w:spacing w:line="400" w:lineRule="exact"/>
    </w:pPr>
    <w:rPr>
      <w:sz w:val="24"/>
    </w:rPr>
  </w:style>
  <w:style w:type="paragraph" w:styleId="NormalWeb">
    <w:name w:val="Normal (Web)"/>
    <w:basedOn w:val="Normal"/>
    <w:uiPriority w:val="99"/>
    <w:qFormat/>
    <w:pPr>
      <w:spacing w:beforeAutospacing="1" w:afterAutospacing="1"/>
      <w:jc w:val="left"/>
    </w:pPr>
    <w:rPr>
      <w:kern w:val="0"/>
      <w:sz w:val="24"/>
    </w:rPr>
  </w:style>
  <w:style w:type="paragraph" w:styleId="CommentSubject">
    <w:name w:val="annotation subject"/>
    <w:basedOn w:val="CommentText"/>
    <w:next w:val="CommentText"/>
    <w:autoRedefine/>
    <w:semiHidden/>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uiPriority w:val="22"/>
    <w:qFormat/>
    <w:rPr>
      <w:b/>
    </w:rPr>
  </w:style>
  <w:style w:type="character" w:styleId="PageNumber">
    <w:name w:val="page number"/>
    <w:basedOn w:val="DefaultParagraphFont"/>
    <w:qFormat/>
  </w:style>
  <w:style w:type="character" w:styleId="Hyperlink">
    <w:name w:val="Hyperlink"/>
    <w:autoRedefine/>
    <w:uiPriority w:val="99"/>
    <w:qFormat/>
    <w:rPr>
      <w:color w:val="0000FF"/>
      <w:u w:val="single"/>
    </w:rPr>
  </w:style>
  <w:style w:type="character" w:styleId="CommentReference">
    <w:name w:val="annotation reference"/>
    <w:semiHidden/>
    <w:qFormat/>
    <w:rPr>
      <w:sz w:val="21"/>
      <w:szCs w:val="21"/>
    </w:rPr>
  </w:style>
  <w:style w:type="character" w:customStyle="1" w:styleId="9t">
    <w:name w:val="9t"/>
    <w:basedOn w:val="DefaultParagraphFont"/>
    <w:qFormat/>
  </w:style>
  <w:style w:type="paragraph" w:customStyle="1" w:styleId="ttt">
    <w:name w:val="ttt"/>
    <w:basedOn w:val="Normal"/>
    <w:autoRedefine/>
    <w:qFormat/>
    <w:pPr>
      <w:adjustRightInd w:val="0"/>
      <w:snapToGrid w:val="0"/>
      <w:spacing w:beforeLines="100" w:afterLines="100" w:line="480" w:lineRule="exact"/>
      <w:jc w:val="center"/>
    </w:pPr>
    <w:rPr>
      <w:rFonts w:ascii="黑体" w:eastAsia="黑体"/>
      <w:b/>
      <w:sz w:val="28"/>
      <w:szCs w:val="28"/>
    </w:rPr>
  </w:style>
  <w:style w:type="paragraph" w:customStyle="1" w:styleId="a">
    <w:name w:val="大标题"/>
    <w:basedOn w:val="Normal"/>
    <w:autoRedefine/>
    <w:qFormat/>
    <w:pPr>
      <w:adjustRightInd w:val="0"/>
      <w:snapToGrid w:val="0"/>
      <w:spacing w:after="720" w:line="400" w:lineRule="exact"/>
      <w:jc w:val="center"/>
    </w:pPr>
    <w:rPr>
      <w:rFonts w:ascii="黑体" w:eastAsia="黑体" w:hAnsi="宋体"/>
      <w:sz w:val="36"/>
      <w:szCs w:val="36"/>
    </w:rPr>
  </w:style>
  <w:style w:type="paragraph" w:customStyle="1" w:styleId="TOC10">
    <w:name w:val="TOC 标题1"/>
    <w:basedOn w:val="Heading1"/>
    <w:next w:val="Normal"/>
    <w:autoRedefine/>
    <w:uiPriority w:val="39"/>
    <w:unhideWhenUsed/>
    <w:qFormat/>
    <w:pPr>
      <w:widowControl/>
      <w:spacing w:beforeLines="0" w:afterLines="0" w:line="259" w:lineRule="auto"/>
      <w:jc w:val="left"/>
      <w:outlineLvl w:val="9"/>
    </w:pPr>
    <w:rPr>
      <w:rFonts w:asciiTheme="majorHAnsi" w:eastAsiaTheme="majorEastAsia" w:hAnsiTheme="majorHAnsi" w:cstheme="majorBidi"/>
      <w:bCs w:val="0"/>
      <w:color w:val="2E75B6" w:themeColor="accent1" w:themeShade="BF"/>
      <w:kern w:val="0"/>
      <w:sz w:val="32"/>
      <w:szCs w:val="32"/>
    </w:rPr>
  </w:style>
  <w:style w:type="character" w:customStyle="1" w:styleId="Char">
    <w:name w:val="批注文字 Char"/>
    <w:basedOn w:val="DefaultParagraphFont"/>
    <w:link w:val="CommentText"/>
    <w:semiHidden/>
    <w:qFormat/>
    <w:rPr>
      <w:kern w:val="2"/>
      <w:sz w:val="21"/>
      <w:szCs w:val="24"/>
    </w:rPr>
  </w:style>
  <w:style w:type="character" w:customStyle="1" w:styleId="9Char">
    <w:name w:val="标题 9 Char"/>
    <w:basedOn w:val="DefaultParagraphFont"/>
    <w:link w:val="Heading9"/>
    <w:autoRedefine/>
    <w:semiHidden/>
    <w:qFormat/>
    <w:rPr>
      <w:rFonts w:asciiTheme="majorHAnsi" w:eastAsiaTheme="majorEastAsia" w:hAnsiTheme="majorHAnsi" w:cstheme="majorBidi"/>
      <w:kern w:val="2"/>
      <w:sz w:val="21"/>
      <w:szCs w:val="21"/>
    </w:rPr>
  </w:style>
  <w:style w:type="paragraph" w:styleId="ListParagraph">
    <w:name w:val="List Paragraph"/>
    <w:basedOn w:val="Normal"/>
    <w:uiPriority w:val="99"/>
    <w:qFormat/>
    <w:pPr>
      <w:ind w:firstLine="420" w:firstLineChars="200"/>
    </w:pPr>
  </w:style>
  <w:style w:type="character" w:customStyle="1" w:styleId="fw-op">
    <w:name w:val="fw-op"/>
    <w:basedOn w:val="DefaultParagraphFont"/>
    <w:autoRedefine/>
    <w:qFormat/>
  </w:style>
  <w:style w:type="paragraph" w:customStyle="1" w:styleId="TOC20">
    <w:name w:val="TOC 标题2"/>
    <w:basedOn w:val="Heading1"/>
    <w:next w:val="Normal"/>
    <w:uiPriority w:val="39"/>
    <w:unhideWhenUsed/>
    <w:qFormat/>
    <w:pPr>
      <w:widowControl/>
      <w:spacing w:beforeLines="0" w:afterLines="0" w:line="259" w:lineRule="auto"/>
      <w:jc w:val="left"/>
      <w:outlineLvl w:val="9"/>
    </w:pPr>
    <w:rPr>
      <w:rFonts w:asciiTheme="majorHAnsi" w:eastAsiaTheme="majorEastAsia" w:hAnsiTheme="majorHAnsi" w:cstheme="majorBidi"/>
      <w:bCs w:val="0"/>
      <w:color w:val="2E75B6" w:themeColor="accent1" w:themeShade="BF"/>
      <w:kern w:val="0"/>
      <w:sz w:val="32"/>
      <w:szCs w:val="32"/>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6.xml" /><Relationship Id="rId18" Type="http://schemas.openxmlformats.org/officeDocument/2006/relationships/image" Target="media/image1.png" /><Relationship Id="rId19" Type="http://schemas.openxmlformats.org/officeDocument/2006/relationships/image" Target="media/image2.png"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footer" Target="footer10.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footer" Target="footer12.xml" /><Relationship Id="rId33" Type="http://schemas.openxmlformats.org/officeDocument/2006/relationships/header" Target="header12.xml" /><Relationship Id="rId34" Type="http://schemas.openxmlformats.org/officeDocument/2006/relationships/chart" Target="charts/chart1.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14.xml" /><Relationship Id="rId39" Type="http://schemas.openxmlformats.org/officeDocument/2006/relationships/header" Target="header15.xml" /><Relationship Id="rId4" Type="http://schemas.openxmlformats.org/officeDocument/2006/relationships/customXml" Target="../customXml/item1.xml" /><Relationship Id="rId40" Type="http://schemas.openxmlformats.org/officeDocument/2006/relationships/footer" Target="footer15.xml" /><Relationship Id="rId41" Type="http://schemas.openxmlformats.org/officeDocument/2006/relationships/footer" Target="footer16.xml" /><Relationship Id="rId42" Type="http://schemas.openxmlformats.org/officeDocument/2006/relationships/header" Target="header16.xml" /><Relationship Id="rId43" Type="http://schemas.openxmlformats.org/officeDocument/2006/relationships/chart" Target="charts/chart2.xml" /><Relationship Id="rId44" Type="http://schemas.openxmlformats.org/officeDocument/2006/relationships/hyperlink" Target="https://d.book118.com/678130060045006025" TargetMode="Externa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footer" Target="footer18.xml" /><Relationship Id="rId48" Type="http://schemas.openxmlformats.org/officeDocument/2006/relationships/header" Target="header1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Worksheet1.xlsx" /><Relationship Id="rId2" Type="http://schemas.openxmlformats.org/officeDocument/2006/relationships/themeOverride" Target="../theme/themeOverride1.xml" /></Relationships>
</file>

<file path=word/charts/_rels/chart2.xml.rels><?xml version="1.0" encoding="utf-8" standalone="yes"?><Relationships xmlns="http://schemas.openxmlformats.org/package/2006/relationships"><Relationship Id="rId1" Type="http://schemas.openxmlformats.org/officeDocument/2006/relationships/package" Target="../embeddings/Microsoft_Excel_Worksheet2.xlsx" /><Relationship Id="rId2" Type="http://schemas.openxmlformats.org/officeDocument/2006/relationships/themeOverride" Target="../theme/themeOverride2.xml" /><Relationship Id="rId3" Type="http://schemas.microsoft.com/office/2011/relationships/chartColorStyle" Target="chart/colors1.xml" /><Relationship Id="rId4" Type="http://schemas.microsoft.com/office/2011/relationships/chartStyle" Target="chart/style1.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clip"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2018-2020</a:t>
            </a:r>
            <a:r>
              <a:rPr lang="zh-CN" altLang="en-US"/>
              <a:t>年直播电商头部企业</a:t>
            </a:r>
            <a:r>
              <a:rPr lang="en-US" altLang="zh-CN"/>
              <a:t>GMV</a:t>
            </a:r>
            <a:r>
              <a:rPr lang="zh-CN" altLang="en-US"/>
              <a:t>规模（亿元）</a:t>
            </a:r>
            <a:endParaRPr lang="zh-CN" altLang="en-US"/>
          </a:p>
        </c:rich>
      </c:tx>
      <c:layout>
        <c:manualLayout>
          <c:xMode val="edge"/>
          <c:yMode val="edge"/>
          <c:x val="0.101879215452678"/>
          <c:y val="0.0442377260981912"/>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淘宝直播</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strRef>
              <c:f>Sheet1!$A$2:$A$5</c:f>
              <c:strCache>
                <c:ptCount val="3"/>
                <c:pt idx="0">
                  <c:v>2018</c:v>
                </c:pt>
                <c:pt idx="1">
                  <c:v>2019</c:v>
                </c:pt>
                <c:pt idx="2">
                  <c:v>2020E</c:v>
                </c:pt>
              </c:strCache>
            </c:strRef>
          </c:cat>
          <c:val>
            <c:numRef>
              <c:f>Sheet1!$B$2:$B$5</c:f>
              <c:numCache>
                <c:formatCode>General</c:formatCode>
                <c:ptCount val="4"/>
                <c:pt idx="0">
                  <c:v>1000</c:v>
                </c:pt>
                <c:pt idx="1">
                  <c:v>2000</c:v>
                </c:pt>
                <c:pt idx="2">
                  <c:v>5000</c:v>
                </c:pt>
              </c:numCache>
            </c:numRef>
          </c:val>
        </c:ser>
        <c:ser>
          <c:idx val="1"/>
          <c:order val="1"/>
          <c:tx>
            <c:strRef>
              <c:f>Sheet1!$C$1</c:f>
              <c:strCache>
                <c:ptCount val="1"/>
                <c:pt idx="0">
                  <c:v>抖音</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strRef>
              <c:f>Sheet1!$A$2:$A$5</c:f>
              <c:strCache>
                <c:ptCount val="3"/>
                <c:pt idx="0">
                  <c:v>2018</c:v>
                </c:pt>
                <c:pt idx="1">
                  <c:v>2019</c:v>
                </c:pt>
                <c:pt idx="2">
                  <c:v>2020E</c:v>
                </c:pt>
              </c:strCache>
            </c:strRef>
          </c:cat>
          <c:val>
            <c:numRef>
              <c:f>Sheet1!$C$2:$C$5</c:f>
              <c:numCache>
                <c:formatCode>General</c:formatCode>
                <c:ptCount val="4"/>
                <c:pt idx="0">
                  <c:v>30</c:v>
                </c:pt>
                <c:pt idx="1">
                  <c:v>400</c:v>
                </c:pt>
                <c:pt idx="2">
                  <c:v>2000</c:v>
                </c:pt>
              </c:numCache>
            </c:numRef>
          </c:val>
        </c:ser>
        <c:ser>
          <c:idx val="2"/>
          <c:order val="2"/>
          <c:tx>
            <c:strRef>
              <c:f>Sheet1!$D$1</c:f>
              <c:strCache>
                <c:ptCount val="1"/>
                <c:pt idx="0">
                  <c:v>快手</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strRef>
              <c:f>Sheet1!$A$2:$A$5</c:f>
              <c:strCache>
                <c:ptCount val="3"/>
                <c:pt idx="0">
                  <c:v>2018</c:v>
                </c:pt>
                <c:pt idx="1">
                  <c:v>2019</c:v>
                </c:pt>
                <c:pt idx="2">
                  <c:v>2020E</c:v>
                </c:pt>
              </c:strCache>
            </c:strRef>
          </c:cat>
          <c:val>
            <c:numRef>
              <c:f>Sheet1!$D$2:$D$5</c:f>
              <c:numCache>
                <c:formatCode>General</c:formatCode>
                <c:ptCount val="4"/>
                <c:pt idx="0">
                  <c:v>100</c:v>
                </c:pt>
                <c:pt idx="1">
                  <c:v>1000</c:v>
                </c:pt>
                <c:pt idx="2">
                  <c:v>2500</c:v>
                </c:pt>
              </c:numCache>
            </c:numRef>
          </c:val>
        </c:ser>
        <c:dLbls>
          <c:showLegendKey val="0"/>
          <c:showVal val="1"/>
          <c:showCatName val="0"/>
          <c:showSerName val="0"/>
          <c:showPercent val="0"/>
          <c:showBubbleSize val="0"/>
        </c:dLbls>
        <c:gapWidth val="219"/>
        <c:axId val="-2045880848"/>
        <c:axId val="-2045880304"/>
      </c:barChart>
      <c:lineChart>
        <c:grouping val="standard"/>
        <c:varyColors val="0"/>
        <c:ser>
          <c:idx val="3"/>
          <c:order val="3"/>
          <c:tx>
            <c:strRef>
              <c:f>Sheet1!$E$1</c:f>
              <c:strCache>
                <c:ptCount val="1"/>
                <c:pt idx="0">
                  <c:v>淘宝市场份额</c:v>
                </c:pt>
              </c:strCache>
            </c:strRef>
          </c:tx>
          <c:spPr>
            <a:ln w="28575" cap="rnd">
              <a:solidFill>
                <a:schemeClr val="accent4"/>
              </a:solidFill>
              <a:prstDash val="solid"/>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prstDash val="solid"/>
                      <a:round/>
                    </a:ln>
                    <a:effectLst/>
                  </c:spPr>
                </c15:leaderLines>
              </c:ext>
            </c:extLst>
          </c:dLbls>
          <c:cat>
            <c:strRef>
              <c:f>Sheet1!$A$2:$A$5</c:f>
              <c:strCache>
                <c:ptCount val="3"/>
                <c:pt idx="0">
                  <c:v>2018</c:v>
                </c:pt>
                <c:pt idx="1">
                  <c:v>2019</c:v>
                </c:pt>
                <c:pt idx="2">
                  <c:v>2020E</c:v>
                </c:pt>
              </c:strCache>
            </c:strRef>
          </c:cat>
          <c:val>
            <c:numRef>
              <c:f>Sheet1!$E$2:$E$5</c:f>
              <c:numCache>
                <c:formatCode>0.00%</c:formatCode>
                <c:ptCount val="4"/>
                <c:pt idx="0">
                  <c:v>0.7142</c:v>
                </c:pt>
                <c:pt idx="1">
                  <c:v>0.4612</c:v>
                </c:pt>
                <c:pt idx="2">
                  <c:v>0.5476</c:v>
                </c:pt>
              </c:numCache>
            </c:numRef>
          </c:val>
          <c:smooth val="0"/>
        </c:ser>
        <c:dLbls>
          <c:showLegendKey val="0"/>
          <c:showVal val="1"/>
          <c:showCatName val="0"/>
          <c:showSerName val="0"/>
          <c:showPercent val="0"/>
          <c:showBubbleSize val="0"/>
        </c:dLbls>
        <c:marker val="0"/>
        <c:smooth val="0"/>
        <c:axId val="-2045874864"/>
        <c:axId val="-2045887376"/>
      </c:lineChart>
      <c:catAx>
        <c:axId val="-2045880848"/>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80304"/>
        <c:crosses val="autoZero"/>
        <c:auto val="1"/>
        <c:lblAlgn val="ctr"/>
        <c:lblOffset val="100"/>
        <c:noMultiLvlLbl val="0"/>
      </c:catAx>
      <c:valAx>
        <c:axId val="-2045880304"/>
        <c:scaling>
          <c:orientation val="minMax"/>
        </c:scaling>
        <c:delete val="0"/>
        <c:axPos val="l"/>
        <c:majorGridlines>
          <c:spPr>
            <a:ln w="9525">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80848"/>
        <c:crosses val="autoZero"/>
        <c:crossBetween val="between"/>
      </c:valAx>
      <c:catAx>
        <c:axId val="-2045874864"/>
        <c:scaling>
          <c:orientation val="minMax"/>
        </c:scaling>
        <c:delete val="1"/>
        <c:axPos val="b"/>
        <c:numFmt formatCode="General" sourceLinked="1"/>
        <c:majorTickMark val="none"/>
        <c:minorTickMark val="none"/>
        <c:tickLblPos val="nextTo"/>
        <c:spPr>
          <a:noFill/>
          <a:ln w="9525">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87376"/>
        <c:crosses val="autoZero"/>
        <c:auto val="1"/>
        <c:lblAlgn val="ctr"/>
        <c:lblOffset val="100"/>
        <c:noMultiLvlLbl val="0"/>
      </c:catAx>
      <c:valAx>
        <c:axId val="-2045887376"/>
        <c:scaling>
          <c:orientation val="minMax"/>
        </c:scaling>
        <c:delete val="0"/>
        <c:axPos val="r"/>
        <c:numFmt formatCode="0.00%" sourceLinked="1"/>
        <c:majorTickMark val="out"/>
        <c:minorTickMark val="none"/>
        <c:tickLblPos val="nextTo"/>
        <c:spPr>
          <a:noFill/>
          <a:ln w="6350">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74864"/>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clip"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2016-2020</a:t>
            </a:r>
            <a:r>
              <a:rPr lang="zh-CN" altLang="en-US"/>
              <a:t>年中国在线直播用户规模及预测</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在线直播用户规模（亿人）</c:v>
                </c:pt>
              </c:strCache>
            </c:strRef>
          </c:tx>
          <c:spPr>
            <a:solidFill>
              <a:schemeClr val="accent1"/>
            </a:solidFill>
            <a:ln>
              <a:noFill/>
            </a:ln>
            <a:effectLst/>
          </c:spPr>
          <c:invertIfNegative val="0"/>
          <c:dLbls>
            <c:dLbl>
              <c:idx val="3"/>
              <c:tx>
                <c:rich>
                  <a:bodyPr rot="0" spcFirstLastPara="1" vertOverflow="clip"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5.04</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dLbl>
              <c:idx val="4"/>
              <c:tx>
                <c:rich>
                  <a:bodyPr rot="0" spcFirstLastPara="1" vertOverflow="clip"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5.26</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Sheet1!$A$2:$A$6</c:f>
              <c:strCache>
                <c:ptCount val="5"/>
                <c:pt idx="0">
                  <c:v>2016</c:v>
                </c:pt>
                <c:pt idx="1">
                  <c:v>2017</c:v>
                </c:pt>
                <c:pt idx="2">
                  <c:v>2018</c:v>
                </c:pt>
                <c:pt idx="3">
                  <c:v>2019</c:v>
                </c:pt>
                <c:pt idx="4">
                  <c:v>2020E</c:v>
                </c:pt>
              </c:strCache>
            </c:strRef>
          </c:cat>
          <c:val>
            <c:numRef>
              <c:f>Sheet1!$B$2:$B$6</c:f>
              <c:numCache>
                <c:formatCode>General</c:formatCode>
                <c:ptCount val="5"/>
                <c:pt idx="0">
                  <c:v>3.1</c:v>
                </c:pt>
                <c:pt idx="1">
                  <c:v>3.98</c:v>
                </c:pt>
                <c:pt idx="2">
                  <c:v>4.56</c:v>
                </c:pt>
                <c:pt idx="3">
                  <c:v>5.01</c:v>
                </c:pt>
                <c:pt idx="4">
                  <c:v>5.5</c:v>
                </c:pt>
              </c:numCache>
            </c:numRef>
          </c:val>
        </c:ser>
        <c:dLbls>
          <c:showLegendKey val="0"/>
          <c:showVal val="0"/>
          <c:showCatName val="0"/>
          <c:showSerName val="0"/>
          <c:showPercent val="0"/>
          <c:showBubbleSize val="0"/>
        </c:dLbls>
        <c:gapWidth val="219"/>
        <c:overlap val="-27"/>
        <c:axId val="-2045886288"/>
        <c:axId val="-2045885744"/>
      </c:barChart>
      <c:lineChart>
        <c:grouping val="standard"/>
        <c:varyColors val="0"/>
        <c:ser>
          <c:idx val="2"/>
          <c:order val="1"/>
          <c:tx>
            <c:strRef>
              <c:f>Sheet1!$D$1</c:f>
              <c:strCache>
                <c:ptCount val="1"/>
                <c:pt idx="0">
                  <c:v>同比增长（%）</c:v>
                </c:pt>
              </c:strCache>
            </c:strRef>
          </c:tx>
          <c:spPr>
            <a:ln w="28575" cap="rnd">
              <a:solidFill>
                <a:schemeClr val="accent3"/>
              </a:solidFill>
              <a:round/>
            </a:ln>
            <a:effectLst/>
          </c:spPr>
          <c:marker>
            <c:symbol val="none"/>
          </c:marker>
          <c:dLbls>
            <c:dLbl>
              <c:idx val="0"/>
              <c:dLblPos val="r"/>
              <c:showLegendKey val="0"/>
              <c:showVal val="1"/>
              <c:showCatName val="0"/>
              <c:showSerName val="0"/>
              <c:showPercent val="0"/>
              <c:showBubbleSize val="0"/>
              <c:extLst>
                <c:ext xmlns:c15="http://schemas.microsoft.com/office/drawing/2012/chart" uri="{CE6537A1-D6FC-4f65-9D91-7224C49458BB}"/>
              </c:extLst>
            </c:dLbl>
            <c:dLbl>
              <c:idx val="1"/>
              <c:tx>
                <c:rich>
                  <a:bodyPr rot="0" spcFirstLastPara="1" vertOverflow="clip"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28.39%</a:t>
                    </a:r>
                    <a:endParaRPr lang="en-US" altLang="zh-CN"/>
                  </a:p>
                </c:rich>
              </c:tx>
              <c:dLblPos val="r"/>
              <c:showLegendKey val="0"/>
              <c:showVal val="1"/>
              <c:showCatName val="0"/>
              <c:showSerName val="0"/>
              <c:showPercent val="0"/>
              <c:showBubbleSize val="0"/>
              <c:extLst>
                <c:ext xmlns:c15="http://schemas.microsoft.com/office/drawing/2012/chart" uri="{CE6537A1-D6FC-4f65-9D91-7224C49458BB}"/>
              </c:extLst>
            </c:dLbl>
            <c:dLbl>
              <c:idx val="2"/>
              <c:tx>
                <c:rich>
                  <a:bodyPr rot="0" spcFirstLastPara="1" vertOverflow="clip"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14.57%</a:t>
                    </a:r>
                    <a:endParaRPr lang="en-US" altLang="zh-CN"/>
                  </a:p>
                </c:rich>
              </c:tx>
              <c:dLblPos val="r"/>
              <c:showLegendKey val="0"/>
              <c:showVal val="1"/>
              <c:showCatName val="0"/>
              <c:showSerName val="0"/>
              <c:showPercent val="0"/>
              <c:showBubbleSize val="0"/>
              <c:extLst>
                <c:ext xmlns:c15="http://schemas.microsoft.com/office/drawing/2012/chart" uri="{CE6537A1-D6FC-4f65-9D91-7224C49458BB}"/>
              </c:extLst>
            </c:dLbl>
            <c:dLbl>
              <c:idx val="3"/>
              <c:tx>
                <c:rich>
                  <a:bodyPr rot="0" spcFirstLastPara="1" vertOverflow="clip"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10.60%</a:t>
                    </a:r>
                    <a:endParaRPr lang="en-US" altLang="zh-CN"/>
                  </a:p>
                </c:rich>
              </c:tx>
              <c:dLblPos val="r"/>
              <c:showLegendKey val="0"/>
              <c:showVal val="1"/>
              <c:showCatName val="0"/>
              <c:showSerName val="0"/>
              <c:showPercent val="0"/>
              <c:showBubbleSize val="0"/>
              <c:extLst>
                <c:ext xmlns:c15="http://schemas.microsoft.com/office/drawing/2012/chart" uri="{CE6537A1-D6FC-4f65-9D91-7224C49458BB}"/>
              </c:extLst>
            </c:dLbl>
            <c:dLbl>
              <c:idx val="4"/>
              <c:tx>
                <c:rich>
                  <a:bodyPr rot="0" spcFirstLastPara="1" vertOverflow="clip"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4.38%</a:t>
                    </a:r>
                    <a:endParaRPr lang="en-US" altLang="zh-CN"/>
                  </a:p>
                </c:rich>
              </c:tx>
              <c:dLblPos val="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r"/>
            <c:showLegendKey val="0"/>
            <c:showVal val="0"/>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strRef>
              <c:f>Sheet1!$A$2:$A$6</c:f>
              <c:strCache>
                <c:ptCount val="5"/>
                <c:pt idx="0">
                  <c:v>2016</c:v>
                </c:pt>
                <c:pt idx="1">
                  <c:v>2017</c:v>
                </c:pt>
                <c:pt idx="2">
                  <c:v>2018</c:v>
                </c:pt>
                <c:pt idx="3">
                  <c:v>2019</c:v>
                </c:pt>
                <c:pt idx="4">
                  <c:v>2020E</c:v>
                </c:pt>
              </c:strCache>
            </c:strRef>
          </c:cat>
          <c:val>
            <c:numRef>
              <c:f>Sheet1!$D$2:$D$6</c:f>
              <c:numCache>
                <c:formatCode>General</c:formatCode>
                <c:ptCount val="5"/>
                <c:pt idx="1" formatCode="0%">
                  <c:v>0.2839</c:v>
                </c:pt>
                <c:pt idx="2" formatCode="0%">
                  <c:v>0.1457</c:v>
                </c:pt>
                <c:pt idx="3" formatCode="0%">
                  <c:v>0.106</c:v>
                </c:pt>
                <c:pt idx="4" formatCode="0%">
                  <c:v>0.0438</c:v>
                </c:pt>
              </c:numCache>
            </c:numRef>
          </c:val>
          <c:smooth val="0"/>
        </c:ser>
        <c:dLbls>
          <c:showLegendKey val="0"/>
          <c:showVal val="0"/>
          <c:showCatName val="0"/>
          <c:showSerName val="0"/>
          <c:showPercent val="0"/>
          <c:showBubbleSize val="0"/>
        </c:dLbls>
        <c:marker val="0"/>
        <c:smooth val="0"/>
        <c:axId val="-2045884112"/>
        <c:axId val="-2045884656"/>
      </c:lineChart>
      <c:catAx>
        <c:axId val="-2045886288"/>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85744"/>
        <c:crosses val="autoZero"/>
        <c:auto val="1"/>
        <c:lblAlgn val="ctr"/>
        <c:lblOffset val="100"/>
        <c:noMultiLvlLbl val="0"/>
      </c:catAx>
      <c:valAx>
        <c:axId val="-2045885744"/>
        <c:scaling>
          <c:orientation val="minMax"/>
        </c:scaling>
        <c:delete val="0"/>
        <c:axPos val="l"/>
        <c:majorGridlines>
          <c:spPr>
            <a:ln w="9525">
              <a:solidFill>
                <a:schemeClr val="tx1">
                  <a:lumMod val="15000"/>
                  <a:lumOff val="85000"/>
                </a:schemeClr>
              </a:solidFill>
              <a:round/>
            </a:ln>
            <a:effectLst/>
          </c:spPr>
        </c:majorGridlines>
        <c:numFmt formatCode="General" sourceLinked="1"/>
        <c:majorTickMark val="none"/>
        <c:minorTickMark val="none"/>
        <c:tickLblPos val="nextTo"/>
        <c:spPr>
          <a:noFill/>
          <a:ln w="635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86288"/>
        <c:crosses val="autoZero"/>
        <c:crossBetween val="between"/>
      </c:valAx>
      <c:catAx>
        <c:axId val="-2045884112"/>
        <c:scaling>
          <c:orientation val="minMax"/>
        </c:scaling>
        <c:delete val="1"/>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84656"/>
        <c:crosses val="autoZero"/>
        <c:auto val="1"/>
        <c:lblAlgn val="ctr"/>
        <c:lblOffset val="100"/>
        <c:noMultiLvlLbl val="0"/>
      </c:catAx>
      <c:valAx>
        <c:axId val="-2045884656"/>
        <c:scaling>
          <c:orientation val="minMax"/>
        </c:scaling>
        <c:delete val="0"/>
        <c:axPos val="r"/>
        <c:numFmt formatCode="0.00%" sourceLinked="0"/>
        <c:majorTickMark val="out"/>
        <c:minorTickMark val="none"/>
        <c:tickLblPos val="nextTo"/>
        <c:spPr>
          <a:noFill/>
          <a:ln w="6350">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045884112"/>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a:solidFill>
        <a:schemeClr val="tx1">
          <a:lumMod val="15000"/>
          <a:lumOff val="85000"/>
        </a:schemeClr>
      </a:solidFill>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xmlns:a="http://schemas.openxmlformats.org/drawingml/2006/main" name="Office">
    <a:dk1>
      <a:sysClr lastClr="000000" val="windowText"/>
    </a:dk1>
    <a:lt1>
      <a:sysClr lastClr="CCE8C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xmlns:a="http://schemas.openxmlformats.org/drawingml/2006/main"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xmlns:a="http://schemas.openxmlformats.org/drawingml/2006/main"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algn="ctr" cap="flat" cmpd="sng" w="6350">
        <a:solidFill>
          <a:schemeClr val="phClr"/>
        </a:solidFill>
        <a:prstDash val="solid"/>
        <a:miter lim="800000"/>
      </a:ln>
      <a:ln algn="ctr" cap="flat" cmpd="sng" w="12700">
        <a:solidFill>
          <a:schemeClr val="phClr"/>
        </a:solidFill>
        <a:prstDash val="solid"/>
        <a:miter lim="800000"/>
      </a:ln>
      <a:ln algn="ctr" cap="flat" cmpd="sng" w="19050">
        <a:solidFill>
          <a:schemeClr val="phClr"/>
        </a:solidFill>
        <a:prstDash val="solid"/>
        <a:miter lim="800000"/>
      </a:ln>
    </a:lnStyleLst>
    <a:effectStyleLst>
      <a:effectStyle>
        <a:effectLst/>
      </a:effectStyle>
      <a:effectStyle>
        <a:effectLst/>
      </a:effectStyle>
      <a:effectStyle>
        <a:effectLst>
          <a:outerShdw algn="ctr" blurRad="57150" dir="5400000" dist="19050"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211922-3922-4DFC-9005-450DBDABB775}">
  <ds:schemaRefs/>
</ds:datastoreItem>
</file>

<file path=docProps/app.xml><?xml version="1.0" encoding="utf-8"?>
<Properties xmlns="http://schemas.openxmlformats.org/officeDocument/2006/extended-properties" xmlns:vt="http://schemas.openxmlformats.org/officeDocument/2006/docPropsVTypes">
  <Template>Normal.dotm</Template>
  <TotalTime>1985</TotalTime>
  <Pages>10</Pages>
  <Words>3387</Words>
  <Characters>19311</Characters>
  <Application>Microsoft Office Word</Application>
  <DocSecurity>0</DocSecurity>
  <Lines>160</Lines>
  <Paragraphs>45</Paragraphs>
  <ScaleCrop>false</ScaleCrop>
  <Company>微软中国</Company>
  <LinksUpToDate>false</LinksUpToDate>
  <CharactersWithSpaces>22653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基于Ajax的Web聊天系统设计与实现</dc:title>
  <dc:subject>毕业论文模板</dc:subject>
  <dc:creator>教务处</dc:creator>
  <cp:lastModifiedBy>ABEEL</cp:lastModifiedBy>
  <cp:revision>66</cp:revision>
  <cp:lastPrinted>2017-11-01T01:48:00Z</cp:lastPrinted>
  <dcterms:created xsi:type="dcterms:W3CDTF">2021-04-21T13:23:00Z</dcterms:created>
  <dcterms:modified xsi:type="dcterms:W3CDTF">2024-01-10T03:11:27Z</dcterms:modified>
  <cp:category>毕业论文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91C0A3FA9FBE41459A46A2B69C448878_13</vt:lpwstr>
  </property>
  <property fmtid="{D5CDD505-2E9C-101B-9397-08002B2CF9AE}" pid="3" name="KSOProductBuildVer">
    <vt:lpwstr>2052-12.1.0.16120</vt:lpwstr>
  </property>
  <property fmtid="{D5CDD505-2E9C-101B-9397-08002B2CF9AE}" pid="4" name="KSORubyTemplateID" linkTarget="0">
    <vt:lpwstr>6</vt:lpwstr>
  </property>
</Properties>
</file>