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聚酰亚胺(PI)及改性材料相关行业公司成立报告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(一)、聚酰亚胺(PI)及改性材料项目选址原则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(五)、聚酰亚胺(PI)及改性材料项目选址综合评价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(一)、聚酰亚胺(PI)及改性材料项目进度安排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(二)、聚酰亚胺(PI)及改性材料项目实施保障措施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(一)、聚酰亚胺(PI)及改性材料项目背景分析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" w:history="1">
        <w:r>
          <w:rPr>
            <w:rFonts w:ascii="仿宋" w:eastAsia="仿宋" w:hAnsi="仿宋" w:cs="仿宋" w:hint="eastAsia"/>
            <w:lang w:eastAsia="zh-CN"/>
          </w:rPr>
          <w:t>(二)、聚酰亚胺(PI)及改性材料项目建设必要性分析</w:t>
        </w:r>
        <w:r>
          <w:tab/>
        </w:r>
        <w:r>
          <w:fldChar w:fldCharType="begin"/>
        </w:r>
        <w:r>
          <w:instrText xml:space="preserve"> PAGEREF _Toc1266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_Toc21964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十、聚酰亚胺(PI)及改性材料项目风险分析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(一)、聚酰亚胺(PI)及改性材料项目风险分析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(二)、聚酰亚胺(PI)及改性材料项目风险对策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_Toc9446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(二)、合作聚酰亚胺(PI)及改性材料项目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0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5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https://d.book118.com/678134073131006036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聚酰亚胺(PI)及改性材料相关行业公司成立报告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聚酰亚胺(PI)及改性材料相关行业公司成立报告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聚酰亚胺(PI)及改性材料相关行业公司成立报告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聚酰亚胺(PI)及改性材料相关行业公司成立报告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聚酰亚胺(PI)及改性材料相关行业公司成立报告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134073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2024-02-04T06:05:00Z</dcterms:created>
  <dcterms:modified xsi:type="dcterms:W3CDTF">2024-02-04T06:05:26Z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1CB4F5ADBE4548C987F1222802FC862D_11</vt:lpwstr>
  </property>
  <property fmtid="{D5CDD505-2E9C-101B-9397-08002B2CF9AE}" pid="3" name="KSOProductBuildVer">
    <vt:lpwstr>2052-12.1.0.16250</vt:lpwstr>
  </property>
</Properties>
</file>