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分子诊断试剂项目融资计划书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一、内部技术风险的管理与动态性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_Toc19422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二、分子诊断试剂项目建设目标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(一)、分子诊断试剂项目建设目标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三、分子诊断试剂项目建设地方案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仿宋" w:eastAsia="仿宋" w:hAnsi="仿宋" w:cs="仿宋" w:hint="eastAsia"/>
            <w:lang w:eastAsia="zh-CN"/>
          </w:rPr>
          <w:t>(一)、分子诊断试剂项目选址原则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(二)、分子诊断试剂项目选址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_Toc10074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6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_Toc6317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五、分子诊断试剂行业行业发展形势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3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_Toc24983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六、分子诊断试剂企业外部环境分析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七、分子诊断试剂项目概论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(一)、分子诊断试剂项目名称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(二)、分子诊断试剂项目投资人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0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_Toc22800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0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9" w:history="1">
        <w:r>
          <w:rPr>
            <w:rFonts w:ascii="仿宋" w:eastAsia="仿宋" w:hAnsi="仿宋" w:cs="仿宋" w:hint="eastAsia"/>
            <w:lang w:eastAsia="zh-CN"/>
          </w:rPr>
          <w:t>(七)、分子诊断试剂项目建设背景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八、运营风险管理的一般程序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_Toc10726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2" w:history="1">
        <w:r>
          <w:rPr>
            <w:rFonts w:ascii="仿宋" w:eastAsia="仿宋" w:hAnsi="仿宋" w:cs="仿宋" w:hint="eastAsia"/>
            <w:lang w:eastAsia="zh-CN"/>
          </w:rPr>
          <w:t>九、环境基础状况</w:t>
        </w:r>
        <w:r>
          <w:tab/>
        </w:r>
        <w:r>
          <w:fldChar w:fldCharType="begin"/>
        </w:r>
        <w:r>
          <w:instrText xml:space="preserve"> PAGEREF _Toc18572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6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_Toc11206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5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_Toc23815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十、分子诊断试剂项目运营管理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7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_Toc9647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9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_Toc15509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4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_Toc20624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_Toc28414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1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_Toc24821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十二、分子诊断试剂项目承办单位基本情况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十三、分子诊断试剂项目背景、必要性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9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_Toc10769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十四、分子诊断试剂项目实施进度计划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(六)、分子诊断试剂项目实施保障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8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_Toc15918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十六、经营计划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5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_Toc30795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_Toc2653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eastAsia="zh-CN"/>
          </w:rPr>
          <w:t>十七、知识管理与技术创新</w:t>
        </w:r>
        <w:r>
          <w:tab/>
        </w:r>
        <w:r>
          <w:fldChar w:fldCharType="begin"/>
        </w:r>
        <w:r>
          <w:instrText xml:space="preserve"> PAGEREF _Toc10895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0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_Toc27630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十九、环保方案分析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二十、合规与风险管理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9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_Toc12289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二十一、分子诊断试剂项目风险管理与预警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32"/>
      <w:r>
        <w:rPr>
          <w:rFonts w:ascii="仿宋" w:eastAsia="仿宋" w:hAnsi="仿宋" w:cs="仿宋" w:hint="eastAsia"/>
          <w:sz w:val="28"/>
          <w:lang w:eastAsia="zh-CN"/>
        </w:rPr>
        <w:t>一、内部技术风险的管理与动态性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22"/>
      <w:r>
        <w:rPr>
          <w:rFonts w:ascii="仿宋" w:eastAsia="仿宋" w:hAnsi="仿宋" w:cs="仿宋" w:hint="eastAsia"/>
          <w:lang w:eastAsia="zh-CN"/>
        </w:rPr>
        <w:t>(一)、内部技术风险的管理与动态性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内部技术风险的可管理性：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技术风险，无论是哪一类，都是一种可以通过有效管理限制在可容忍范围内的风险。以技术创新风险为例，为了维持在技术上的领先地位，分子诊断试剂行业企业需要投入人力、物力和财力进行技术开发。然而，如果开发不成功，不仅导致相关投入损失，还使分子诊断试剂行业企业陷入经营困境。为了应对这一挑战，分子诊断试剂行业企业必须加强对技术创新风险的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在信息系统投资前进行可行性评估，充分权衡投入与产出。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在信息系统使用过程中，强化组织管理，树立风险意识。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https://d.book118.com/685232131230011113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分子诊断试剂项目融资计划书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0817C5"/>
    <w:rsid w:val="220817C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5232131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2024-02-28T06:26:00Z</dcterms:created>
  <dcterms:modified xsi:type="dcterms:W3CDTF">2024-02-28T06:27:10Z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E6377067FA544EF1BD21A342D3A44A70_11</vt:lpwstr>
  </property>
  <property fmtid="{D5CDD505-2E9C-101B-9397-08002B2CF9AE}" pid="3" name="KSOProductBuildVer">
    <vt:lpwstr>2052-12.1.0.16250</vt:lpwstr>
  </property>
</Properties>
</file>