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5" w:line="183" w:lineRule="auto"/>
        <w:ind w:left="3151"/>
        <w:outlineLvl w:val="0"/>
        <w:rPr>
          <w:rFonts w:ascii="Microsoft YaHei" w:eastAsia="Microsoft YaHei" w:hAnsi="Microsoft YaHei" w:cs="Microsoft YaHei"/>
          <w:sz w:val="18"/>
          <w:szCs w:val="18"/>
        </w:rPr>
      </w:pPr>
      <w:r>
        <w:rPr>
          <w:rFonts w:ascii="Microsoft YaHei" w:eastAsia="Microsoft YaHei" w:hAnsi="Microsoft YaHei" w:cs="Microsoft YaHei"/>
          <w:b/>
          <w:bCs/>
          <w:color w:val="FF0000"/>
          <w:spacing w:val="-1"/>
          <w:sz w:val="18"/>
          <w:szCs w:val="18"/>
        </w:rPr>
        <w:t>RCEP区域内中间品贸易网络特征及其价值链地位变化</w:t>
      </w:r>
    </w:p>
    <w:p>
      <w:pPr>
        <w:spacing w:line="268" w:lineRule="auto"/>
        <w:rPr>
          <w:rFonts w:ascii="Arial"/>
          <w:sz w:val="21"/>
        </w:rPr>
      </w:pPr>
    </w:p>
    <w:p>
      <w:pPr>
        <w:spacing w:before="64" w:line="452" w:lineRule="exact"/>
        <w:ind w:left="2827"/>
        <w:rPr>
          <w:rFonts w:ascii="Microsoft YaHei" w:eastAsia="Microsoft YaHei" w:hAnsi="Microsoft YaHei" w:cs="Microsoft YaHei"/>
          <w:sz w:val="15"/>
          <w:szCs w:val="15"/>
        </w:rPr>
      </w:pPr>
      <w:r>
        <w:rPr>
          <w:rFonts w:ascii="Microsoft YaHei" w:eastAsia="Microsoft YaHei" w:hAnsi="Microsoft YaHei" w:cs="Microsoft YaHei"/>
          <w:spacing w:val="7"/>
          <w:position w:val="23"/>
          <w:sz w:val="15"/>
          <w:szCs w:val="15"/>
        </w:rPr>
        <w:t>河北大学经济学院 成新轩 宋长钰；韩国又石大学工商管理学院 王家琛</w:t>
      </w:r>
    </w:p>
    <w:p>
      <w:pPr>
        <w:spacing w:before="1" w:line="189" w:lineRule="auto"/>
        <w:ind w:left="4490"/>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发布时间:2024-01-24</w:t>
      </w:r>
    </w:p>
    <w:p>
      <w:pPr>
        <w:spacing w:line="352" w:lineRule="auto"/>
        <w:rPr>
          <w:rFonts w:ascii="Arial"/>
          <w:sz w:val="21"/>
        </w:rPr>
      </w:pPr>
    </w:p>
    <w:p>
      <w:pPr>
        <w:pStyle w:val="BodyText"/>
        <w:spacing w:before="49" w:line="462" w:lineRule="auto"/>
        <w:ind w:right="22" w:firstLine="334"/>
        <w:jc w:val="both"/>
      </w:pPr>
      <w:r>
        <w:rPr>
          <w:spacing w:val="8"/>
        </w:rPr>
        <w:t>内容摘要：</w:t>
      </w:r>
      <w:r>
        <w:rPr>
          <w:spacing w:val="-38"/>
        </w:rPr>
        <w:t xml:space="preserve"> </w:t>
      </w:r>
      <w:r>
        <w:rPr>
          <w:spacing w:val="8"/>
        </w:rPr>
        <w:t>基于社会网络视角，研究</w:t>
      </w:r>
      <w:r>
        <w:t>RCEP</w:t>
      </w:r>
      <w:r>
        <w:rPr>
          <w:spacing w:val="8"/>
        </w:rPr>
        <w:t>各成员国在中间品贸易网络中的结构演变。在一般均衡结构模型的基础上，结合全球多</w:t>
      </w:r>
      <w:r>
        <w:rPr>
          <w:spacing w:val="7"/>
        </w:rPr>
        <w:t>区域投入产出模型</w:t>
      </w:r>
      <w:r>
        <w:t xml:space="preserve"> </w:t>
      </w:r>
      <w:r>
        <w:rPr>
          <w:spacing w:val="6"/>
        </w:rPr>
        <w:t>事前评估</w:t>
      </w:r>
      <w:r>
        <w:t>RCEP</w:t>
      </w:r>
      <w:r>
        <w:rPr>
          <w:spacing w:val="6"/>
        </w:rPr>
        <w:t>关税削减对亚太区域价值链分工地位的影响。研究发现，</w:t>
      </w:r>
      <w:r>
        <w:rPr>
          <w:spacing w:val="51"/>
          <w:w w:val="101"/>
        </w:rPr>
        <w:t xml:space="preserve"> </w:t>
      </w:r>
      <w:r>
        <w:t>RCEP</w:t>
      </w:r>
      <w:r>
        <w:rPr>
          <w:spacing w:val="6"/>
        </w:rPr>
        <w:t xml:space="preserve">成员国间的中间品贸易联系越来越密切，中国在区域内中间品贸易总量的贡 </w:t>
      </w:r>
      <w:r>
        <w:rPr>
          <w:spacing w:val="7"/>
        </w:rPr>
        <w:t>献度在不断上升，对中间品贸易的依赖度却在下降。</w:t>
      </w:r>
      <w:r>
        <w:rPr>
          <w:spacing w:val="32"/>
        </w:rPr>
        <w:t xml:space="preserve"> </w:t>
      </w:r>
      <w:r>
        <w:t>RCEP</w:t>
      </w:r>
      <w:r>
        <w:rPr>
          <w:spacing w:val="7"/>
        </w:rPr>
        <w:t>关税削减将显著</w:t>
      </w:r>
      <w:r>
        <w:rPr>
          <w:spacing w:val="6"/>
        </w:rPr>
        <w:t>提升本区域内成员的</w:t>
      </w:r>
      <w:r>
        <w:t>GVC</w:t>
      </w:r>
      <w:r>
        <w:rPr>
          <w:spacing w:val="6"/>
        </w:rPr>
        <w:t>参与度，且关税削减力度越大，对其</w:t>
      </w:r>
      <w:r>
        <w:t>GVC</w:t>
      </w:r>
      <w:r>
        <w:rPr>
          <w:spacing w:val="6"/>
        </w:rPr>
        <w:t>参与度的提升</w:t>
      </w:r>
    </w:p>
    <w:p>
      <w:pPr>
        <w:pStyle w:val="BodyText"/>
        <w:spacing w:line="229" w:lineRule="auto"/>
        <w:ind w:left="1"/>
      </w:pPr>
      <w:r>
        <w:rPr>
          <w:spacing w:val="1"/>
        </w:rPr>
        <w:t>作用越大。</w:t>
      </w:r>
    </w:p>
    <w:p>
      <w:pPr>
        <w:spacing w:line="292" w:lineRule="auto"/>
        <w:rPr>
          <w:rFonts w:ascii="Arial"/>
          <w:sz w:val="21"/>
        </w:rPr>
      </w:pPr>
    </w:p>
    <w:p>
      <w:pPr>
        <w:pStyle w:val="BodyText"/>
        <w:spacing w:before="50" w:line="227" w:lineRule="auto"/>
        <w:ind w:left="318"/>
      </w:pPr>
      <w:r>
        <w:rPr>
          <w:spacing w:val="8"/>
        </w:rPr>
        <w:t>关键词：</w:t>
      </w:r>
      <w:r>
        <w:rPr>
          <w:spacing w:val="-39"/>
        </w:rPr>
        <w:t xml:space="preserve"> </w:t>
      </w:r>
      <w:r>
        <w:t>RCEP</w:t>
      </w:r>
      <w:r>
        <w:rPr>
          <w:spacing w:val="8"/>
        </w:rPr>
        <w:t>，中间品贸易，亚太价值链，结构模型，社会网络分析</w:t>
      </w:r>
    </w:p>
    <w:p>
      <w:pPr>
        <w:spacing w:line="305" w:lineRule="auto"/>
        <w:rPr>
          <w:rFonts w:ascii="Arial"/>
          <w:sz w:val="21"/>
        </w:rPr>
      </w:pPr>
    </w:p>
    <w:p>
      <w:pPr>
        <w:pStyle w:val="BodyText"/>
        <w:spacing w:before="48" w:line="230" w:lineRule="auto"/>
        <w:ind w:left="318"/>
      </w:pPr>
      <w:r>
        <w:rPr>
          <w:spacing w:val="12"/>
        </w:rPr>
        <w:t>一、</w:t>
      </w:r>
      <w:r>
        <w:rPr>
          <w:spacing w:val="-33"/>
        </w:rPr>
        <w:t xml:space="preserve"> </w:t>
      </w:r>
      <w:r>
        <w:rPr>
          <w:spacing w:val="12"/>
        </w:rPr>
        <w:t>引言及文献综述</w:t>
      </w:r>
    </w:p>
    <w:p>
      <w:pPr>
        <w:spacing w:line="293" w:lineRule="auto"/>
        <w:rPr>
          <w:rFonts w:ascii="Arial"/>
          <w:sz w:val="21"/>
        </w:rPr>
      </w:pPr>
    </w:p>
    <w:p>
      <w:pPr>
        <w:pStyle w:val="BodyText"/>
        <w:spacing w:before="50" w:line="462" w:lineRule="auto"/>
        <w:ind w:right="78" w:firstLine="315"/>
        <w:jc w:val="both"/>
      </w:pPr>
      <w:r>
        <w:rPr>
          <w:spacing w:val="6"/>
        </w:rPr>
        <w:t>在全球生产网络加速重构的大背景下，《区域全面经济伙伴关系协定》（</w:t>
      </w:r>
      <w:r>
        <w:t>RCEP</w:t>
      </w:r>
      <w:r>
        <w:rPr>
          <w:spacing w:val="6"/>
        </w:rPr>
        <w:t xml:space="preserve">）于2022年1月1日正式生效。截至2023年6月2日， </w:t>
      </w:r>
      <w:r>
        <w:t>RCEP</w:t>
      </w:r>
      <w:r>
        <w:rPr>
          <w:spacing w:val="6"/>
        </w:rPr>
        <w:t>包含的15个成</w:t>
      </w:r>
      <w:r>
        <w:rPr>
          <w:spacing w:val="5"/>
        </w:rPr>
        <w:t xml:space="preserve"> </w:t>
      </w:r>
      <w:r>
        <w:rPr>
          <w:spacing w:val="5"/>
        </w:rPr>
        <w:t>员国全部完成生效程序。</w:t>
      </w:r>
      <w:r>
        <w:rPr>
          <w:spacing w:val="32"/>
        </w:rPr>
        <w:t xml:space="preserve"> </w:t>
      </w:r>
      <w:r>
        <w:t>RCEP</w:t>
      </w:r>
      <w:r>
        <w:rPr>
          <w:spacing w:val="5"/>
        </w:rPr>
        <w:t>覆盖了全球近三分之一的经济、贸易与人口</w:t>
      </w:r>
      <w:r>
        <w:rPr>
          <w:spacing w:val="4"/>
        </w:rPr>
        <w:t>规模，是目前世界上规模最大的自由贸易协定。作为全球最大的自贸区，</w:t>
      </w:r>
      <w:r>
        <w:rPr>
          <w:spacing w:val="44"/>
        </w:rPr>
        <w:t xml:space="preserve"> </w:t>
      </w:r>
      <w:r>
        <w:t xml:space="preserve">RCEP </w:t>
      </w:r>
      <w:r>
        <w:rPr>
          <w:spacing w:val="8"/>
        </w:rPr>
        <w:t>的实施将有力地推动亚太区域产业链、供应链日趋紧密，带动区域内价值链的重构，进而重塑全</w:t>
      </w:r>
      <w:r>
        <w:rPr>
          <w:spacing w:val="7"/>
        </w:rPr>
        <w:t>球价值链的布局。而中间品贸易是经济体参与全球或区</w:t>
      </w:r>
      <w:r>
        <w:t xml:space="preserve"> </w:t>
      </w:r>
      <w:r>
        <w:rPr>
          <w:spacing w:val="6"/>
        </w:rPr>
        <w:t>域生产网络的重要途径和有效手段（成新轩，</w:t>
      </w:r>
      <w:r>
        <w:rPr>
          <w:spacing w:val="48"/>
        </w:rPr>
        <w:t xml:space="preserve"> </w:t>
      </w:r>
      <w:r>
        <w:rPr>
          <w:spacing w:val="6"/>
        </w:rPr>
        <w:t>2019</w:t>
      </w:r>
      <w:r>
        <w:rPr>
          <w:spacing w:val="7"/>
        </w:rPr>
        <w:t>），</w:t>
      </w:r>
      <w:r>
        <w:rPr>
          <w:spacing w:val="6"/>
        </w:rPr>
        <w:t>中间品</w:t>
      </w:r>
      <w:r>
        <w:rPr>
          <w:spacing w:val="5"/>
        </w:rPr>
        <w:t>流转于不同国家和产业之间，将各国的产业进行有效链接和整合，进而推动各个国家的产</w:t>
      </w:r>
      <w:r>
        <w:t xml:space="preserve"> </w:t>
      </w:r>
      <w:r>
        <w:rPr>
          <w:spacing w:val="7"/>
        </w:rPr>
        <w:t>业升级和经济发展。本文以</w:t>
      </w:r>
      <w:r>
        <w:t>RCEP</w:t>
      </w:r>
      <w:r>
        <w:rPr>
          <w:spacing w:val="7"/>
        </w:rPr>
        <w:t>为个案，对</w:t>
      </w:r>
      <w:r>
        <w:t>RCEP</w:t>
      </w:r>
      <w:r>
        <w:rPr>
          <w:spacing w:val="7"/>
        </w:rPr>
        <w:t>区域内中间品贸易发展趋势、中国在区域内中</w:t>
      </w:r>
      <w:r>
        <w:rPr>
          <w:spacing w:val="6"/>
        </w:rPr>
        <w:t>间品贸易网络中地位呈现的演变特征、</w:t>
      </w:r>
      <w:r>
        <w:rPr>
          <w:spacing w:val="32"/>
        </w:rPr>
        <w:t xml:space="preserve"> </w:t>
      </w:r>
      <w:r>
        <w:t>RCEP</w:t>
      </w:r>
      <w:r>
        <w:rPr>
          <w:spacing w:val="6"/>
        </w:rPr>
        <w:t>生效后全球价</w:t>
      </w:r>
      <w:r>
        <w:t xml:space="preserve"> </w:t>
      </w:r>
      <w:r>
        <w:rPr>
          <w:spacing w:val="8"/>
        </w:rPr>
        <w:t>值链生产分工布局的影响等进行比较深入的研究，以期对中国在全球价值链重构中提升产业地位</w:t>
      </w:r>
      <w:r>
        <w:rPr>
          <w:spacing w:val="7"/>
        </w:rPr>
        <w:t>，以区域为平台构建国内国际良性循环实现高水平开放</w:t>
      </w:r>
    </w:p>
    <w:p>
      <w:pPr>
        <w:pStyle w:val="BodyText"/>
        <w:spacing w:line="228" w:lineRule="auto"/>
        <w:ind w:left="1"/>
      </w:pPr>
      <w:r>
        <w:rPr>
          <w:spacing w:val="4"/>
        </w:rPr>
        <w:t>提供新的发展思路。</w:t>
      </w:r>
    </w:p>
    <w:p>
      <w:pPr>
        <w:spacing w:line="294" w:lineRule="auto"/>
        <w:rPr>
          <w:rFonts w:ascii="Arial"/>
          <w:sz w:val="21"/>
        </w:rPr>
      </w:pPr>
    </w:p>
    <w:p>
      <w:pPr>
        <w:pStyle w:val="BodyText"/>
        <w:spacing w:before="49" w:line="462" w:lineRule="auto"/>
        <w:ind w:right="14" w:firstLine="330"/>
        <w:jc w:val="both"/>
      </w:pPr>
      <w:r>
        <w:rPr>
          <w:spacing w:val="6"/>
        </w:rPr>
        <w:t>国内外学者对贸易网络进行了一些研究。例如，</w:t>
      </w:r>
      <w:r>
        <w:rPr>
          <w:spacing w:val="46"/>
        </w:rPr>
        <w:t xml:space="preserve"> </w:t>
      </w:r>
      <w:r>
        <w:t>Said</w:t>
      </w:r>
      <w:r>
        <w:rPr>
          <w:spacing w:val="6"/>
        </w:rPr>
        <w:t>和</w:t>
      </w:r>
      <w:r>
        <w:t>Fang</w:t>
      </w:r>
      <w:r>
        <w:rPr>
          <w:spacing w:val="6"/>
        </w:rPr>
        <w:t>（2019）通过建立在双</w:t>
      </w:r>
      <w:r>
        <w:rPr>
          <w:spacing w:val="5"/>
        </w:rPr>
        <w:t>边贸易网络结构基础上的增加值贸易来度量全球价值链，研究表</w:t>
      </w:r>
      <w:r>
        <w:t xml:space="preserve">  </w:t>
      </w:r>
      <w:r>
        <w:rPr>
          <w:spacing w:val="6"/>
        </w:rPr>
        <w:t>明，中间品贸易已经成为世界范围内的一种趋势，尤其是通过技术外溢对进口国全球价值链分工地位的提升作用不可低估（</w:t>
      </w:r>
      <w:r>
        <w:t>Kee</w:t>
      </w:r>
      <w:r>
        <w:rPr>
          <w:spacing w:val="6"/>
        </w:rPr>
        <w:t>等， 2016）。马佳卉和贺</w:t>
      </w:r>
      <w:r>
        <w:rPr>
          <w:spacing w:val="9"/>
        </w:rPr>
        <w:t xml:space="preserve"> </w:t>
      </w:r>
      <w:r>
        <w:rPr>
          <w:spacing w:val="7"/>
        </w:rPr>
        <w:t>灿飞（2019）从贸易成本视角对影响中国中间产品出口贸易网络格局的因素进行了研究。张天顶和龚同（2022）构建了区域贸易协定网络，并引入全球</w:t>
      </w:r>
    </w:p>
    <w:p>
      <w:pPr>
        <w:pStyle w:val="BodyText"/>
        <w:spacing w:line="227" w:lineRule="auto"/>
        <w:ind w:left="1"/>
      </w:pPr>
      <w:r>
        <w:rPr>
          <w:spacing w:val="7"/>
        </w:rPr>
        <w:t>价值链相关指标，发现全球价值链分工关系正主导着区域贸</w:t>
      </w:r>
      <w:r>
        <w:rPr>
          <w:spacing w:val="6"/>
        </w:rPr>
        <w:t>易协定网络的形成。</w:t>
      </w:r>
    </w:p>
    <w:p>
      <w:pPr>
        <w:spacing w:line="306" w:lineRule="auto"/>
        <w:rPr>
          <w:rFonts w:ascii="Arial"/>
          <w:sz w:val="21"/>
        </w:rPr>
      </w:pPr>
    </w:p>
    <w:p>
      <w:pPr>
        <w:pStyle w:val="BodyText"/>
        <w:spacing w:before="50" w:line="460" w:lineRule="auto"/>
        <w:ind w:left="3" w:firstLine="328"/>
      </w:pPr>
      <w:r>
        <w:rPr>
          <w:spacing w:val="6"/>
        </w:rPr>
        <w:t>国内外学者从不同视角分析了</w:t>
      </w:r>
      <w:r>
        <w:t>RCEP</w:t>
      </w:r>
      <w:r>
        <w:rPr>
          <w:spacing w:val="6"/>
        </w:rPr>
        <w:t>对亚太价值链的影响。有学者认为，</w:t>
      </w:r>
      <w:r>
        <w:rPr>
          <w:spacing w:val="44"/>
        </w:rPr>
        <w:t xml:space="preserve"> </w:t>
      </w:r>
      <w:r>
        <w:t>RCEP</w:t>
      </w:r>
      <w:r>
        <w:rPr>
          <w:spacing w:val="6"/>
        </w:rPr>
        <w:t>通过逐步取消缔约方之间的关税和非关税壁垒，促进了</w:t>
      </w:r>
      <w:r>
        <w:rPr>
          <w:spacing w:val="5"/>
        </w:rPr>
        <w:t>宽领域、深层次</w:t>
      </w:r>
      <w:r>
        <w:t xml:space="preserve">  </w:t>
      </w:r>
      <w:r>
        <w:rPr>
          <w:spacing w:val="6"/>
        </w:rPr>
        <w:t>的货物和服务贸易市场准入开放（</w:t>
      </w:r>
      <w:r>
        <w:t>Helble</w:t>
      </w:r>
      <w:r>
        <w:rPr>
          <w:spacing w:val="6"/>
        </w:rPr>
        <w:t>和</w:t>
      </w:r>
      <w:r>
        <w:t>Ngiang</w:t>
      </w:r>
      <w:r>
        <w:rPr>
          <w:spacing w:val="6"/>
        </w:rPr>
        <w:t>，2016</w:t>
      </w:r>
      <w:r>
        <w:rPr>
          <w:spacing w:val="4"/>
        </w:rPr>
        <w:t>），</w:t>
      </w:r>
      <w:r>
        <w:rPr>
          <w:spacing w:val="6"/>
        </w:rPr>
        <w:t>在亚太区域内形成了更为高效的对话磋商和经贸往来平台（陈凤兰和</w:t>
      </w:r>
      <w:r>
        <w:rPr>
          <w:spacing w:val="5"/>
        </w:rPr>
        <w:t>陈爱贞，</w:t>
      </w:r>
      <w:r>
        <w:rPr>
          <w:spacing w:val="50"/>
          <w:w w:val="101"/>
        </w:rPr>
        <w:t xml:space="preserve"> </w:t>
      </w:r>
      <w:r>
        <w:rPr>
          <w:spacing w:val="5"/>
        </w:rPr>
        <w:t>2021</w:t>
      </w:r>
      <w:r>
        <w:rPr>
          <w:spacing w:val="4"/>
        </w:rPr>
        <w:t>），</w:t>
      </w:r>
      <w:r>
        <w:rPr>
          <w:spacing w:val="5"/>
        </w:rPr>
        <w:t>为</w:t>
      </w:r>
      <w:r>
        <w:t xml:space="preserve">  </w:t>
      </w:r>
      <w:r>
        <w:rPr>
          <w:spacing w:val="5"/>
        </w:rPr>
        <w:t>区域内价值链的构建营造了更为便利和稳定的环境（王勤和金师波，</w:t>
      </w:r>
      <w:r>
        <w:rPr>
          <w:spacing w:val="50"/>
        </w:rPr>
        <w:t xml:space="preserve"> </w:t>
      </w:r>
      <w:r>
        <w:rPr>
          <w:spacing w:val="5"/>
        </w:rPr>
        <w:t>2022）。</w:t>
      </w:r>
      <w:r>
        <w:rPr>
          <w:spacing w:val="-16"/>
        </w:rPr>
        <w:t xml:space="preserve"> </w:t>
      </w:r>
      <w:r>
        <w:t>Mahadevan</w:t>
      </w:r>
      <w:r>
        <w:rPr>
          <w:spacing w:val="5"/>
        </w:rPr>
        <w:t>（2019）发现，尽管</w:t>
      </w:r>
      <w:r>
        <w:t>RCEP</w:t>
      </w:r>
      <w:r>
        <w:rPr>
          <w:spacing w:val="5"/>
        </w:rPr>
        <w:t>为全球带来了较大的经济收益，但这不</w:t>
      </w:r>
      <w:r>
        <w:t xml:space="preserve"> </w:t>
      </w:r>
      <w:r>
        <w:rPr>
          <w:spacing w:val="6"/>
        </w:rPr>
        <w:t>足以弥补中美贸易摩擦给全球经济带来的负面影响。而彭水军和吴腊梅（2022）指出，</w:t>
      </w:r>
      <w:r>
        <w:rPr>
          <w:spacing w:val="44"/>
        </w:rPr>
        <w:t xml:space="preserve"> </w:t>
      </w:r>
      <w:r>
        <w:t>RCEP</w:t>
      </w:r>
      <w:r>
        <w:rPr>
          <w:spacing w:val="6"/>
        </w:rPr>
        <w:t>实施将显著提升亚太区域经</w:t>
      </w:r>
      <w:r>
        <w:rPr>
          <w:spacing w:val="5"/>
        </w:rPr>
        <w:t>济一体化水平，有效对冲中美贸</w:t>
      </w:r>
      <w:r>
        <w:t xml:space="preserve">  </w:t>
      </w:r>
      <w:r>
        <w:rPr>
          <w:spacing w:val="4"/>
        </w:rPr>
        <w:t>易摩擦和新冠疫情带来的负面冲击。</w:t>
      </w:r>
      <w:r>
        <w:rPr>
          <w:spacing w:val="40"/>
          <w:w w:val="101"/>
        </w:rPr>
        <w:t xml:space="preserve"> </w:t>
      </w:r>
      <w:r>
        <w:t>Tian</w:t>
      </w:r>
      <w:r>
        <w:rPr>
          <w:spacing w:val="4"/>
        </w:rPr>
        <w:t>等（2022）结合改进的</w:t>
      </w:r>
      <w:r>
        <w:t>EK</w:t>
      </w:r>
      <w:r>
        <w:rPr>
          <w:spacing w:val="4"/>
        </w:rPr>
        <w:t>模型发现，</w:t>
      </w:r>
      <w:r>
        <w:rPr>
          <w:spacing w:val="44"/>
        </w:rPr>
        <w:t xml:space="preserve"> </w:t>
      </w:r>
      <w:r>
        <w:t>RCEP</w:t>
      </w:r>
      <w:r>
        <w:rPr>
          <w:spacing w:val="4"/>
        </w:rPr>
        <w:t>关税削减将显著提升成员国之间的贸易。韩剑和许亚云（2021）通过</w:t>
      </w:r>
    </w:p>
    <w:p>
      <w:pPr>
        <w:pStyle w:val="BodyText"/>
        <w:spacing w:line="227" w:lineRule="auto"/>
        <w:ind w:left="4"/>
      </w:pPr>
      <w:r>
        <w:rPr>
          <w:spacing w:val="5"/>
        </w:rPr>
        <w:t>定性研究指出，</w:t>
      </w:r>
      <w:r>
        <w:rPr>
          <w:spacing w:val="44"/>
        </w:rPr>
        <w:t xml:space="preserve"> </w:t>
      </w:r>
      <w:r>
        <w:t>RCEP</w:t>
      </w:r>
      <w:r>
        <w:rPr>
          <w:spacing w:val="5"/>
        </w:rPr>
        <w:t>将整合和优化当前亚太地区的碎片化贸易规则，推动亚太一体化进程，加速全球价值链区域化发</w:t>
      </w:r>
      <w:r>
        <w:rPr>
          <w:spacing w:val="4"/>
        </w:rPr>
        <w:t>展。</w:t>
      </w:r>
    </w:p>
    <w:p>
      <w:pPr>
        <w:spacing w:line="306" w:lineRule="auto"/>
        <w:rPr>
          <w:rFonts w:ascii="Arial"/>
          <w:sz w:val="21"/>
        </w:rPr>
      </w:pPr>
    </w:p>
    <w:p>
      <w:pPr>
        <w:pStyle w:val="BodyText"/>
        <w:spacing w:before="50" w:line="462" w:lineRule="auto"/>
        <w:ind w:left="1" w:firstLine="316"/>
        <w:sectPr>
          <w:pgSz w:w="11900" w:h="16839"/>
          <w:pgMar w:top="886" w:right="671" w:bottom="0" w:left="743" w:header="0" w:footer="0" w:gutter="0"/>
          <w:cols w:space="708"/>
        </w:sectPr>
      </w:pPr>
      <w:r>
        <w:rPr>
          <w:spacing w:val="8"/>
        </w:rPr>
        <w:t>综合国内外文献可以发现，尚没有研究对</w:t>
      </w:r>
      <w:r>
        <w:t>RCEP</w:t>
      </w:r>
      <w:r>
        <w:rPr>
          <w:spacing w:val="8"/>
        </w:rPr>
        <w:t>区域内中间品贸易网络特征事实进行过整体性分析，定量研究</w:t>
      </w:r>
      <w:r>
        <w:t>RCEP</w:t>
      </w:r>
      <w:r>
        <w:rPr>
          <w:spacing w:val="8"/>
        </w:rPr>
        <w:t>实施对亚太区域价值链的影响的文</w:t>
      </w:r>
      <w:r>
        <w:rPr>
          <w:spacing w:val="3"/>
        </w:rPr>
        <w:t xml:space="preserve">  </w:t>
      </w:r>
      <w:r>
        <w:rPr>
          <w:spacing w:val="8"/>
        </w:rPr>
        <w:t>献也较为缺乏。本文的边际贡献如下：第一，利用各国产业间的投入产出数据，构建</w:t>
      </w:r>
      <w:r>
        <w:t>RCEP</w:t>
      </w:r>
      <w:r>
        <w:rPr>
          <w:spacing w:val="8"/>
        </w:rPr>
        <w:t>中间品贸易关系网络，对</w:t>
      </w:r>
      <w:r>
        <w:t>RCEP</w:t>
      </w:r>
      <w:r>
        <w:rPr>
          <w:spacing w:val="8"/>
        </w:rPr>
        <w:t>区域内中间品贸易网络的结构特</w:t>
      </w:r>
      <w:r>
        <w:rPr>
          <w:spacing w:val="3"/>
        </w:rPr>
        <w:t xml:space="preserve">  </w:t>
      </w:r>
      <w:r>
        <w:rPr>
          <w:spacing w:val="8"/>
        </w:rPr>
        <w:t>征进行分析，既可避免传统测度方法采用总额贸易数据值造成中间品贸易额被低估的缺陷，</w:t>
      </w:r>
      <w:r>
        <w:rPr>
          <w:spacing w:val="7"/>
        </w:rPr>
        <w:t>又可以通过个体角色和网络结构的变化，综合考察国家间中</w:t>
      </w:r>
      <w:r>
        <w:t xml:space="preserve">  </w:t>
      </w:r>
      <w:r>
        <w:rPr>
          <w:spacing w:val="8"/>
        </w:rPr>
        <w:t>间产品的贸易往来特征，有助于挖掘</w:t>
      </w:r>
      <w:r>
        <w:t>RCEP</w:t>
      </w:r>
      <w:r>
        <w:rPr>
          <w:spacing w:val="8"/>
        </w:rPr>
        <w:t>成员国中间品贸易网络结构特征演变的内在规律。第二，将一般均衡结构模型在衡量关</w:t>
      </w:r>
      <w:r>
        <w:rPr>
          <w:spacing w:val="7"/>
        </w:rPr>
        <w:t>税削减对贸易效应方面</w:t>
      </w:r>
      <w:r>
        <w:t xml:space="preserve">  </w:t>
      </w:r>
    </w:p>
    <w:p>
      <w:pPr>
        <w:pStyle w:val="BodyText"/>
        <w:spacing w:before="50" w:line="462" w:lineRule="auto"/>
        <w:ind w:left="1" w:firstLine="316"/>
      </w:pPr>
      <w:r>
        <w:rPr>
          <w:spacing w:val="8"/>
        </w:rPr>
        <w:t>的优势与全球多区域投入产出模型有效地结合起来，并定量评估了</w:t>
      </w:r>
      <w:r>
        <w:t>RCEP</w:t>
      </w:r>
      <w:r>
        <w:rPr>
          <w:spacing w:val="8"/>
        </w:rPr>
        <w:t>关税削减对其成员以及区域外的亚太国家价值链参与度的</w:t>
      </w:r>
      <w:r>
        <w:rPr>
          <w:spacing w:val="7"/>
        </w:rPr>
        <w:t>影响，为国际生产分工</w:t>
      </w:r>
      <w:r>
        <w:t xml:space="preserve">  </w:t>
      </w:r>
      <w:r>
        <w:rPr>
          <w:spacing w:val="8"/>
        </w:rPr>
        <w:t>理论研究提供经验证据，也为中国如何提升全球价值链分工地位，摆脱</w:t>
      </w:r>
      <w:r>
        <w:t>GVC</w:t>
      </w:r>
      <w:r>
        <w:rPr>
          <w:spacing w:val="8"/>
        </w:rPr>
        <w:t>低端锁定提供政策参考依据，对于拓展当前全</w:t>
      </w:r>
      <w:r>
        <w:rPr>
          <w:spacing w:val="7"/>
        </w:rPr>
        <w:t>球价值链理论研究具有一定的学</w:t>
      </w:r>
    </w:p>
    <w:p>
      <w:pPr>
        <w:pStyle w:val="BodyText"/>
        <w:spacing w:line="227" w:lineRule="auto"/>
        <w:ind w:left="1"/>
      </w:pPr>
      <w:r>
        <w:rPr>
          <w:spacing w:val="-1"/>
        </w:rPr>
        <w:t>术价值。</w:t>
      </w:r>
    </w:p>
    <w:p>
      <w:pPr>
        <w:spacing w:line="294" w:lineRule="auto"/>
        <w:rPr>
          <w:rFonts w:ascii="Arial"/>
          <w:sz w:val="21"/>
        </w:rPr>
      </w:pPr>
    </w:p>
    <w:p>
      <w:pPr>
        <w:pStyle w:val="BodyText"/>
        <w:spacing w:before="49" w:line="228" w:lineRule="auto"/>
        <w:ind w:left="318"/>
      </w:pPr>
      <w:r>
        <w:rPr>
          <w:spacing w:val="17"/>
        </w:rPr>
        <w:t>二、研究方法与数据来源</w:t>
      </w:r>
    </w:p>
    <w:p>
      <w:pPr>
        <w:spacing w:line="293" w:lineRule="auto"/>
        <w:rPr>
          <w:rFonts w:ascii="Arial"/>
          <w:sz w:val="21"/>
        </w:rPr>
      </w:pPr>
    </w:p>
    <w:p>
      <w:pPr>
        <w:spacing w:before="49" w:line="231" w:lineRule="auto"/>
        <w:ind w:left="330"/>
        <w:rPr>
          <w:rFonts w:ascii="SimHei" w:eastAsia="SimHei" w:hAnsi="SimHei" w:cs="SimHei"/>
          <w:sz w:val="15"/>
          <w:szCs w:val="15"/>
        </w:rPr>
      </w:pPr>
      <w:r>
        <w:rPr>
          <w:rFonts w:ascii="SimHei" w:eastAsia="SimHei" w:hAnsi="SimHei" w:cs="SimHei"/>
          <w:spacing w:val="4"/>
          <w:sz w:val="15"/>
          <w:szCs w:val="15"/>
        </w:rPr>
        <w:t>（一）社会网络分析法</w:t>
      </w:r>
    </w:p>
    <w:p>
      <w:pPr>
        <w:spacing w:line="231" w:lineRule="auto"/>
        <w:rPr>
          <w:rFonts w:ascii="SimHei" w:eastAsia="SimHei" w:hAnsi="SimHei" w:cs="SimHei"/>
          <w:sz w:val="15"/>
          <w:szCs w:val="15"/>
        </w:rPr>
        <w:sectPr>
          <w:type w:val="nextPage"/>
          <w:pgSz w:w="11900" w:h="16839"/>
          <w:pgMar w:top="886" w:right="671" w:bottom="0" w:left="743" w:header="0" w:footer="0" w:gutter="0"/>
          <w:pgNumType w:start="2"/>
          <w:cols w:space="708"/>
          <w:titlePg w:val="0"/>
        </w:sectPr>
      </w:pPr>
    </w:p>
    <w:p>
      <w:pPr>
        <w:pStyle w:val="BodyText"/>
        <w:spacing w:before="38" w:line="543" w:lineRule="auto"/>
        <w:ind w:right="104" w:firstLine="326"/>
        <w:jc w:val="both"/>
      </w:pPr>
      <w:r>
        <w:drawing>
          <wp:anchor distT="0" distB="0" distL="0" distR="0" simplePos="0" relativeHeight="251658240" behindDoc="0" locked="0" layoutInCell="0" allowOverlap="1">
            <wp:simplePos x="0" y="0"/>
            <wp:positionH relativeFrom="page">
              <wp:posOffset>668791</wp:posOffset>
            </wp:positionH>
            <wp:positionV relativeFrom="page">
              <wp:posOffset>2879549</wp:posOffset>
            </wp:positionV>
            <wp:extent cx="880010" cy="45789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80010" cy="457891"/>
                    </a:xfrm>
                    <a:prstGeom prst="rect">
                      <a:avLst/>
                    </a:prstGeom>
                  </pic:spPr>
                </pic:pic>
              </a:graphicData>
            </a:graphic>
          </wp:anchor>
        </w:drawing>
      </w:r>
      <w:r>
        <w:rPr>
          <w:spacing w:val="6"/>
        </w:rPr>
        <w:t>1.网络构建。为了全面地研究</w:t>
      </w:r>
      <w:r>
        <w:t>RCEP</w:t>
      </w:r>
      <w:r>
        <w:rPr>
          <w:spacing w:val="6"/>
        </w:rPr>
        <w:t>区域内中间品贸易网络的结构特征，用矩阵</w:t>
      </w:r>
      <w:r>
        <w:t>A</w:t>
      </w:r>
      <w:r>
        <w:rPr>
          <w:sz w:val="13"/>
          <w:szCs w:val="13"/>
        </w:rPr>
        <w:t>t</w:t>
      </w:r>
      <w:r>
        <w:rPr>
          <w:spacing w:val="6"/>
        </w:rPr>
        <w:t>描述t时期的无权贸易网络，</w:t>
      </w:r>
      <w:r>
        <w:rPr>
          <w:spacing w:val="40"/>
          <w:w w:val="101"/>
        </w:rPr>
        <w:t xml:space="preserve"> </w:t>
      </w:r>
      <w:r>
        <w:t>W</w:t>
      </w:r>
      <w:r>
        <w:rPr>
          <w:sz w:val="13"/>
          <w:szCs w:val="13"/>
        </w:rPr>
        <w:t>t</w:t>
      </w:r>
      <w:r>
        <w:rPr>
          <w:spacing w:val="6"/>
        </w:rPr>
        <w:t>描述</w:t>
      </w:r>
      <w:r>
        <w:rPr>
          <w:spacing w:val="5"/>
        </w:rPr>
        <w:t>t时期的加权贸易网络。对于矩</w:t>
      </w:r>
      <w:r>
        <w:t xml:space="preserve"> </w:t>
      </w:r>
      <w:r>
        <w:rPr>
          <w:spacing w:val="8"/>
        </w:rPr>
        <w:t>阵</w:t>
      </w:r>
      <w:r>
        <w:t>A</w:t>
      </w:r>
      <w:r>
        <w:rPr>
          <w:sz w:val="13"/>
          <w:szCs w:val="13"/>
        </w:rPr>
        <w:t>t</w:t>
      </w:r>
      <w:r>
        <w:rPr>
          <w:spacing w:val="8"/>
        </w:rPr>
        <w:t>中的元素</w:t>
      </w:r>
      <w:r>
        <w:t>a</w:t>
      </w:r>
      <w:r>
        <w:rPr>
          <w:sz w:val="13"/>
          <w:szCs w:val="13"/>
        </w:rPr>
        <w:t>tij</w:t>
      </w:r>
      <w:r>
        <w:rPr>
          <w:spacing w:val="8"/>
        </w:rPr>
        <w:t>，如果i国向j国出口大于零，则</w:t>
      </w:r>
      <w:r>
        <w:t>a</w:t>
      </w:r>
      <w:r>
        <w:rPr>
          <w:sz w:val="13"/>
          <w:szCs w:val="13"/>
        </w:rPr>
        <w:t>ij</w:t>
      </w:r>
      <w:r>
        <w:rPr>
          <w:spacing w:val="8"/>
        </w:rPr>
        <w:t>=1；如果i</w:t>
      </w:r>
      <w:r>
        <w:rPr>
          <w:spacing w:val="7"/>
        </w:rPr>
        <w:t>国对j国的进出口值均为零，则</w:t>
      </w:r>
      <w:r>
        <w:t>a</w:t>
      </w:r>
      <w:r>
        <w:rPr>
          <w:sz w:val="13"/>
          <w:szCs w:val="13"/>
        </w:rPr>
        <w:t>ij</w:t>
      </w:r>
      <w:r>
        <w:rPr>
          <w:spacing w:val="7"/>
        </w:rPr>
        <w:t>=0。用i国向j国的具体中间品出口贸易值来表示</w:t>
      </w:r>
      <w:r>
        <w:t>w</w:t>
      </w:r>
      <w:r>
        <w:rPr>
          <w:position w:val="6"/>
          <w:sz w:val="13"/>
          <w:szCs w:val="13"/>
        </w:rPr>
        <w:t>t</w:t>
      </w:r>
      <w:r>
        <w:rPr>
          <w:position w:val="-4"/>
          <w:sz w:val="13"/>
          <w:szCs w:val="13"/>
        </w:rPr>
        <w:t>ij</w:t>
      </w:r>
      <w:r>
        <w:rPr>
          <w:spacing w:val="7"/>
        </w:rPr>
        <w:t>，</w:t>
      </w:r>
      <w:r>
        <w:t xml:space="preserve"> </w:t>
      </w:r>
      <w:r>
        <w:rPr>
          <w:spacing w:val="5"/>
        </w:rPr>
        <w:t xml:space="preserve">其中， </w:t>
      </w:r>
      <w:r>
        <w:t>e</w:t>
      </w:r>
      <w:r>
        <w:rPr>
          <w:sz w:val="13"/>
          <w:szCs w:val="13"/>
        </w:rPr>
        <w:t>tij</w:t>
      </w:r>
      <w:r>
        <w:rPr>
          <w:spacing w:val="5"/>
        </w:rPr>
        <w:t>为i国对j国的出口值，</w:t>
      </w:r>
      <w:r>
        <w:rPr>
          <w:spacing w:val="41"/>
        </w:rPr>
        <w:t xml:space="preserve"> </w:t>
      </w:r>
      <w:r>
        <w:t>m</w:t>
      </w:r>
      <w:r>
        <w:rPr>
          <w:sz w:val="13"/>
          <w:szCs w:val="13"/>
        </w:rPr>
        <w:t>tij</w:t>
      </w:r>
      <w:r>
        <w:rPr>
          <w:spacing w:val="5"/>
        </w:rPr>
        <w:t>为i国对j国的进口值。同时，借鉴王</w:t>
      </w:r>
      <w:r>
        <w:rPr>
          <w:spacing w:val="4"/>
        </w:rPr>
        <w:t>博等（2019）的方法，选择按中间品贸易交易额100万美元标准进行划分，结</w:t>
      </w:r>
    </w:p>
    <w:p>
      <w:pPr>
        <w:pStyle w:val="BodyText"/>
        <w:spacing w:line="228" w:lineRule="auto"/>
        <w:ind w:left="2"/>
      </w:pPr>
      <w:r>
        <w:rPr>
          <w:spacing w:val="7"/>
        </w:rPr>
        <w:t>果表明历年阈值网络权重占当年完全网络权重</w:t>
      </w:r>
      <w:r>
        <w:rPr>
          <w:spacing w:val="6"/>
        </w:rPr>
        <w:t>的比值均在90%以上，具有较好的代表性。</w:t>
      </w:r>
    </w:p>
    <w:p>
      <w:pPr>
        <w:spacing w:line="304" w:lineRule="auto"/>
        <w:rPr>
          <w:rFonts w:ascii="Arial"/>
          <w:sz w:val="21"/>
        </w:rPr>
      </w:pPr>
    </w:p>
    <w:p>
      <w:pPr>
        <w:pStyle w:val="BodyText"/>
        <w:spacing w:before="49" w:line="242" w:lineRule="exact"/>
        <w:ind w:left="309"/>
      </w:pPr>
      <w:r>
        <w:rPr>
          <w:position w:val="2"/>
        </w:rPr>
        <w:t>w</w:t>
      </w:r>
      <w:r>
        <w:rPr>
          <w:position w:val="2"/>
          <w:sz w:val="13"/>
          <w:szCs w:val="13"/>
        </w:rPr>
        <w:t>tij</w:t>
      </w:r>
      <w:r>
        <w:rPr>
          <w:spacing w:val="7"/>
          <w:position w:val="2"/>
        </w:rPr>
        <w:t>=（</w:t>
      </w:r>
      <w:r>
        <w:rPr>
          <w:position w:val="2"/>
        </w:rPr>
        <w:t>e</w:t>
      </w:r>
      <w:r>
        <w:rPr>
          <w:position w:val="2"/>
          <w:sz w:val="13"/>
          <w:szCs w:val="13"/>
        </w:rPr>
        <w:t>tij</w:t>
      </w:r>
      <w:r>
        <w:rPr>
          <w:spacing w:val="7"/>
          <w:position w:val="2"/>
        </w:rPr>
        <w:t>+</w:t>
      </w:r>
      <w:r>
        <w:rPr>
          <w:position w:val="2"/>
        </w:rPr>
        <w:t>m</w:t>
      </w:r>
      <w:r>
        <w:rPr>
          <w:position w:val="2"/>
          <w:sz w:val="13"/>
          <w:szCs w:val="13"/>
        </w:rPr>
        <w:t>tij</w:t>
      </w:r>
      <w:r>
        <w:rPr>
          <w:spacing w:val="7"/>
          <w:position w:val="2"/>
        </w:rPr>
        <w:t>）/2  （1）</w:t>
      </w:r>
    </w:p>
    <w:p>
      <w:pPr>
        <w:spacing w:line="338" w:lineRule="auto"/>
        <w:rPr>
          <w:rFonts w:ascii="Arial"/>
          <w:sz w:val="21"/>
        </w:rPr>
      </w:pPr>
    </w:p>
    <w:p>
      <w:pPr>
        <w:pStyle w:val="BodyText"/>
        <w:spacing w:before="49" w:line="492" w:lineRule="auto"/>
        <w:ind w:left="2" w:firstLine="324"/>
      </w:pPr>
      <w:r>
        <w:rPr>
          <w:spacing w:val="7"/>
        </w:rPr>
        <w:t>网络节点数量N是指网络中包含的所有国家总数。式（2）网络边数M表示网络各节点直接连接的关系数量，式（3）网</w:t>
      </w:r>
      <w:r>
        <w:rPr>
          <w:spacing w:val="6"/>
        </w:rPr>
        <w:t xml:space="preserve">络密度表示网络节点间相互关  </w:t>
      </w:r>
      <w:r>
        <w:rPr>
          <w:spacing w:val="4"/>
        </w:rPr>
        <w:t>系的疏密程度，</w:t>
      </w:r>
      <w:r>
        <w:rPr>
          <w:spacing w:val="43"/>
          <w:w w:val="101"/>
        </w:rPr>
        <w:t xml:space="preserve"> </w:t>
      </w:r>
      <w:r>
        <w:t>k</w:t>
      </w:r>
      <w:r>
        <w:rPr>
          <w:sz w:val="13"/>
          <w:szCs w:val="13"/>
        </w:rPr>
        <w:t>i</w:t>
      </w:r>
      <w:r>
        <w:rPr>
          <w:spacing w:val="4"/>
        </w:rPr>
        <w:t>为节点i的度数。式（4）平均路径长度表示网络中每一节点所经过的平均节点数量，</w:t>
      </w:r>
      <w:r>
        <w:rPr>
          <w:spacing w:val="48"/>
        </w:rPr>
        <w:t xml:space="preserve"> </w:t>
      </w:r>
      <w:r>
        <w:t>d</w:t>
      </w:r>
      <w:r>
        <w:rPr>
          <w:sz w:val="13"/>
          <w:szCs w:val="13"/>
        </w:rPr>
        <w:t>ij</w:t>
      </w:r>
      <w:r>
        <w:rPr>
          <w:spacing w:val="4"/>
        </w:rPr>
        <w:t>为节点i和节点j</w:t>
      </w:r>
      <w:r>
        <w:rPr>
          <w:spacing w:val="3"/>
        </w:rPr>
        <w:t>之间的最短距离。式（5）集聚</w:t>
      </w:r>
    </w:p>
    <w:p>
      <w:pPr>
        <w:pStyle w:val="BodyText"/>
        <w:spacing w:line="223" w:lineRule="exact"/>
        <w:ind w:left="2"/>
      </w:pPr>
      <w:r>
        <w:rPr>
          <w:spacing w:val="2"/>
          <w:position w:val="1"/>
        </w:rPr>
        <w:t>系数表示相邻节点相互连接的程度，</w:t>
      </w:r>
      <w:r>
        <w:rPr>
          <w:spacing w:val="45"/>
          <w:w w:val="101"/>
          <w:position w:val="1"/>
        </w:rPr>
        <w:t xml:space="preserve"> </w:t>
      </w:r>
      <w:r>
        <w:rPr>
          <w:position w:val="1"/>
        </w:rPr>
        <w:t>M</w:t>
      </w:r>
      <w:r>
        <w:rPr>
          <w:spacing w:val="-67"/>
          <w:position w:val="1"/>
        </w:rPr>
        <w:t xml:space="preserve"> </w:t>
      </w:r>
      <w:r>
        <w:rPr>
          <w:position w:val="1"/>
          <w:sz w:val="13"/>
          <w:szCs w:val="13"/>
        </w:rPr>
        <w:t>triangles</w:t>
      </w:r>
      <w:r>
        <w:rPr>
          <w:spacing w:val="2"/>
          <w:position w:val="1"/>
        </w:rPr>
        <w:t>表示网络存在的三角关系数，</w:t>
      </w:r>
      <w:r>
        <w:rPr>
          <w:spacing w:val="41"/>
          <w:position w:val="1"/>
        </w:rPr>
        <w:t xml:space="preserve"> </w:t>
      </w:r>
      <w:r>
        <w:rPr>
          <w:position w:val="1"/>
        </w:rPr>
        <w:t>M</w:t>
      </w:r>
      <w:r>
        <w:rPr>
          <w:spacing w:val="-67"/>
          <w:position w:val="1"/>
        </w:rPr>
        <w:t xml:space="preserve"> </w:t>
      </w:r>
      <w:r>
        <w:rPr>
          <w:position w:val="1"/>
          <w:sz w:val="13"/>
          <w:szCs w:val="13"/>
        </w:rPr>
        <w:t>triples</w:t>
      </w:r>
      <w:r>
        <w:rPr>
          <w:spacing w:val="2"/>
          <w:position w:val="1"/>
        </w:rPr>
        <w:t>表示可能存在的三角关系数。</w:t>
      </w:r>
    </w:p>
    <w:p>
      <w:pPr>
        <w:spacing w:line="230" w:lineRule="exact"/>
      </w:pPr>
    </w:p>
    <w:p>
      <w:pPr>
        <w:spacing w:line="230" w:lineRule="exact"/>
        <w:sectPr>
          <w:pgSz w:w="11900" w:h="16839"/>
          <w:pgMar w:top="641" w:right="634" w:bottom="0" w:left="744" w:header="0" w:footer="0" w:gutter="0"/>
          <w:pgNumType w:start="3"/>
          <w:cols w:num="1" w:space="708" w:equalWidth="0">
            <w:col w:w="10520" w:space="0"/>
          </w:cols>
        </w:sectPr>
      </w:pPr>
    </w:p>
    <w:p>
      <w:pPr>
        <w:spacing w:line="282" w:lineRule="auto"/>
        <w:rPr>
          <w:rFonts w:ascii="Arial"/>
          <w:sz w:val="21"/>
        </w:rPr>
      </w:pPr>
    </w:p>
    <w:p>
      <w:pPr>
        <w:spacing w:line="282" w:lineRule="auto"/>
        <w:rPr>
          <w:rFonts w:ascii="Arial"/>
          <w:sz w:val="21"/>
        </w:rPr>
      </w:pPr>
    </w:p>
    <w:p>
      <w:pPr>
        <w:pStyle w:val="BodyText"/>
        <w:spacing w:before="49" w:line="241" w:lineRule="auto"/>
        <w:ind w:left="1866"/>
      </w:pPr>
      <w:r>
        <w:rPr>
          <w:spacing w:val="-1"/>
        </w:rPr>
        <w:t>（2）</w:t>
      </w:r>
    </w:p>
    <w:p>
      <w:pPr>
        <w:spacing w:before="87" w:line="709" w:lineRule="exact"/>
        <w:ind w:firstLine="308"/>
      </w:pPr>
      <w:r>
        <w:rPr>
          <w:position w:val="-14"/>
        </w:rPr>
        <w:drawing>
          <wp:inline distT="0" distB="0" distL="0" distR="0">
            <wp:extent cx="1695629" cy="45073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695629" cy="450736"/>
                    </a:xfrm>
                    <a:prstGeom prst="rect">
                      <a:avLst/>
                    </a:prstGeom>
                  </pic:spPr>
                </pic:pic>
              </a:graphicData>
            </a:graphic>
          </wp:inline>
        </w:drawing>
      </w:r>
    </w:p>
    <w:p>
      <w:pPr>
        <w:spacing w:before="136" w:line="698" w:lineRule="exact"/>
        <w:ind w:firstLine="308"/>
      </w:pPr>
      <w:r>
        <w:rPr>
          <w:position w:val="-13"/>
        </w:rPr>
        <w:drawing>
          <wp:inline distT="0" distB="0" distL="0" distR="0">
            <wp:extent cx="1745711" cy="44358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745711" cy="443582"/>
                    </a:xfrm>
                    <a:prstGeom prst="rect">
                      <a:avLst/>
                    </a:prstGeom>
                  </pic:spPr>
                </pic:pic>
              </a:graphicData>
            </a:graphic>
          </wp:inline>
        </w:drawing>
      </w:r>
    </w:p>
    <w:p>
      <w:pPr>
        <w:spacing w:before="135" w:line="744" w:lineRule="exact"/>
        <w:ind w:firstLine="308"/>
      </w:pPr>
      <w:r>
        <w:rPr>
          <w:position w:val="-14"/>
        </w:rPr>
        <w:drawing>
          <wp:inline distT="0" distB="0" distL="0" distR="0">
            <wp:extent cx="1645547" cy="4722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645547" cy="472200"/>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49" w:line="241" w:lineRule="auto"/>
        <w:ind w:left="78"/>
      </w:pPr>
      <w:r>
        <w:rPr>
          <w:spacing w:val="-1"/>
        </w:rPr>
        <w:t>（3）</w:t>
      </w:r>
    </w:p>
    <w:p>
      <w:pPr>
        <w:spacing w:line="292" w:lineRule="auto"/>
        <w:rPr>
          <w:rFonts w:ascii="Arial"/>
          <w:sz w:val="21"/>
        </w:rPr>
      </w:pPr>
    </w:p>
    <w:p>
      <w:pPr>
        <w:spacing w:line="293" w:lineRule="auto"/>
        <w:rPr>
          <w:rFonts w:ascii="Arial"/>
          <w:sz w:val="21"/>
        </w:rPr>
      </w:pPr>
    </w:p>
    <w:p>
      <w:pPr>
        <w:pStyle w:val="BodyText"/>
        <w:spacing w:before="49" w:line="241" w:lineRule="auto"/>
        <w:ind w:left="157"/>
      </w:pPr>
      <w:r>
        <w:rPr>
          <w:spacing w:val="-1"/>
        </w:rPr>
        <w:t>（4）</w:t>
      </w:r>
    </w:p>
    <w:p>
      <w:pPr>
        <w:spacing w:line="315" w:lineRule="auto"/>
        <w:rPr>
          <w:rFonts w:ascii="Arial"/>
          <w:sz w:val="21"/>
        </w:rPr>
      </w:pPr>
    </w:p>
    <w:p>
      <w:pPr>
        <w:spacing w:line="315" w:lineRule="auto"/>
        <w:rPr>
          <w:rFonts w:ascii="Arial"/>
          <w:sz w:val="21"/>
        </w:rPr>
      </w:pPr>
    </w:p>
    <w:p>
      <w:pPr>
        <w:pStyle w:val="BodyText"/>
        <w:spacing w:before="49" w:line="194" w:lineRule="auto"/>
      </w:pPr>
      <w:r>
        <w:rPr>
          <w:spacing w:val="-1"/>
        </w:rPr>
        <w:t>（5）</w:t>
      </w:r>
    </w:p>
    <w:p>
      <w:pPr>
        <w:spacing w:line="194" w:lineRule="auto"/>
        <w:sectPr>
          <w:type w:val="continuous"/>
          <w:pgSz w:w="11900" w:h="16839"/>
          <w:pgMar w:top="641" w:right="634" w:bottom="0" w:left="744" w:header="0" w:footer="0" w:gutter="0"/>
          <w:pgNumType w:start="4"/>
          <w:cols w:num="2" w:space="708" w:equalWidth="0">
            <w:col w:w="3058" w:space="14"/>
            <w:col w:w="7448" w:space="0"/>
          </w:cols>
        </w:sectPr>
      </w:pPr>
    </w:p>
    <w:p>
      <w:pPr>
        <w:spacing w:line="332" w:lineRule="auto"/>
        <w:rPr>
          <w:rFonts w:ascii="Arial"/>
          <w:sz w:val="21"/>
        </w:rPr>
      </w:pPr>
    </w:p>
    <w:p>
      <w:pPr>
        <w:pStyle w:val="BodyText"/>
        <w:spacing w:before="49" w:line="372" w:lineRule="exact"/>
        <w:ind w:left="316"/>
      </w:pPr>
      <w:r>
        <w:rPr>
          <w:spacing w:val="8"/>
          <w:position w:val="16"/>
        </w:rPr>
        <w:t>2.核心—边缘分析。该分析能够量化各国在贸易网络中所处的层次，</w:t>
      </w:r>
      <w:r>
        <w:rPr>
          <w:spacing w:val="7"/>
          <w:position w:val="16"/>
        </w:rPr>
        <w:t>分为三个层次：核心、半边缘以及边缘。核心层次的群体相互作用强度较大且</w:t>
      </w:r>
    </w:p>
    <w:p>
      <w:pPr>
        <w:pStyle w:val="BodyText"/>
        <w:spacing w:before="1" w:line="228" w:lineRule="auto"/>
      </w:pPr>
      <w:r>
        <w:rPr>
          <w:spacing w:val="6"/>
        </w:rPr>
        <w:t>联系较多，边缘群体很少与其他节点联系，相互作用较小。</w:t>
      </w:r>
    </w:p>
    <w:p>
      <w:pPr>
        <w:spacing w:line="292" w:lineRule="auto"/>
        <w:rPr>
          <w:rFonts w:ascii="Arial"/>
          <w:sz w:val="21"/>
        </w:rPr>
      </w:pPr>
    </w:p>
    <w:p>
      <w:pPr>
        <w:spacing w:before="49" w:line="231" w:lineRule="auto"/>
        <w:ind w:left="329"/>
        <w:rPr>
          <w:rFonts w:ascii="SimHei" w:eastAsia="SimHei" w:hAnsi="SimHei" w:cs="SimHei"/>
          <w:sz w:val="15"/>
          <w:szCs w:val="15"/>
        </w:rPr>
      </w:pPr>
      <w:r>
        <w:rPr>
          <w:rFonts w:ascii="SimHei" w:eastAsia="SimHei" w:hAnsi="SimHei" w:cs="SimHei"/>
          <w:spacing w:val="-1"/>
          <w:sz w:val="15"/>
          <w:szCs w:val="15"/>
        </w:rPr>
        <w:t>（二）</w:t>
      </w:r>
      <w:r>
        <w:rPr>
          <w:rFonts w:ascii="SimHei" w:eastAsia="SimHei" w:hAnsi="SimHei" w:cs="SimHei"/>
          <w:spacing w:val="-1"/>
          <w:sz w:val="15"/>
          <w:szCs w:val="15"/>
        </w:rPr>
        <w:t xml:space="preserve"> </w:t>
      </w:r>
      <w:r>
        <w:rPr>
          <w:rFonts w:ascii="SimHei" w:eastAsia="SimHei" w:hAnsi="SimHei" w:cs="SimHei"/>
          <w:spacing w:val="-1"/>
          <w:sz w:val="15"/>
          <w:szCs w:val="15"/>
        </w:rPr>
        <w:t>一般均衡结构模型</w:t>
      </w:r>
    </w:p>
    <w:p>
      <w:pPr>
        <w:spacing w:line="302" w:lineRule="auto"/>
        <w:rPr>
          <w:rFonts w:ascii="Arial"/>
          <w:sz w:val="21"/>
        </w:rPr>
      </w:pPr>
    </w:p>
    <w:p>
      <w:pPr>
        <w:pStyle w:val="BodyText"/>
        <w:spacing w:before="49" w:line="494" w:lineRule="auto"/>
        <w:ind w:right="115" w:firstLine="314"/>
        <w:jc w:val="both"/>
      </w:pPr>
      <w:r>
        <w:rPr>
          <w:spacing w:val="9"/>
        </w:rPr>
        <w:t>基于</w:t>
      </w:r>
      <w:r>
        <w:t>Caliendo</w:t>
      </w:r>
      <w:r>
        <w:rPr>
          <w:spacing w:val="9"/>
        </w:rPr>
        <w:t>和</w:t>
      </w:r>
      <w:r>
        <w:t>Parro</w:t>
      </w:r>
      <w:r>
        <w:rPr>
          <w:spacing w:val="9"/>
        </w:rPr>
        <w:t>（2015）模型，构建</w:t>
      </w:r>
      <w:r>
        <w:t>RCEP</w:t>
      </w:r>
      <w:r>
        <w:rPr>
          <w:spacing w:val="9"/>
        </w:rPr>
        <w:t>关税削减对贸易和福利</w:t>
      </w:r>
      <w:r>
        <w:rPr>
          <w:spacing w:val="8"/>
        </w:rPr>
        <w:t>影响的多国多部门李嘉图一般均衡结构模型。假设世界上有n个国家，每个国</w:t>
      </w:r>
      <w:r>
        <w:t xml:space="preserve"> </w:t>
      </w:r>
      <w:r>
        <w:rPr>
          <w:spacing w:val="2"/>
        </w:rPr>
        <w:t>家有m个部门，</w:t>
      </w:r>
      <w:r>
        <w:rPr>
          <w:spacing w:val="52"/>
        </w:rPr>
        <w:t xml:space="preserve"> </w:t>
      </w:r>
      <w:r>
        <w:rPr>
          <w:spacing w:val="2"/>
        </w:rPr>
        <w:t>s和r为国家，</w:t>
      </w:r>
      <w:r>
        <w:rPr>
          <w:spacing w:val="56"/>
        </w:rPr>
        <w:t xml:space="preserve"> </w:t>
      </w:r>
      <w:r>
        <w:rPr>
          <w:spacing w:val="2"/>
        </w:rPr>
        <w:t>i和j为部门</w:t>
      </w:r>
      <w:r>
        <w:rPr>
          <w:spacing w:val="1"/>
        </w:rPr>
        <w:t>。完全竞争市场且规模报酬不变，则消费者效用函数如式（6）。</w:t>
      </w:r>
      <w:r>
        <w:t>C</w:t>
      </w:r>
      <w:r>
        <w:rPr>
          <w:sz w:val="13"/>
          <w:szCs w:val="13"/>
        </w:rPr>
        <w:t>j</w:t>
      </w:r>
      <w:r>
        <w:rPr>
          <w:position w:val="-4"/>
          <w:sz w:val="13"/>
          <w:szCs w:val="13"/>
        </w:rPr>
        <w:t>r</w:t>
      </w:r>
      <w:r>
        <w:rPr>
          <w:spacing w:val="1"/>
        </w:rPr>
        <w:t xml:space="preserve">为复合品在部门j中的消费，  </w:t>
      </w:r>
      <w:r>
        <w:rPr>
          <w:spacing w:val="1"/>
          <w:position w:val="2"/>
        </w:rPr>
        <w:t>α</w:t>
      </w:r>
      <w:r>
        <w:rPr>
          <w:position w:val="2"/>
          <w:sz w:val="13"/>
          <w:szCs w:val="13"/>
        </w:rPr>
        <w:t>j</w:t>
      </w:r>
      <w:r>
        <w:rPr>
          <w:position w:val="-4"/>
          <w:sz w:val="13"/>
          <w:szCs w:val="13"/>
        </w:rPr>
        <w:t>r</w:t>
      </w:r>
      <w:r>
        <w:rPr>
          <w:spacing w:val="1"/>
        </w:rPr>
        <w:t>为消费权</w:t>
      </w:r>
    </w:p>
    <w:p>
      <w:pPr>
        <w:pStyle w:val="BodyText"/>
        <w:spacing w:before="1" w:line="223" w:lineRule="auto"/>
      </w:pPr>
      <w:r>
        <w:rPr>
          <w:spacing w:val="-2"/>
        </w:rPr>
        <w:t>重， C</w:t>
      </w:r>
      <w:r>
        <w:rPr>
          <w:spacing w:val="-2"/>
          <w:position w:val="-4"/>
          <w:sz w:val="13"/>
          <w:szCs w:val="13"/>
        </w:rPr>
        <w:t>r</w:t>
      </w:r>
      <w:r>
        <w:rPr>
          <w:spacing w:val="-2"/>
        </w:rPr>
        <w:t>表示最终消费品。</w:t>
      </w:r>
    </w:p>
    <w:p>
      <w:pPr>
        <w:pStyle w:val="BodyText"/>
        <w:spacing w:before="268" w:line="557" w:lineRule="exact"/>
        <w:ind w:left="308"/>
      </w:pPr>
      <w:r>
        <w:rPr>
          <w:position w:val="-8"/>
        </w:rPr>
        <w:drawing>
          <wp:inline distT="0" distB="0" distL="0" distR="0">
            <wp:extent cx="1860184" cy="3148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860184" cy="314800"/>
                    </a:xfrm>
                    <a:prstGeom prst="rect">
                      <a:avLst/>
                    </a:prstGeom>
                  </pic:spPr>
                </pic:pic>
              </a:graphicData>
            </a:graphic>
          </wp:inline>
        </w:drawing>
      </w:r>
      <w:r>
        <w:rPr>
          <w:spacing w:val="6"/>
          <w:position w:val="-8"/>
        </w:rPr>
        <w:t xml:space="preserve">  </w:t>
      </w:r>
      <w:r>
        <w:rPr>
          <w:spacing w:val="2"/>
          <w:position w:val="-8"/>
        </w:rPr>
        <w:t>（6）</w:t>
      </w:r>
    </w:p>
    <w:p>
      <w:pPr>
        <w:spacing w:line="295" w:lineRule="auto"/>
        <w:rPr>
          <w:rFonts w:ascii="Arial"/>
          <w:sz w:val="21"/>
        </w:rPr>
      </w:pPr>
    </w:p>
    <w:p>
      <w:pPr>
        <w:pStyle w:val="BodyText"/>
        <w:spacing w:before="48" w:line="202" w:lineRule="exact"/>
        <w:ind w:left="314"/>
      </w:pPr>
      <w:r>
        <w:rPr>
          <w:spacing w:val="6"/>
          <w:position w:val="1"/>
        </w:rPr>
        <w:t>每个部门都投入劳动力以及复合中间品来生产连续的中间品ω</w:t>
      </w:r>
      <w:r>
        <w:rPr>
          <w:spacing w:val="6"/>
          <w:position w:val="1"/>
          <w:sz w:val="13"/>
          <w:szCs w:val="13"/>
        </w:rPr>
        <w:t>j</w:t>
      </w:r>
      <w:r>
        <w:rPr>
          <w:spacing w:val="-35"/>
          <w:position w:val="1"/>
          <w:sz w:val="13"/>
          <w:szCs w:val="13"/>
        </w:rPr>
        <w:t xml:space="preserve"> </w:t>
      </w:r>
      <w:r>
        <w:rPr>
          <w:spacing w:val="6"/>
          <w:position w:val="1"/>
        </w:rPr>
        <w:t>∈[0，1</w:t>
      </w:r>
      <w:r>
        <w:rPr>
          <w:spacing w:val="5"/>
          <w:position w:val="1"/>
        </w:rPr>
        <w:t>]，柯布—道格拉斯生产函数为：</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 w:history="1">
        <w:r>
          <w:rPr>
            <w:rFonts w:ascii="SimSun" w:eastAsia="SimSun" w:hAnsi="SimSun" w:cs="SimSun"/>
            <w:b/>
            <w:bCs/>
            <w:noProof w:val="0"/>
            <w:snapToGrid/>
            <w:color w:val="0000EE"/>
            <w:kern w:val="0"/>
            <w:sz w:val="30"/>
            <w:szCs w:val="30"/>
            <w:u w:val="single" w:color="0000EE"/>
          </w:rPr>
          <w:t>https://d.book118.com/685313234112011101</w:t>
        </w:r>
      </w:hyperlink>
    </w:p>
    <w:p>
      <w:pPr>
        <w:pStyle w:val="BodyText"/>
        <w:spacing w:before="48" w:line="202" w:lineRule="exact"/>
        <w:ind w:left="314"/>
      </w:pPr>
    </w:p>
    <w:sectPr>
      <w:type w:val="continuous"/>
      <w:pgSz w:w="11900" w:h="16839"/>
      <w:pgMar w:top="641" w:right="634" w:bottom="0" w:left="744" w:header="0" w:footer="0" w:gutter="0"/>
      <w:pgNumType w:start="5"/>
      <w:cols w:num="1" w:space="708" w:equalWidth="0">
        <w:col w:w="1052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5"/>
      <w:szCs w:val="1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68531323411201110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2024-01-29T19:44:00Z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2024-01-29T20:02:12Z</vt:filetime>
  </property>
  <property fmtid="{D5CDD505-2E9C-101B-9397-08002B2CF9AE}" pid="3" name="CRO">
    <vt:lpwstr>wqlLaW5nc29mdCBQREYgdG8gV1BTIDkw</vt:lpwstr>
  </property>
</Properties>
</file>