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  <w:bookmarkStart w:id="0" w:name="_GoBack"/>
      <w:bookmarkEnd w:id="0"/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  <w:r>
        <w:rPr>
          <w:rFonts w:ascii="微软雅黑" w:eastAsia="微软雅黑" w:hAnsi="微软雅黑" w:cs="微软雅黑"/>
          <w:b/>
          <w:bCs/>
          <w:color w:val="2D54A0"/>
          <w:spacing w:val="9"/>
          <w:sz w:val="59"/>
          <w:szCs w:val="59"/>
        </w:rPr>
        <w:t>2024年光纤收发器行业趋势</w:t>
      </w:r>
      <w:r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  <w:t>报告</w:t>
      </w: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 w:hint="default"/>
          <w:b/>
          <w:bCs/>
          <w:color w:val="2D54A0"/>
          <w:spacing w:val="8"/>
          <w:sz w:val="44"/>
          <w:szCs w:val="44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color w:val="2D54A0"/>
          <w:spacing w:val="8"/>
          <w:sz w:val="44"/>
          <w:szCs w:val="44"/>
          <w:lang w:val="en-US" w:eastAsia="zh-CN"/>
        </w:rPr>
        <w:t>《2024年最新评估分析》</w:t>
      </w:r>
    </w:p>
    <w:p>
      <w:pPr>
        <w:spacing w:line="360" w:lineRule="auto"/>
        <w:jc w:val="center"/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</w:rPr>
      </w:pPr>
      <w:r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284" w:history="1">
        <w:r>
          <w:rPr>
            <w:rFonts w:ascii="微软雅黑" w:eastAsia="微软雅黑" w:hAnsi="微软雅黑" w:cs="微软雅黑" w:hint="eastAsia"/>
            <w:color w:val="001CAC" w:themeColor="hyperlink" w:themeShade="BF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_Toc6284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2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一、质量与技术管理</w:t>
        </w:r>
        <w:r>
          <w:tab/>
        </w:r>
        <w:r>
          <w:fldChar w:fldCharType="begin"/>
        </w:r>
        <w:r>
          <w:instrText xml:space="preserve"> PAGEREF _Toc18722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_Toc15644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(二)、技术标准与创新</w:t>
        </w:r>
        <w:r>
          <w:tab/>
        </w:r>
        <w:r>
          <w:fldChar w:fldCharType="begin"/>
        </w:r>
        <w:r>
          <w:instrText xml:space="preserve"> PAGEREF _Toc13034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66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二、资金筹措与投资分析</w:t>
        </w:r>
        <w:r>
          <w:tab/>
        </w:r>
        <w:r>
          <w:fldChar w:fldCharType="begin"/>
        </w:r>
        <w:r>
          <w:instrText xml:space="preserve"> PAGEREF _Toc29566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(一)、资金需求与筹措计划</w:t>
        </w:r>
        <w:r>
          <w:tab/>
        </w:r>
        <w:r>
          <w:fldChar w:fldCharType="begin"/>
        </w:r>
        <w:r>
          <w:instrText xml:space="preserve"> PAGEREF _Toc17982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(二)、投资分析与回报预期</w:t>
        </w:r>
        <w:r>
          <w:tab/>
        </w:r>
        <w:r>
          <w:fldChar w:fldCharType="begin"/>
        </w:r>
        <w:r>
          <w:instrText xml:space="preserve"> PAGEREF _Toc24889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5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三、光纤收发器行业质量管理方案</w:t>
        </w:r>
        <w:r>
          <w:tab/>
        </w:r>
        <w:r>
          <w:fldChar w:fldCharType="begin"/>
        </w:r>
        <w:r>
          <w:instrText xml:space="preserve"> PAGEREF _Toc9350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(一)、光纤收发器行业质量管理要求</w:t>
        </w:r>
        <w:r>
          <w:tab/>
        </w:r>
        <w:r>
          <w:fldChar w:fldCharType="begin"/>
        </w:r>
        <w:r>
          <w:instrText xml:space="preserve"> PAGEREF _Toc29712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(二)、光纤收发器行业服务质量管理方案</w:t>
        </w:r>
        <w:r>
          <w:tab/>
        </w:r>
        <w:r>
          <w:fldChar w:fldCharType="begin"/>
        </w:r>
        <w:r>
          <w:instrText xml:space="preserve"> PAGEREF _Toc30353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(三)、光纤收发器行业质量成本管理方案</w:t>
        </w:r>
        <w:r>
          <w:tab/>
        </w:r>
        <w:r>
          <w:fldChar w:fldCharType="begin"/>
        </w:r>
        <w:r>
          <w:instrText xml:space="preserve"> PAGEREF _Toc9058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64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四、质量管理与持续改进</w:t>
        </w:r>
        <w:r>
          <w:tab/>
        </w:r>
        <w:r>
          <w:fldChar w:fldCharType="begin"/>
        </w:r>
        <w:r>
          <w:instrText xml:space="preserve"> PAGEREF _Toc10464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_Toc14789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(二)、生产过程控制与优化</w:t>
        </w:r>
        <w:r>
          <w:tab/>
        </w:r>
        <w:r>
          <w:fldChar w:fldCharType="begin"/>
        </w:r>
        <w:r>
          <w:instrText xml:space="preserve"> PAGEREF _Toc4963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_Toc20567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_Toc12292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83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五、光纤收发器行业制度建设与执行</w:t>
        </w:r>
        <w:r>
          <w:tab/>
        </w:r>
        <w:r>
          <w:fldChar w:fldCharType="begin"/>
        </w:r>
        <w:r>
          <w:instrText xml:space="preserve"> PAGEREF _Toc12683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_Toc24253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_Toc18310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_Toc27391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(四)、主要防范措施</w:t>
        </w:r>
        <w:r>
          <w:tab/>
        </w:r>
        <w:r>
          <w:fldChar w:fldCharType="begin"/>
        </w:r>
        <w:r>
          <w:instrText xml:space="preserve"> PAGEREF _Toc6729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_Toc26041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6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六、项目实施与进度安排</w:t>
        </w:r>
        <w:r>
          <w:tab/>
        </w:r>
        <w:r>
          <w:fldChar w:fldCharType="begin"/>
        </w:r>
        <w:r>
          <w:instrText xml:space="preserve"> PAGEREF _Toc17462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(一)、项目计划与时间节点</w:t>
        </w:r>
        <w:r>
          <w:tab/>
        </w:r>
        <w:r>
          <w:fldChar w:fldCharType="begin"/>
        </w:r>
        <w:r>
          <w:instrText xml:space="preserve"> PAGEREF _Toc16452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(二)、项目进度安排</w:t>
        </w:r>
        <w:r>
          <w:tab/>
        </w:r>
        <w:r>
          <w:fldChar w:fldCharType="begin"/>
        </w:r>
        <w:r>
          <w:instrText xml:space="preserve"> PAGEREF _Toc14263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(三)、风险管理与对策</w:t>
        </w:r>
        <w:r>
          <w:tab/>
        </w:r>
        <w:r>
          <w:fldChar w:fldCharType="begin"/>
        </w:r>
        <w:r>
          <w:instrText xml:space="preserve"> PAGEREF _Toc14331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8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七、领导力发展与企业文化</w:t>
        </w:r>
        <w:r>
          <w:tab/>
        </w:r>
        <w:r>
          <w:fldChar w:fldCharType="begin"/>
        </w:r>
        <w:r>
          <w:instrText xml:space="preserve"> PAGEREF _Toc18182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_Toc24398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_Toc10098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_Toc14464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(四)、领导力在变革中的作用</w:t>
        </w:r>
        <w:r>
          <w:tab/>
        </w:r>
        <w:r>
          <w:fldChar w:fldCharType="begin"/>
        </w:r>
        <w:r>
          <w:instrText xml:space="preserve"> PAGEREF _Toc13206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214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八、制度运行与优化</w:t>
        </w:r>
        <w:r>
          <w:tab/>
        </w:r>
        <w:r>
          <w:fldChar w:fldCharType="begin"/>
        </w:r>
        <w:r>
          <w:instrText xml:space="preserve"> PAGEREF _Toc14214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_Toc3152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_Toc27543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4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九、光纤收发器行业公司治理与社会责任</w:t>
        </w:r>
        <w:r>
          <w:tab/>
        </w:r>
        <w:r>
          <w:fldChar w:fldCharType="begin"/>
        </w:r>
        <w:r>
          <w:instrText xml:space="preserve"> PAGEREF _Toc30340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_Toc22118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_Toc1008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_Toc26156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_Toc18330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_Toc28895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06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十、公司文化与社会责任</w:t>
        </w:r>
        <w:r>
          <w:tab/>
        </w:r>
        <w:r>
          <w:fldChar w:fldCharType="begin"/>
        </w:r>
        <w:r>
          <w:instrText xml:space="preserve"> PAGEREF _Toc6806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(一)、公司文化建设</w:t>
        </w:r>
        <w:r>
          <w:tab/>
        </w:r>
        <w:r>
          <w:fldChar w:fldCharType="begin"/>
        </w:r>
        <w:r>
          <w:instrText xml:space="preserve"> PAGEREF _Toc16972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(二)、企业社会责任与可持续发展</w:t>
        </w:r>
        <w:r>
          <w:tab/>
        </w:r>
        <w:r>
          <w:fldChar w:fldCharType="begin"/>
        </w:r>
        <w:r>
          <w:instrText xml:space="preserve"> PAGEREF _Toc23621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6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十一、制度建设与管理</w:t>
        </w:r>
        <w:r>
          <w:tab/>
        </w:r>
        <w:r>
          <w:fldChar w:fldCharType="begin"/>
        </w:r>
        <w:r>
          <w:instrText xml:space="preserve"> PAGEREF _Toc7160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_Toc12598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_Toc15590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_Toc7753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05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十二、光纤收发器行业市场营销分析</w:t>
        </w:r>
        <w:r>
          <w:tab/>
        </w:r>
        <w:r>
          <w:fldChar w:fldCharType="begin"/>
        </w:r>
        <w:r>
          <w:instrText xml:space="preserve"> PAGEREF _Toc30905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(一)、光纤收发器行业市场营销总体思路</w:t>
        </w:r>
        <w:r>
          <w:tab/>
        </w:r>
        <w:r>
          <w:fldChar w:fldCharType="begin"/>
        </w:r>
        <w:r>
          <w:instrText xml:space="preserve"> PAGEREF _Toc2511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(二)、光纤收发器行业组织市场分析</w:t>
        </w:r>
        <w:r>
          <w:tab/>
        </w:r>
        <w:r>
          <w:fldChar w:fldCharType="begin"/>
        </w:r>
        <w:r>
          <w:instrText xml:space="preserve"> PAGEREF _Toc24783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(三)、光纤收发器行业目标市场营销战略</w:t>
        </w:r>
        <w:r>
          <w:tab/>
        </w:r>
        <w:r>
          <w:fldChar w:fldCharType="begin"/>
        </w:r>
        <w:r>
          <w:instrText xml:space="preserve"> PAGEREF _Toc15028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(四)、光纤收发器行业定价策略</w:t>
        </w:r>
        <w:r>
          <w:tab/>
        </w:r>
        <w:r>
          <w:fldChar w:fldCharType="begin"/>
        </w:r>
        <w:r>
          <w:instrText xml:space="preserve"> PAGEREF _Toc22343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(五)、光纤收发器行业促销策略</w:t>
        </w:r>
        <w:r>
          <w:tab/>
        </w:r>
        <w:r>
          <w:fldChar w:fldCharType="begin"/>
        </w:r>
        <w:r>
          <w:instrText xml:space="preserve"> PAGEREF _Toc28155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(六)、光纤收发器行业品牌策略</w:t>
        </w:r>
        <w:r>
          <w:tab/>
        </w:r>
        <w:r>
          <w:fldChar w:fldCharType="begin"/>
        </w:r>
        <w:r>
          <w:instrText xml:space="preserve"> PAGEREF _Toc25353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(七)、光纤收发器行业关系营销</w:t>
        </w:r>
        <w:r>
          <w:tab/>
        </w:r>
        <w:r>
          <w:fldChar w:fldCharType="begin"/>
        </w:r>
        <w:r>
          <w:instrText xml:space="preserve"> PAGEREF _Toc7440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(八)、光纤收发器行业体验营销</w:t>
        </w:r>
        <w:r>
          <w:tab/>
        </w:r>
        <w:r>
          <w:fldChar w:fldCharType="begin"/>
        </w:r>
        <w:r>
          <w:instrText xml:space="preserve"> PAGEREF _Toc5456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(九)、光纤收发器行业互联网营销</w:t>
        </w:r>
        <w:r>
          <w:tab/>
        </w:r>
        <w:r>
          <w:fldChar w:fldCharType="begin"/>
        </w:r>
        <w:r>
          <w:instrText xml:space="preserve"> PAGEREF _Toc9155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r>
        <w:fldChar w:fldCharType="end"/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https://d.book118.com/685340301044011044</w:t>
        </w:r>
      </w:hyperlink>
    </w:p>
    <w:p/>
    <w:sectPr>
      <w:headerReference w:type="default" r:id="rId9"/>
      <w:footerReference w:type="default" r:id="rId10"/>
      <w:type w:val="nextPage"/>
      <w:pgSz w:w="11906" w:h="16838"/>
      <w:pgMar w:top="1440" w:right="1800" w:bottom="1440" w:left="1800" w:header="851" w:footer="992" w:gutter="0"/>
      <w:pgNumType w:start="3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2775B3"/>
    <w:rsid w:val="02623C3C"/>
    <w:rsid w:val="03734037"/>
    <w:rsid w:val="13614867"/>
    <w:rsid w:val="3DAC44EE"/>
    <w:rsid w:val="453746B4"/>
    <w:rsid w:val="482775B3"/>
    <w:rsid w:val="49C53810"/>
    <w:rsid w:val="4E155AC7"/>
    <w:rsid w:val="50930768"/>
    <w:rsid w:val="53B65B0C"/>
    <w:rsid w:val="62A91464"/>
    <w:rsid w:val="692E1C42"/>
  </w:rsids>
  <w:docVars>
    <w:docVar w:name="commondata" w:val="eyJoZGlkIjoiYjEzZTI3MzIxYzUxM2E3Y2YyMDVhZDRkMWU5YjExZ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autoRedefine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autoRedefine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  <w:autoRedefine/>
    <w:qFormat/>
  </w:style>
  <w:style w:type="paragraph" w:styleId="TOC2">
    <w:name w:val="toc 2"/>
    <w:basedOn w:val="Normal"/>
    <w:next w:val="Normal"/>
    <w:autoRedefine/>
    <w:qFormat/>
    <w:pPr>
      <w:ind w:left="420" w:leftChars="200"/>
    </w:pPr>
  </w:style>
  <w:style w:type="character" w:styleId="PageNumber">
    <w:name w:val="page number"/>
    <w:basedOn w:val="DefaultParagraphFont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yperlink" Target="https://d.book118.com/685340301044011044" TargetMode="Externa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小海豹</cp:lastModifiedBy>
  <cp:revision>1</cp:revision>
  <dcterms:created xsi:type="dcterms:W3CDTF">2023-12-10T12:06:00Z</dcterms:created>
  <dcterms:modified xsi:type="dcterms:W3CDTF">2024-01-17T05:48:58Z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1E39AA5D4B7F4B19B7D16FD992F8235D_13</vt:lpwstr>
  </property>
  <property fmtid="{D5CDD505-2E9C-101B-9397-08002B2CF9AE}" pid="3" name="KSOProductBuildVer">
    <vt:lpwstr>2052-12.1.0.16120</vt:lpwstr>
  </property>
</Properties>
</file>