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2024年光纤跳线行业趋势报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08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_Toc22089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一、环境与社会责任</w:t>
        </w:r>
        <w:r>
          <w:tab/>
        </w:r>
        <w:r>
          <w:fldChar w:fldCharType="begin"/>
        </w:r>
        <w:r>
          <w:instrText xml:space="preserve"> PAGEREF _Toc16109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二、制度建设与管理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_Toc20574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_Toc15004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三、制度运行与优化</w:t>
        </w:r>
        <w:r>
          <w:tab/>
        </w:r>
        <w:r>
          <w:fldChar w:fldCharType="begin"/>
        </w:r>
        <w:r>
          <w:instrText xml:space="preserve"> PAGEREF _Toc9325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_Toc30220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四、质量管理与持续改进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_Toc26667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五、光纤跳线行业选址方案分析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(一)、光纤跳线行业选址影响因素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(二)、光纤跳线行业选址原则</w:t>
        </w:r>
        <w:r>
          <w:tab/>
        </w:r>
        <w:r>
          <w:fldChar w:fldCharType="begin"/>
        </w:r>
        <w:r>
          <w:instrText xml:space="preserve"> PAGEREF _Toc4139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(三)、消费习惯对光纤跳线行业选址的影响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(四)、消费能力对光纤跳线行业选址的影响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(五)、经营成本对光纤跳线行业选址的影响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(六)、交通条件对光纤跳线行业选址的影响</w:t>
        </w:r>
        <w:r>
          <w:tab/>
        </w:r>
        <w:r>
          <w:fldChar w:fldCharType="begin"/>
        </w:r>
        <w:r>
          <w:instrText xml:space="preserve"> PAGEREF _Toc23335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六、光纤跳线行业质量管理方案</w:t>
        </w:r>
        <w:r>
          <w:tab/>
        </w:r>
        <w:r>
          <w:fldChar w:fldCharType="begin"/>
        </w:r>
        <w:r>
          <w:instrText xml:space="preserve"> PAGEREF _Toc30702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(一)、光纤跳线行业质量管理要求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(二)、光纤跳线行业服务质量管理方案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(三)、光纤跳线行业质量成本管理方案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七、光纤跳线行业运营管理及商业模式分析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(一)、光纤跳线行业数字化发展方案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(二)、光纤跳线行业新型运营方式</w:t>
        </w:r>
        <w:r>
          <w:tab/>
        </w:r>
        <w:r>
          <w:fldChar w:fldCharType="begin"/>
        </w:r>
        <w:r>
          <w:instrText xml:space="preserve"> PAGEREF _Toc32403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(三)、光纤跳线行业风险管理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7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八、项目运营与管理</w:t>
        </w:r>
        <w:r>
          <w:tab/>
        </w:r>
        <w:r>
          <w:fldChar w:fldCharType="begin"/>
        </w:r>
        <w:r>
          <w:instrText xml:space="preserve"> PAGEREF _Toc4676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_Toc19096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九、质量与技术管理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_Toc26146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十、可持续发展与绿色经营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_Toc26791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十一、光纤跳线行业项目管理与实施</w:t>
        </w:r>
        <w:r>
          <w:tab/>
        </w:r>
        <w:r>
          <w:fldChar w:fldCharType="begin"/>
        </w:r>
        <w:r>
          <w:instrText xml:space="preserve"> PAGEREF _Toc15487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十二、光纤跳线行业投资管理策略</w:t>
        </w:r>
        <w:r>
          <w:tab/>
        </w:r>
        <w:r>
          <w:fldChar w:fldCharType="begin"/>
        </w:r>
        <w:r>
          <w:instrText xml:space="preserve"> PAGEREF _Toc24146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(一)、光纤跳线行业投资估算主要内容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(二)、光纤跳线行业设备购置投资费用管理</w:t>
        </w:r>
        <w:r>
          <w:tab/>
        </w:r>
        <w:r>
          <w:fldChar w:fldCharType="begin"/>
        </w:r>
        <w:r>
          <w:instrText xml:space="preserve"> PAGEREF _Toc19171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(三)、光纤跳线行业装修施工投资费用管理</w:t>
        </w:r>
        <w:r>
          <w:tab/>
        </w:r>
        <w:r>
          <w:fldChar w:fldCharType="begin"/>
        </w:r>
        <w:r>
          <w:instrText xml:space="preserve"> PAGEREF _Toc25157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(四)、光纤跳线行业流动资金管理</w:t>
        </w:r>
        <w:r>
          <w:tab/>
        </w:r>
        <w:r>
          <w:fldChar w:fldCharType="begin"/>
        </w:r>
        <w:r>
          <w:instrText xml:space="preserve"> PAGEREF _Toc23696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https://d.book118.com/685340311044011044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2B56583D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685340311044011044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2024-01-17T05:49:10Z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