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稳定剂项目建设总纲及方案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38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_Toc9383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43" w:history="1">
        <w:r>
          <w:rPr>
            <w:rFonts w:ascii="仿宋" w:eastAsia="仿宋" w:hAnsi="仿宋" w:cs="仿宋" w:hint="eastAsia"/>
            <w:lang w:eastAsia="zh-CN"/>
          </w:rPr>
          <w:t>一、稳定剂项目概论</w:t>
        </w:r>
        <w:r>
          <w:tab/>
        </w:r>
        <w:r>
          <w:fldChar w:fldCharType="begin"/>
        </w:r>
        <w:r>
          <w:instrText xml:space="preserve"> PAGEREF _Toc13543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_Toc28652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6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_Toc17666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88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_Toc5888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7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_Toc16947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_Toc24127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4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_Toc28064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00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_Toc8100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_Toc2322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_Toc11913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_Toc14416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_Toc3622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88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_Toc19988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_Toc14629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_Toc27094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_Toc27339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_Toc13506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_Toc7818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_Toc16278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_Toc24822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_Toc20540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_Toc9576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9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_Toc9559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_Toc11747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_Toc10017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6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_Toc16116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_Toc30792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_Toc26520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_Toc11951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9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_Toc9599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2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_Toc31552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_Toc12313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_Toc300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6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_Toc18766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_Toc24650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60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_Toc10460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0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_Toc21380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_Toc32678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_Toc2913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2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_Toc14972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211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_Toc28211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8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_Toc10278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_Toc29304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1" w:history="1">
        <w:r>
          <w:rPr>
            <w:rFonts w:ascii="仿宋" w:eastAsia="仿宋" w:hAnsi="仿宋" w:cs="仿宋" w:hint="eastAsia"/>
            <w:lang w:eastAsia="zh-CN"/>
          </w:rPr>
          <w:t>十一、资金管理与财务规划</w:t>
        </w:r>
        <w:r>
          <w:tab/>
        </w:r>
        <w:r>
          <w:fldChar w:fldCharType="begin"/>
        </w:r>
        <w:r>
          <w:instrText xml:space="preserve"> PAGEREF _Toc1201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_Toc11621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_Toc15450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6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_Toc16062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" w:history="1">
        <w:r>
          <w:rPr>
            <w:rFonts w:ascii="仿宋" w:eastAsia="仿宋" w:hAnsi="仿宋" w:cs="仿宋" w:hint="eastAsia"/>
            <w:lang w:eastAsia="zh-CN"/>
          </w:rPr>
          <w:t>十二、项目实施与管理方案</w:t>
        </w:r>
        <w:r>
          <w:tab/>
        </w:r>
        <w:r>
          <w:fldChar w:fldCharType="begin"/>
        </w:r>
        <w:r>
          <w:instrText xml:space="preserve"> PAGEREF _Toc2688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8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_Toc19548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_Toc32140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_Toc4895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5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_Toc28335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_Toc13533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82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_Toc7182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_Toc21628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_Toc9505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1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_Toc14741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6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_Toc19586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_Toc14479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_Toc1247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28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_Toc12728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_Toc27710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_Toc22060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_Toc30157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_Toc16602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2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_Toc23382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_Toc27821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6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_Toc23346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51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_Toc6451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_Toc12015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_Toc31024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35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_Toc18435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0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_Toc8950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_Toc2886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77" w:history="1">
        <w:r>
          <w:rPr>
            <w:rFonts w:ascii="仿宋" w:eastAsia="仿宋" w:hAnsi="仿宋" w:cs="仿宋" w:hint="eastAsia"/>
            <w:lang w:eastAsia="zh-CN"/>
          </w:rPr>
          <w:t>二十、成果转化与推广应用</w:t>
        </w:r>
        <w:r>
          <w:tab/>
        </w:r>
        <w:r>
          <w:fldChar w:fldCharType="begin"/>
        </w:r>
        <w:r>
          <w:instrText xml:space="preserve"> PAGEREF _Toc14477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_Toc18694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3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_Toc11743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38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543"/>
      <w:r>
        <w:rPr>
          <w:rFonts w:ascii="仿宋" w:eastAsia="仿宋" w:hAnsi="仿宋" w:cs="仿宋" w:hint="eastAsia"/>
          <w:sz w:val="28"/>
          <w:lang w:eastAsia="zh-CN"/>
        </w:rPr>
        <w:t>一、稳定剂项目概论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652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稳定剂项目的申报单位是“XXX实业发展公司”，这是一家在其所处行业内备受尊敬的企业。公司自成立以来，通过其在稳定剂项目中表现出的创新精神和卓越执行力，在市场上赢得了显著的地位。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该公司的法定代表人秦XX，在稳定剂项目及其他多个行业领域中都有着显著的贡献。秦XX以其出色的领导才能和敏锐的商业洞察力，带领公司在稳定剂项目等多个领域实现了持续的成长和成功。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稳定剂项目的重要合作伙伴。公司专注于[行业名称]领域，以创新作为驱动力，不断推动技术进步和市场扩张。在稳定剂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稳定剂项目中展现了强劲的增长和稳定的财务表现。公司通过有效的策略，在稳定剂项目中扩大了其市场份额并增强了盈利能力。同时，公司积极承担社会责任，参与各类社会公益项目，增强了其在稳定剂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666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稳定剂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稳定剂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888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6947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127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064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8100"/>
      <w:r>
        <w:rPr>
          <w:rFonts w:ascii="仿宋" w:eastAsia="仿宋" w:hAnsi="仿宋" w:cs="仿宋" w:hint="eastAsia"/>
          <w:sz w:val="28"/>
          <w:lang w:eastAsia="zh-CN"/>
        </w:rPr>
        <w:t>三、经济影响分析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322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直接收益：假设稳定剂项目的产品或服务年销售收入为XX万元。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风险和灵敏度分析：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风险分析包括考虑市场波动、成本超支和收入不达预期等因素对项目经济效益的影响。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灵敏度分析则涉及改变关键假设（如销售收入、原材料成本、能源价格）来观察NPV和IRR的变化，从而评估这些变量对项目经济效益的影响程度。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长期效益与可持续性考虑：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除了直接的经济效益，项目的长期效益，如提升品牌形象、增强市场竞争力和推动行业创新，虽难以量化，但对企业的长期发展极为重要。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可持续性考虑包括项目对环境和社会的积极影响，如减少环境污染、创造就业机会和促进地区经济发展，这些效益虽不直接体现在财务报表上，却对企业的社会责任和长期可持续性至关重要。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1913"/>
      <w:r>
        <w:rPr>
          <w:rFonts w:ascii="仿宋" w:eastAsia="仿宋" w:hAnsi="仿宋" w:cs="仿宋" w:hint="eastAsia"/>
          <w:sz w:val="28"/>
          <w:lang w:eastAsia="zh-CN"/>
        </w:rPr>
        <w:t>(二)、行业影响分析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竞争格局变化：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稳定剂项目通过引入先进的人工智能技术优化生产流程，例如自动化的物流系统和智能数据分析，可能大幅提高产品的质量和生产效率。这可能迫使竞争对手也必须投资于类似技术，以保持市场竞争力。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此外，项目的创新应用可能吸引新的市场参与者，特别是科技领域的创新型初创企业，加入竞争，从而加剧了行业内的竞争压力。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技术发展推动：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https://d.book118.com/685343142044011112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稳定剂项目建设总纲及方案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C1436E9"/>
    <w:rsid w:val="5C1436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8534314204401111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2024-02-15T01:44:00Z</dcterms:created>
  <dcterms:modified xsi:type="dcterms:W3CDTF">2024-02-15T01:44:31Z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E85A12FAC8AD4E28A03021E7B229D72B_11</vt:lpwstr>
  </property>
  <property fmtid="{D5CDD505-2E9C-101B-9397-08002B2CF9AE}" pid="3" name="KSOProductBuildVer">
    <vt:lpwstr>2052-12.1.0.16250</vt:lpwstr>
  </property>
</Properties>
</file>