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下水道疏通清洗车项目计划设计方案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12" w:history="1">
        <w:r>
          <w:rPr>
            <w:rFonts w:ascii="仿宋" w:eastAsia="仿宋" w:hAnsi="仿宋" w:cs="仿宋" w:hint="eastAsia"/>
            <w:lang w:eastAsia="zh-CN"/>
          </w:rPr>
          <w:t>序言</w:t>
        </w:r>
        <w:r>
          <w:tab/>
        </w:r>
        <w:r>
          <w:fldChar w:fldCharType="begin"/>
        </w:r>
        <w:r>
          <w:instrText xml:space="preserve"> PAGEREF _Toc32712 \h </w:instrText>
        </w:r>
        <w:r>
          <w:fldChar w:fldCharType="separate"/>
        </w:r>
        <w:r>
          <w:t>3</w:t>
        </w:r>
        <w:r>
          <w:fldChar w:fldCharType="end"/>
        </w:r>
      </w:hyperlink>
    </w:p>
    <w:p>
      <w:pPr>
        <w:pStyle w:val="TOC1"/>
        <w:tabs>
          <w:tab w:val="right" w:leader="dot" w:pos="8306"/>
        </w:tabs>
      </w:pPr>
      <w:hyperlink w:anchor="_Toc27339" w:history="1">
        <w:r>
          <w:rPr>
            <w:rFonts w:ascii="仿宋" w:eastAsia="仿宋" w:hAnsi="仿宋" w:cs="仿宋" w:hint="eastAsia"/>
            <w:lang w:eastAsia="zh-CN"/>
          </w:rPr>
          <w:t>一、下水道疏通清洗车项目建设单位说明</w:t>
        </w:r>
        <w:r>
          <w:tab/>
        </w:r>
        <w:r>
          <w:fldChar w:fldCharType="begin"/>
        </w:r>
        <w:r>
          <w:instrText xml:space="preserve"> PAGEREF _Toc27339 \h </w:instrText>
        </w:r>
        <w:r>
          <w:fldChar w:fldCharType="separate"/>
        </w:r>
        <w:r>
          <w:t>3</w:t>
        </w:r>
        <w:r>
          <w:fldChar w:fldCharType="end"/>
        </w:r>
      </w:hyperlink>
    </w:p>
    <w:p>
      <w:pPr>
        <w:pStyle w:val="TOC2"/>
        <w:tabs>
          <w:tab w:val="right" w:leader="dot" w:pos="8306"/>
        </w:tabs>
      </w:pPr>
      <w:hyperlink w:anchor="_Toc12921" w:history="1">
        <w:r>
          <w:rPr>
            <w:rFonts w:ascii="仿宋" w:eastAsia="仿宋" w:hAnsi="仿宋" w:cs="仿宋" w:hint="eastAsia"/>
            <w:lang w:eastAsia="zh-CN"/>
          </w:rPr>
          <w:t>(一)、下水道疏通清洗车项目承办单位基本情况</w:t>
        </w:r>
        <w:r>
          <w:tab/>
        </w:r>
        <w:r>
          <w:fldChar w:fldCharType="begin"/>
        </w:r>
        <w:r>
          <w:instrText xml:space="preserve"> PAGEREF _Toc12921 \h </w:instrText>
        </w:r>
        <w:r>
          <w:fldChar w:fldCharType="separate"/>
        </w:r>
        <w:r>
          <w:t>3</w:t>
        </w:r>
        <w:r>
          <w:fldChar w:fldCharType="end"/>
        </w:r>
      </w:hyperlink>
    </w:p>
    <w:p>
      <w:pPr>
        <w:pStyle w:val="TOC2"/>
        <w:tabs>
          <w:tab w:val="right" w:leader="dot" w:pos="8306"/>
        </w:tabs>
      </w:pPr>
      <w:hyperlink w:anchor="_Toc25211" w:history="1">
        <w:r>
          <w:rPr>
            <w:rFonts w:ascii="仿宋" w:eastAsia="仿宋" w:hAnsi="仿宋" w:cs="仿宋" w:hint="eastAsia"/>
            <w:lang w:eastAsia="zh-CN"/>
          </w:rPr>
          <w:t>(二)、公司经济效益分析</w:t>
        </w:r>
        <w:r>
          <w:tab/>
        </w:r>
        <w:r>
          <w:fldChar w:fldCharType="begin"/>
        </w:r>
        <w:r>
          <w:instrText xml:space="preserve"> PAGEREF _Toc25211 \h </w:instrText>
        </w:r>
        <w:r>
          <w:fldChar w:fldCharType="separate"/>
        </w:r>
        <w:r>
          <w:t>4</w:t>
        </w:r>
        <w:r>
          <w:fldChar w:fldCharType="end"/>
        </w:r>
      </w:hyperlink>
    </w:p>
    <w:p>
      <w:pPr>
        <w:pStyle w:val="TOC1"/>
        <w:tabs>
          <w:tab w:val="right" w:leader="dot" w:pos="8306"/>
        </w:tabs>
      </w:pPr>
      <w:hyperlink w:anchor="_Toc6593" w:history="1">
        <w:r>
          <w:rPr>
            <w:rFonts w:ascii="仿宋" w:eastAsia="仿宋" w:hAnsi="仿宋" w:cs="仿宋" w:hint="eastAsia"/>
            <w:lang w:eastAsia="zh-CN"/>
          </w:rPr>
          <w:t>二、下水道疏通清洗车项目危机管理</w:t>
        </w:r>
        <w:r>
          <w:tab/>
        </w:r>
        <w:r>
          <w:fldChar w:fldCharType="begin"/>
        </w:r>
        <w:r>
          <w:instrText xml:space="preserve"> PAGEREF _Toc6593 \h </w:instrText>
        </w:r>
        <w:r>
          <w:fldChar w:fldCharType="separate"/>
        </w:r>
        <w:r>
          <w:t>5</w:t>
        </w:r>
        <w:r>
          <w:fldChar w:fldCharType="end"/>
        </w:r>
      </w:hyperlink>
    </w:p>
    <w:p>
      <w:pPr>
        <w:pStyle w:val="TOC2"/>
        <w:tabs>
          <w:tab w:val="right" w:leader="dot" w:pos="8306"/>
        </w:tabs>
      </w:pPr>
      <w:hyperlink w:anchor="_Toc18622" w:history="1">
        <w:r>
          <w:rPr>
            <w:rFonts w:ascii="仿宋" w:eastAsia="仿宋" w:hAnsi="仿宋" w:cs="仿宋" w:hint="eastAsia"/>
            <w:lang w:eastAsia="zh-CN"/>
          </w:rPr>
          <w:t>(一)、危机预警与识别</w:t>
        </w:r>
        <w:r>
          <w:tab/>
        </w:r>
        <w:r>
          <w:fldChar w:fldCharType="begin"/>
        </w:r>
        <w:r>
          <w:instrText xml:space="preserve"> PAGEREF _Toc18622 \h </w:instrText>
        </w:r>
        <w:r>
          <w:fldChar w:fldCharType="separate"/>
        </w:r>
        <w:r>
          <w:t>5</w:t>
        </w:r>
        <w:r>
          <w:fldChar w:fldCharType="end"/>
        </w:r>
      </w:hyperlink>
    </w:p>
    <w:p>
      <w:pPr>
        <w:pStyle w:val="TOC2"/>
        <w:tabs>
          <w:tab w:val="right" w:leader="dot" w:pos="8306"/>
        </w:tabs>
      </w:pPr>
      <w:hyperlink w:anchor="_Toc32073" w:history="1">
        <w:r>
          <w:rPr>
            <w:rFonts w:ascii="仿宋" w:eastAsia="仿宋" w:hAnsi="仿宋" w:cs="仿宋" w:hint="eastAsia"/>
            <w:lang w:eastAsia="zh-CN"/>
          </w:rPr>
          <w:t>(二)、危机应对与恢复</w:t>
        </w:r>
        <w:r>
          <w:tab/>
        </w:r>
        <w:r>
          <w:fldChar w:fldCharType="begin"/>
        </w:r>
        <w:r>
          <w:instrText xml:space="preserve"> PAGEREF _Toc32073 \h </w:instrText>
        </w:r>
        <w:r>
          <w:fldChar w:fldCharType="separate"/>
        </w:r>
        <w:r>
          <w:t>6</w:t>
        </w:r>
        <w:r>
          <w:fldChar w:fldCharType="end"/>
        </w:r>
      </w:hyperlink>
    </w:p>
    <w:p>
      <w:pPr>
        <w:pStyle w:val="TOC1"/>
        <w:tabs>
          <w:tab w:val="right" w:leader="dot" w:pos="8306"/>
        </w:tabs>
      </w:pPr>
      <w:hyperlink w:anchor="_Toc6993" w:history="1">
        <w:r>
          <w:rPr>
            <w:rFonts w:ascii="仿宋" w:eastAsia="仿宋" w:hAnsi="仿宋" w:cs="仿宋" w:hint="eastAsia"/>
            <w:lang w:eastAsia="zh-CN"/>
          </w:rPr>
          <w:t>三、下水道疏通清洗车项目绩效评估</w:t>
        </w:r>
        <w:r>
          <w:tab/>
        </w:r>
        <w:r>
          <w:fldChar w:fldCharType="begin"/>
        </w:r>
        <w:r>
          <w:instrText xml:space="preserve"> PAGEREF _Toc6993 \h </w:instrText>
        </w:r>
        <w:r>
          <w:fldChar w:fldCharType="separate"/>
        </w:r>
        <w:r>
          <w:t>7</w:t>
        </w:r>
        <w:r>
          <w:fldChar w:fldCharType="end"/>
        </w:r>
      </w:hyperlink>
    </w:p>
    <w:p>
      <w:pPr>
        <w:pStyle w:val="TOC2"/>
        <w:tabs>
          <w:tab w:val="right" w:leader="dot" w:pos="8306"/>
        </w:tabs>
      </w:pPr>
      <w:hyperlink w:anchor="_Toc19887" w:history="1">
        <w:r>
          <w:rPr>
            <w:rFonts w:ascii="仿宋" w:eastAsia="仿宋" w:hAnsi="仿宋" w:cs="仿宋" w:hint="eastAsia"/>
            <w:lang w:eastAsia="zh-CN"/>
          </w:rPr>
          <w:t>(一)、绩效评估指标</w:t>
        </w:r>
        <w:r>
          <w:tab/>
        </w:r>
        <w:r>
          <w:fldChar w:fldCharType="begin"/>
        </w:r>
        <w:r>
          <w:instrText xml:space="preserve"> PAGEREF _Toc19887 \h </w:instrText>
        </w:r>
        <w:r>
          <w:fldChar w:fldCharType="separate"/>
        </w:r>
        <w:r>
          <w:t>7</w:t>
        </w:r>
        <w:r>
          <w:fldChar w:fldCharType="end"/>
        </w:r>
      </w:hyperlink>
    </w:p>
    <w:p>
      <w:pPr>
        <w:pStyle w:val="TOC2"/>
        <w:tabs>
          <w:tab w:val="right" w:leader="dot" w:pos="8306"/>
        </w:tabs>
      </w:pPr>
      <w:hyperlink w:anchor="_Toc4838" w:history="1">
        <w:r>
          <w:rPr>
            <w:rFonts w:ascii="仿宋" w:eastAsia="仿宋" w:hAnsi="仿宋" w:cs="仿宋" w:hint="eastAsia"/>
            <w:lang w:eastAsia="zh-CN"/>
          </w:rPr>
          <w:t>(二)、绩效评估方法</w:t>
        </w:r>
        <w:r>
          <w:tab/>
        </w:r>
        <w:r>
          <w:fldChar w:fldCharType="begin"/>
        </w:r>
        <w:r>
          <w:instrText xml:space="preserve"> PAGEREF _Toc4838 \h </w:instrText>
        </w:r>
        <w:r>
          <w:fldChar w:fldCharType="separate"/>
        </w:r>
        <w:r>
          <w:t>8</w:t>
        </w:r>
        <w:r>
          <w:fldChar w:fldCharType="end"/>
        </w:r>
      </w:hyperlink>
    </w:p>
    <w:p>
      <w:pPr>
        <w:pStyle w:val="TOC2"/>
        <w:tabs>
          <w:tab w:val="right" w:leader="dot" w:pos="8306"/>
        </w:tabs>
      </w:pPr>
      <w:hyperlink w:anchor="_Toc26941" w:history="1">
        <w:r>
          <w:rPr>
            <w:rFonts w:ascii="仿宋" w:eastAsia="仿宋" w:hAnsi="仿宋" w:cs="仿宋" w:hint="eastAsia"/>
            <w:lang w:eastAsia="zh-CN"/>
          </w:rPr>
          <w:t>(三)、绩效评估周期</w:t>
        </w:r>
        <w:r>
          <w:tab/>
        </w:r>
        <w:r>
          <w:fldChar w:fldCharType="begin"/>
        </w:r>
        <w:r>
          <w:instrText xml:space="preserve"> PAGEREF _Toc26941 \h </w:instrText>
        </w:r>
        <w:r>
          <w:fldChar w:fldCharType="separate"/>
        </w:r>
        <w:r>
          <w:t>9</w:t>
        </w:r>
        <w:r>
          <w:fldChar w:fldCharType="end"/>
        </w:r>
      </w:hyperlink>
    </w:p>
    <w:p>
      <w:pPr>
        <w:pStyle w:val="TOC1"/>
        <w:tabs>
          <w:tab w:val="right" w:leader="dot" w:pos="8306"/>
        </w:tabs>
      </w:pPr>
      <w:hyperlink w:anchor="_Toc889" w:history="1">
        <w:r>
          <w:rPr>
            <w:rFonts w:ascii="仿宋" w:eastAsia="仿宋" w:hAnsi="仿宋" w:cs="仿宋" w:hint="eastAsia"/>
            <w:lang w:eastAsia="zh-CN"/>
          </w:rPr>
          <w:t>四、下水道疏通清洗车项目土建工程</w:t>
        </w:r>
        <w:r>
          <w:tab/>
        </w:r>
        <w:r>
          <w:fldChar w:fldCharType="begin"/>
        </w:r>
        <w:r>
          <w:instrText xml:space="preserve"> PAGEREF _Toc889 \h </w:instrText>
        </w:r>
        <w:r>
          <w:fldChar w:fldCharType="separate"/>
        </w:r>
        <w:r>
          <w:t>11</w:t>
        </w:r>
        <w:r>
          <w:fldChar w:fldCharType="end"/>
        </w:r>
      </w:hyperlink>
    </w:p>
    <w:p>
      <w:pPr>
        <w:pStyle w:val="TOC2"/>
        <w:tabs>
          <w:tab w:val="right" w:leader="dot" w:pos="8306"/>
        </w:tabs>
      </w:pPr>
      <w:hyperlink w:anchor="_Toc28527" w:history="1">
        <w:r>
          <w:rPr>
            <w:rFonts w:ascii="仿宋" w:eastAsia="仿宋" w:hAnsi="仿宋" w:cs="仿宋" w:hint="eastAsia"/>
            <w:lang w:eastAsia="zh-CN"/>
          </w:rPr>
          <w:t>(一)、建筑工程设计原则</w:t>
        </w:r>
        <w:r>
          <w:tab/>
        </w:r>
        <w:r>
          <w:fldChar w:fldCharType="begin"/>
        </w:r>
        <w:r>
          <w:instrText xml:space="preserve"> PAGEREF _Toc28527 \h </w:instrText>
        </w:r>
        <w:r>
          <w:fldChar w:fldCharType="separate"/>
        </w:r>
        <w:r>
          <w:t>11</w:t>
        </w:r>
        <w:r>
          <w:fldChar w:fldCharType="end"/>
        </w:r>
      </w:hyperlink>
    </w:p>
    <w:p>
      <w:pPr>
        <w:pStyle w:val="TOC2"/>
        <w:tabs>
          <w:tab w:val="right" w:leader="dot" w:pos="8306"/>
        </w:tabs>
      </w:pPr>
      <w:hyperlink w:anchor="_Toc1084" w:history="1">
        <w:r>
          <w:rPr>
            <w:rFonts w:ascii="仿宋" w:eastAsia="仿宋" w:hAnsi="仿宋" w:cs="仿宋" w:hint="eastAsia"/>
            <w:lang w:eastAsia="zh-CN"/>
          </w:rPr>
          <w:t>(二)、土建工程设计年限及安全等级</w:t>
        </w:r>
        <w:r>
          <w:tab/>
        </w:r>
        <w:r>
          <w:fldChar w:fldCharType="begin"/>
        </w:r>
        <w:r>
          <w:instrText xml:space="preserve"> PAGEREF _Toc1084 \h </w:instrText>
        </w:r>
        <w:r>
          <w:fldChar w:fldCharType="separate"/>
        </w:r>
        <w:r>
          <w:t>12</w:t>
        </w:r>
        <w:r>
          <w:fldChar w:fldCharType="end"/>
        </w:r>
      </w:hyperlink>
    </w:p>
    <w:p>
      <w:pPr>
        <w:pStyle w:val="TOC2"/>
        <w:tabs>
          <w:tab w:val="right" w:leader="dot" w:pos="8306"/>
        </w:tabs>
      </w:pPr>
      <w:hyperlink w:anchor="_Toc25011" w:history="1">
        <w:r>
          <w:rPr>
            <w:rFonts w:ascii="仿宋" w:eastAsia="仿宋" w:hAnsi="仿宋" w:cs="仿宋" w:hint="eastAsia"/>
            <w:lang w:eastAsia="zh-CN"/>
          </w:rPr>
          <w:t>(三)、建筑工程设计总体要求</w:t>
        </w:r>
        <w:r>
          <w:tab/>
        </w:r>
        <w:r>
          <w:fldChar w:fldCharType="begin"/>
        </w:r>
        <w:r>
          <w:instrText xml:space="preserve"> PAGEREF _Toc25011 \h </w:instrText>
        </w:r>
        <w:r>
          <w:fldChar w:fldCharType="separate"/>
        </w:r>
        <w:r>
          <w:t>13</w:t>
        </w:r>
        <w:r>
          <w:fldChar w:fldCharType="end"/>
        </w:r>
      </w:hyperlink>
    </w:p>
    <w:p>
      <w:pPr>
        <w:pStyle w:val="TOC2"/>
        <w:tabs>
          <w:tab w:val="right" w:leader="dot" w:pos="8306"/>
        </w:tabs>
      </w:pPr>
      <w:hyperlink w:anchor="_Toc17381" w:history="1">
        <w:r>
          <w:rPr>
            <w:rFonts w:ascii="仿宋" w:eastAsia="仿宋" w:hAnsi="仿宋" w:cs="仿宋" w:hint="eastAsia"/>
            <w:lang w:eastAsia="zh-CN"/>
          </w:rPr>
          <w:t>(四)、土建工程建设指标</w:t>
        </w:r>
        <w:r>
          <w:tab/>
        </w:r>
        <w:r>
          <w:fldChar w:fldCharType="begin"/>
        </w:r>
        <w:r>
          <w:instrText xml:space="preserve"> PAGEREF _Toc17381 \h </w:instrText>
        </w:r>
        <w:r>
          <w:fldChar w:fldCharType="separate"/>
        </w:r>
        <w:r>
          <w:t>14</w:t>
        </w:r>
        <w:r>
          <w:fldChar w:fldCharType="end"/>
        </w:r>
      </w:hyperlink>
    </w:p>
    <w:p>
      <w:pPr>
        <w:pStyle w:val="TOC1"/>
        <w:tabs>
          <w:tab w:val="right" w:leader="dot" w:pos="8306"/>
        </w:tabs>
      </w:pPr>
      <w:hyperlink w:anchor="_Toc765" w:history="1">
        <w:r>
          <w:rPr>
            <w:rFonts w:ascii="仿宋" w:eastAsia="仿宋" w:hAnsi="仿宋" w:cs="仿宋" w:hint="eastAsia"/>
            <w:lang w:eastAsia="zh-CN"/>
          </w:rPr>
          <w:t>五、下水道疏通清洗车项目文档管理</w:t>
        </w:r>
        <w:r>
          <w:tab/>
        </w:r>
        <w:r>
          <w:fldChar w:fldCharType="begin"/>
        </w:r>
        <w:r>
          <w:instrText xml:space="preserve"> PAGEREF _Toc765 \h </w:instrText>
        </w:r>
        <w:r>
          <w:fldChar w:fldCharType="separate"/>
        </w:r>
        <w:r>
          <w:t>14</w:t>
        </w:r>
        <w:r>
          <w:fldChar w:fldCharType="end"/>
        </w:r>
      </w:hyperlink>
    </w:p>
    <w:p>
      <w:pPr>
        <w:pStyle w:val="TOC2"/>
        <w:tabs>
          <w:tab w:val="right" w:leader="dot" w:pos="8306"/>
        </w:tabs>
      </w:pPr>
      <w:hyperlink w:anchor="_Toc21599" w:history="1">
        <w:r>
          <w:rPr>
            <w:rFonts w:ascii="仿宋" w:eastAsia="仿宋" w:hAnsi="仿宋" w:cs="仿宋" w:hint="eastAsia"/>
            <w:lang w:eastAsia="zh-CN"/>
          </w:rPr>
          <w:t>(一)、文档编制与审查</w:t>
        </w:r>
        <w:r>
          <w:tab/>
        </w:r>
        <w:r>
          <w:fldChar w:fldCharType="begin"/>
        </w:r>
        <w:r>
          <w:instrText xml:space="preserve"> PAGEREF _Toc21599 \h </w:instrText>
        </w:r>
        <w:r>
          <w:fldChar w:fldCharType="separate"/>
        </w:r>
        <w:r>
          <w:t>14</w:t>
        </w:r>
        <w:r>
          <w:fldChar w:fldCharType="end"/>
        </w:r>
      </w:hyperlink>
    </w:p>
    <w:p>
      <w:pPr>
        <w:pStyle w:val="TOC2"/>
        <w:tabs>
          <w:tab w:val="right" w:leader="dot" w:pos="8306"/>
        </w:tabs>
      </w:pPr>
      <w:hyperlink w:anchor="_Toc13606" w:history="1">
        <w:r>
          <w:rPr>
            <w:rFonts w:ascii="仿宋" w:eastAsia="仿宋" w:hAnsi="仿宋" w:cs="仿宋" w:hint="eastAsia"/>
            <w:lang w:eastAsia="zh-CN"/>
          </w:rPr>
          <w:t>(二)、文档发布与分发</w:t>
        </w:r>
        <w:r>
          <w:tab/>
        </w:r>
        <w:r>
          <w:fldChar w:fldCharType="begin"/>
        </w:r>
        <w:r>
          <w:instrText xml:space="preserve"> PAGEREF _Toc13606 \h </w:instrText>
        </w:r>
        <w:r>
          <w:fldChar w:fldCharType="separate"/>
        </w:r>
        <w:r>
          <w:t>15</w:t>
        </w:r>
        <w:r>
          <w:fldChar w:fldCharType="end"/>
        </w:r>
      </w:hyperlink>
    </w:p>
    <w:p>
      <w:pPr>
        <w:pStyle w:val="TOC2"/>
        <w:tabs>
          <w:tab w:val="right" w:leader="dot" w:pos="8306"/>
        </w:tabs>
      </w:pPr>
      <w:hyperlink w:anchor="_Toc20794" w:history="1">
        <w:r>
          <w:rPr>
            <w:rFonts w:ascii="仿宋" w:eastAsia="仿宋" w:hAnsi="仿宋" w:cs="仿宋" w:hint="eastAsia"/>
            <w:lang w:eastAsia="zh-CN"/>
          </w:rPr>
          <w:t>(三)、文档存档与归档</w:t>
        </w:r>
        <w:r>
          <w:tab/>
        </w:r>
        <w:r>
          <w:fldChar w:fldCharType="begin"/>
        </w:r>
        <w:r>
          <w:instrText xml:space="preserve"> PAGEREF _Toc20794 \h </w:instrText>
        </w:r>
        <w:r>
          <w:fldChar w:fldCharType="separate"/>
        </w:r>
        <w:r>
          <w:t>16</w:t>
        </w:r>
        <w:r>
          <w:fldChar w:fldCharType="end"/>
        </w:r>
      </w:hyperlink>
    </w:p>
    <w:p>
      <w:pPr>
        <w:pStyle w:val="TOC1"/>
        <w:tabs>
          <w:tab w:val="right" w:leader="dot" w:pos="8306"/>
        </w:tabs>
      </w:pPr>
      <w:hyperlink w:anchor="_Toc18999" w:history="1">
        <w:r>
          <w:rPr>
            <w:rFonts w:ascii="仿宋" w:eastAsia="仿宋" w:hAnsi="仿宋" w:cs="仿宋" w:hint="eastAsia"/>
            <w:lang w:eastAsia="zh-CN"/>
          </w:rPr>
          <w:t>六、下水道疏通清洗车项目选址可行性分析</w:t>
        </w:r>
        <w:r>
          <w:tab/>
        </w:r>
        <w:r>
          <w:fldChar w:fldCharType="begin"/>
        </w:r>
        <w:r>
          <w:instrText xml:space="preserve"> PAGEREF _Toc18999 \h </w:instrText>
        </w:r>
        <w:r>
          <w:fldChar w:fldCharType="separate"/>
        </w:r>
        <w:r>
          <w:t>17</w:t>
        </w:r>
        <w:r>
          <w:fldChar w:fldCharType="end"/>
        </w:r>
      </w:hyperlink>
    </w:p>
    <w:p>
      <w:pPr>
        <w:pStyle w:val="TOC2"/>
        <w:tabs>
          <w:tab w:val="right" w:leader="dot" w:pos="8306"/>
        </w:tabs>
      </w:pPr>
      <w:hyperlink w:anchor="_Toc7746" w:history="1">
        <w:r>
          <w:rPr>
            <w:rFonts w:ascii="仿宋" w:eastAsia="仿宋" w:hAnsi="仿宋" w:cs="仿宋" w:hint="eastAsia"/>
            <w:lang w:eastAsia="zh-CN"/>
          </w:rPr>
          <w:t>(一)、下水道疏通清洗车项目选址</w:t>
        </w:r>
        <w:r>
          <w:tab/>
        </w:r>
        <w:r>
          <w:fldChar w:fldCharType="begin"/>
        </w:r>
        <w:r>
          <w:instrText xml:space="preserve"> PAGEREF _Toc7746 \h </w:instrText>
        </w:r>
        <w:r>
          <w:fldChar w:fldCharType="separate"/>
        </w:r>
        <w:r>
          <w:t>17</w:t>
        </w:r>
        <w:r>
          <w:fldChar w:fldCharType="end"/>
        </w:r>
      </w:hyperlink>
    </w:p>
    <w:p>
      <w:pPr>
        <w:pStyle w:val="TOC2"/>
        <w:tabs>
          <w:tab w:val="right" w:leader="dot" w:pos="8306"/>
        </w:tabs>
      </w:pPr>
      <w:hyperlink w:anchor="_Toc12554" w:history="1">
        <w:r>
          <w:rPr>
            <w:rFonts w:ascii="仿宋" w:eastAsia="仿宋" w:hAnsi="仿宋" w:cs="仿宋" w:hint="eastAsia"/>
            <w:lang w:eastAsia="zh-CN"/>
          </w:rPr>
          <w:t>(二)、用地控制指标</w:t>
        </w:r>
        <w:r>
          <w:tab/>
        </w:r>
        <w:r>
          <w:fldChar w:fldCharType="begin"/>
        </w:r>
        <w:r>
          <w:instrText xml:space="preserve"> PAGEREF _Toc12554 \h </w:instrText>
        </w:r>
        <w:r>
          <w:fldChar w:fldCharType="separate"/>
        </w:r>
        <w:r>
          <w:t>17</w:t>
        </w:r>
        <w:r>
          <w:fldChar w:fldCharType="end"/>
        </w:r>
      </w:hyperlink>
    </w:p>
    <w:p>
      <w:pPr>
        <w:pStyle w:val="TOC2"/>
        <w:tabs>
          <w:tab w:val="right" w:leader="dot" w:pos="8306"/>
        </w:tabs>
      </w:pPr>
      <w:hyperlink w:anchor="_Toc10279" w:history="1">
        <w:r>
          <w:rPr>
            <w:rFonts w:ascii="仿宋" w:eastAsia="仿宋" w:hAnsi="仿宋" w:cs="仿宋" w:hint="eastAsia"/>
            <w:lang w:eastAsia="zh-CN"/>
          </w:rPr>
          <w:t>(三)、节约用地措施</w:t>
        </w:r>
        <w:r>
          <w:tab/>
        </w:r>
        <w:r>
          <w:fldChar w:fldCharType="begin"/>
        </w:r>
        <w:r>
          <w:instrText xml:space="preserve"> PAGEREF _Toc10279 \h </w:instrText>
        </w:r>
        <w:r>
          <w:fldChar w:fldCharType="separate"/>
        </w:r>
        <w:r>
          <w:t>19</w:t>
        </w:r>
        <w:r>
          <w:fldChar w:fldCharType="end"/>
        </w:r>
      </w:hyperlink>
    </w:p>
    <w:p>
      <w:pPr>
        <w:pStyle w:val="TOC2"/>
        <w:tabs>
          <w:tab w:val="right" w:leader="dot" w:pos="8306"/>
        </w:tabs>
      </w:pPr>
      <w:hyperlink w:anchor="_Toc24548" w:history="1">
        <w:r>
          <w:rPr>
            <w:rFonts w:ascii="仿宋" w:eastAsia="仿宋" w:hAnsi="仿宋" w:cs="仿宋" w:hint="eastAsia"/>
            <w:lang w:eastAsia="zh-CN"/>
          </w:rPr>
          <w:t>(四)、总图布置方案</w:t>
        </w:r>
        <w:r>
          <w:tab/>
        </w:r>
        <w:r>
          <w:fldChar w:fldCharType="begin"/>
        </w:r>
        <w:r>
          <w:instrText xml:space="preserve"> PAGEREF _Toc24548 \h </w:instrText>
        </w:r>
        <w:r>
          <w:fldChar w:fldCharType="separate"/>
        </w:r>
        <w:r>
          <w:t>21</w:t>
        </w:r>
        <w:r>
          <w:fldChar w:fldCharType="end"/>
        </w:r>
      </w:hyperlink>
    </w:p>
    <w:p>
      <w:pPr>
        <w:pStyle w:val="TOC2"/>
        <w:tabs>
          <w:tab w:val="right" w:leader="dot" w:pos="8306"/>
        </w:tabs>
      </w:pPr>
      <w:hyperlink w:anchor="_Toc7970" w:history="1">
        <w:r>
          <w:rPr>
            <w:rFonts w:ascii="仿宋" w:eastAsia="仿宋" w:hAnsi="仿宋" w:cs="仿宋" w:hint="eastAsia"/>
            <w:lang w:eastAsia="zh-CN"/>
          </w:rPr>
          <w:t>(五)、选址综合评价</w:t>
        </w:r>
        <w:r>
          <w:tab/>
        </w:r>
        <w:r>
          <w:fldChar w:fldCharType="begin"/>
        </w:r>
        <w:r>
          <w:instrText xml:space="preserve"> PAGEREF _Toc7970 \h </w:instrText>
        </w:r>
        <w:r>
          <w:fldChar w:fldCharType="separate"/>
        </w:r>
        <w:r>
          <w:t>22</w:t>
        </w:r>
        <w:r>
          <w:fldChar w:fldCharType="end"/>
        </w:r>
      </w:hyperlink>
    </w:p>
    <w:p>
      <w:pPr>
        <w:pStyle w:val="TOC1"/>
        <w:tabs>
          <w:tab w:val="right" w:leader="dot" w:pos="8306"/>
        </w:tabs>
      </w:pPr>
      <w:hyperlink w:anchor="_Toc13559" w:history="1">
        <w:r>
          <w:rPr>
            <w:rFonts w:ascii="仿宋" w:eastAsia="仿宋" w:hAnsi="仿宋" w:cs="仿宋" w:hint="eastAsia"/>
            <w:lang w:eastAsia="zh-CN"/>
          </w:rPr>
          <w:t>七、下水道疏通清洗车项目创新与研发</w:t>
        </w:r>
        <w:r>
          <w:tab/>
        </w:r>
        <w:r>
          <w:fldChar w:fldCharType="begin"/>
        </w:r>
        <w:r>
          <w:instrText xml:space="preserve"> PAGEREF _Toc13559 \h </w:instrText>
        </w:r>
        <w:r>
          <w:fldChar w:fldCharType="separate"/>
        </w:r>
        <w:r>
          <w:t>23</w:t>
        </w:r>
        <w:r>
          <w:fldChar w:fldCharType="end"/>
        </w:r>
      </w:hyperlink>
    </w:p>
    <w:p>
      <w:pPr>
        <w:pStyle w:val="TOC2"/>
        <w:tabs>
          <w:tab w:val="right" w:leader="dot" w:pos="8306"/>
        </w:tabs>
      </w:pPr>
      <w:hyperlink w:anchor="_Toc9206" w:history="1">
        <w:r>
          <w:rPr>
            <w:rFonts w:ascii="仿宋" w:eastAsia="仿宋" w:hAnsi="仿宋" w:cs="仿宋" w:hint="eastAsia"/>
            <w:lang w:eastAsia="zh-CN"/>
          </w:rPr>
          <w:t>(一)、创新策略与方向</w:t>
        </w:r>
        <w:r>
          <w:tab/>
        </w:r>
        <w:r>
          <w:fldChar w:fldCharType="begin"/>
        </w:r>
        <w:r>
          <w:instrText xml:space="preserve"> PAGEREF _Toc9206 \h </w:instrText>
        </w:r>
        <w:r>
          <w:fldChar w:fldCharType="separate"/>
        </w:r>
        <w:r>
          <w:t>23</w:t>
        </w:r>
        <w:r>
          <w:fldChar w:fldCharType="end"/>
        </w:r>
      </w:hyperlink>
    </w:p>
    <w:p>
      <w:pPr>
        <w:pStyle w:val="TOC2"/>
        <w:tabs>
          <w:tab w:val="right" w:leader="dot" w:pos="8306"/>
        </w:tabs>
      </w:pPr>
      <w:hyperlink w:anchor="_Toc1012" w:history="1">
        <w:r>
          <w:rPr>
            <w:rFonts w:ascii="仿宋" w:eastAsia="仿宋" w:hAnsi="仿宋" w:cs="仿宋" w:hint="eastAsia"/>
            <w:lang w:eastAsia="zh-CN"/>
          </w:rPr>
          <w:t>(二)、研发规划与投入</w:t>
        </w:r>
        <w:r>
          <w:tab/>
        </w:r>
        <w:r>
          <w:fldChar w:fldCharType="begin"/>
        </w:r>
        <w:r>
          <w:instrText xml:space="preserve"> PAGEREF _Toc1012 \h </w:instrText>
        </w:r>
        <w:r>
          <w:fldChar w:fldCharType="separate"/>
        </w:r>
        <w:r>
          <w:t>24</w:t>
        </w:r>
        <w:r>
          <w:fldChar w:fldCharType="end"/>
        </w:r>
      </w:hyperlink>
    </w:p>
    <w:p>
      <w:pPr>
        <w:pStyle w:val="TOC1"/>
        <w:tabs>
          <w:tab w:val="right" w:leader="dot" w:pos="8306"/>
        </w:tabs>
      </w:pPr>
      <w:hyperlink w:anchor="_Toc25020" w:history="1">
        <w:r>
          <w:rPr>
            <w:rFonts w:ascii="仿宋" w:eastAsia="仿宋" w:hAnsi="仿宋" w:cs="仿宋" w:hint="eastAsia"/>
            <w:lang w:eastAsia="zh-CN"/>
          </w:rPr>
          <w:t>八、下水道疏通清洗车项目社会影响</w:t>
        </w:r>
        <w:r>
          <w:tab/>
        </w:r>
        <w:r>
          <w:fldChar w:fldCharType="begin"/>
        </w:r>
        <w:r>
          <w:instrText xml:space="preserve"> PAGEREF _Toc25020 \h </w:instrText>
        </w:r>
        <w:r>
          <w:fldChar w:fldCharType="separate"/>
        </w:r>
        <w:r>
          <w:t>26</w:t>
        </w:r>
        <w:r>
          <w:fldChar w:fldCharType="end"/>
        </w:r>
      </w:hyperlink>
    </w:p>
    <w:p>
      <w:pPr>
        <w:pStyle w:val="TOC2"/>
        <w:tabs>
          <w:tab w:val="right" w:leader="dot" w:pos="8306"/>
        </w:tabs>
      </w:pPr>
      <w:hyperlink w:anchor="_Toc266" w:history="1">
        <w:r>
          <w:rPr>
            <w:rFonts w:ascii="仿宋" w:eastAsia="仿宋" w:hAnsi="仿宋" w:cs="仿宋" w:hint="eastAsia"/>
            <w:lang w:eastAsia="zh-CN"/>
          </w:rPr>
          <w:t>(一)、社会责任与义务</w:t>
        </w:r>
        <w:r>
          <w:tab/>
        </w:r>
        <w:r>
          <w:fldChar w:fldCharType="begin"/>
        </w:r>
        <w:r>
          <w:instrText xml:space="preserve"> PAGEREF _Toc266 \h </w:instrText>
        </w:r>
        <w:r>
          <w:fldChar w:fldCharType="separate"/>
        </w:r>
        <w:r>
          <w:t>26</w:t>
        </w:r>
        <w:r>
          <w:fldChar w:fldCharType="end"/>
        </w:r>
      </w:hyperlink>
    </w:p>
    <w:p>
      <w:pPr>
        <w:pStyle w:val="TOC2"/>
        <w:tabs>
          <w:tab w:val="right" w:leader="dot" w:pos="8306"/>
        </w:tabs>
      </w:pPr>
      <w:hyperlink w:anchor="_Toc9056" w:history="1">
        <w:r>
          <w:rPr>
            <w:rFonts w:ascii="仿宋" w:eastAsia="仿宋" w:hAnsi="仿宋" w:cs="仿宋" w:hint="eastAsia"/>
            <w:lang w:eastAsia="zh-CN"/>
          </w:rPr>
          <w:t>(二)、社会参与与沟通</w:t>
        </w:r>
        <w:r>
          <w:tab/>
        </w:r>
        <w:r>
          <w:fldChar w:fldCharType="begin"/>
        </w:r>
        <w:r>
          <w:instrText xml:space="preserve"> PAGEREF _Toc9056 \h </w:instrText>
        </w:r>
        <w:r>
          <w:fldChar w:fldCharType="separate"/>
        </w:r>
        <w:r>
          <w:t>27</w:t>
        </w:r>
        <w:r>
          <w:fldChar w:fldCharType="end"/>
        </w:r>
      </w:hyperlink>
    </w:p>
    <w:p>
      <w:pPr>
        <w:pStyle w:val="TOC1"/>
        <w:tabs>
          <w:tab w:val="right" w:leader="dot" w:pos="8306"/>
        </w:tabs>
      </w:pPr>
      <w:hyperlink w:anchor="_Toc32009" w:history="1">
        <w:r>
          <w:rPr>
            <w:rFonts w:ascii="仿宋" w:eastAsia="仿宋" w:hAnsi="仿宋" w:cs="仿宋" w:hint="eastAsia"/>
            <w:lang w:eastAsia="zh-CN"/>
          </w:rPr>
          <w:t>九、下水道疏通清洗车项目经营效益</w:t>
        </w:r>
        <w:r>
          <w:tab/>
        </w:r>
        <w:r>
          <w:fldChar w:fldCharType="begin"/>
        </w:r>
        <w:r>
          <w:instrText xml:space="preserve"> PAGEREF _Toc32009 \h </w:instrText>
        </w:r>
        <w:r>
          <w:fldChar w:fldCharType="separate"/>
        </w:r>
        <w:r>
          <w:t>28</w:t>
        </w:r>
        <w:r>
          <w:fldChar w:fldCharType="end"/>
        </w:r>
      </w:hyperlink>
    </w:p>
    <w:p>
      <w:pPr>
        <w:pStyle w:val="TOC2"/>
        <w:tabs>
          <w:tab w:val="right" w:leader="dot" w:pos="8306"/>
        </w:tabs>
      </w:pPr>
      <w:hyperlink w:anchor="_Toc10684" w:history="1">
        <w:r>
          <w:rPr>
            <w:rFonts w:ascii="仿宋" w:eastAsia="仿宋" w:hAnsi="仿宋" w:cs="仿宋" w:hint="eastAsia"/>
            <w:lang w:eastAsia="zh-CN"/>
          </w:rPr>
          <w:t>(一)、经济评价财务测算</w:t>
        </w:r>
        <w:r>
          <w:tab/>
        </w:r>
        <w:r>
          <w:fldChar w:fldCharType="begin"/>
        </w:r>
        <w:r>
          <w:instrText xml:space="preserve"> PAGEREF _Toc10684 \h </w:instrText>
        </w:r>
        <w:r>
          <w:fldChar w:fldCharType="separate"/>
        </w:r>
        <w:r>
          <w:t>28</w:t>
        </w:r>
        <w:r>
          <w:fldChar w:fldCharType="end"/>
        </w:r>
      </w:hyperlink>
    </w:p>
    <w:p>
      <w:pPr>
        <w:pStyle w:val="TOC2"/>
        <w:tabs>
          <w:tab w:val="right" w:leader="dot" w:pos="8306"/>
        </w:tabs>
      </w:pPr>
      <w:hyperlink w:anchor="_Toc17289" w:history="1">
        <w:r>
          <w:rPr>
            <w:rFonts w:ascii="仿宋" w:eastAsia="仿宋" w:hAnsi="仿宋" w:cs="仿宋" w:hint="eastAsia"/>
            <w:lang w:eastAsia="zh-CN"/>
          </w:rPr>
          <w:t>(二)、下水道疏通清洗车项目盈利能力分析</w:t>
        </w:r>
        <w:r>
          <w:tab/>
        </w:r>
        <w:r>
          <w:fldChar w:fldCharType="begin"/>
        </w:r>
        <w:r>
          <w:instrText xml:space="preserve"> PAGEREF _Toc17289 \h </w:instrText>
        </w:r>
        <w:r>
          <w:fldChar w:fldCharType="separate"/>
        </w:r>
        <w:r>
          <w:t>29</w:t>
        </w:r>
        <w:r>
          <w:fldChar w:fldCharType="end"/>
        </w:r>
      </w:hyperlink>
    </w:p>
    <w:p>
      <w:pPr>
        <w:pStyle w:val="TOC1"/>
        <w:tabs>
          <w:tab w:val="right" w:leader="dot" w:pos="8306"/>
        </w:tabs>
      </w:pPr>
      <w:hyperlink w:anchor="_Toc28582" w:history="1">
        <w:r>
          <w:rPr>
            <w:rFonts w:ascii="仿宋" w:eastAsia="仿宋" w:hAnsi="仿宋" w:cs="仿宋" w:hint="eastAsia"/>
            <w:lang w:eastAsia="zh-CN"/>
          </w:rPr>
          <w:t>十、下水道疏通清洗车项目风险管理</w:t>
        </w:r>
        <w:r>
          <w:tab/>
        </w:r>
        <w:r>
          <w:fldChar w:fldCharType="begin"/>
        </w:r>
        <w:r>
          <w:instrText xml:space="preserve"> PAGEREF _Toc28582 \h </w:instrText>
        </w:r>
        <w:r>
          <w:fldChar w:fldCharType="separate"/>
        </w:r>
        <w:r>
          <w:t>30</w:t>
        </w:r>
        <w:r>
          <w:fldChar w:fldCharType="end"/>
        </w:r>
      </w:hyperlink>
    </w:p>
    <w:p>
      <w:pPr>
        <w:pStyle w:val="TOC2"/>
        <w:tabs>
          <w:tab w:val="right" w:leader="dot" w:pos="8306"/>
        </w:tabs>
      </w:pPr>
      <w:hyperlink w:anchor="_Toc13111" w:history="1">
        <w:r>
          <w:rPr>
            <w:rFonts w:ascii="仿宋" w:eastAsia="仿宋" w:hAnsi="仿宋" w:cs="仿宋" w:hint="eastAsia"/>
            <w:lang w:eastAsia="zh-CN"/>
          </w:rPr>
          <w:t>(一)、风险识别与评估</w:t>
        </w:r>
        <w:r>
          <w:tab/>
        </w:r>
        <w:r>
          <w:fldChar w:fldCharType="begin"/>
        </w:r>
        <w:r>
          <w:instrText xml:space="preserve"> PAGEREF _Toc13111 \h </w:instrText>
        </w:r>
        <w:r>
          <w:fldChar w:fldCharType="separate"/>
        </w:r>
        <w:r>
          <w:t>30</w:t>
        </w:r>
        <w:r>
          <w:fldChar w:fldCharType="end"/>
        </w:r>
      </w:hyperlink>
    </w:p>
    <w:p>
      <w:pPr>
        <w:pStyle w:val="TOC2"/>
        <w:tabs>
          <w:tab w:val="right" w:leader="dot" w:pos="8306"/>
        </w:tabs>
      </w:pPr>
      <w:hyperlink w:anchor="_Toc13176" w:history="1">
        <w:r>
          <w:rPr>
            <w:rFonts w:ascii="仿宋" w:eastAsia="仿宋" w:hAnsi="仿宋" w:cs="仿宋" w:hint="eastAsia"/>
            <w:lang w:eastAsia="zh-CN"/>
          </w:rPr>
          <w:t>(二)、风险应对策略</w:t>
        </w:r>
        <w:r>
          <w:tab/>
        </w:r>
        <w:r>
          <w:fldChar w:fldCharType="begin"/>
        </w:r>
        <w:r>
          <w:instrText xml:space="preserve"> PAGEREF _Toc13176 \h </w:instrText>
        </w:r>
        <w:r>
          <w:fldChar w:fldCharType="separate"/>
        </w:r>
        <w:r>
          <w:t>31</w:t>
        </w:r>
        <w:r>
          <w:fldChar w:fldCharType="end"/>
        </w:r>
      </w:hyperlink>
    </w:p>
    <w:p>
      <w:pPr>
        <w:pStyle w:val="TOC2"/>
        <w:tabs>
          <w:tab w:val="right" w:leader="dot" w:pos="8306"/>
        </w:tabs>
      </w:pPr>
      <w:hyperlink w:anchor="_Toc10693" w:history="1">
        <w:r>
          <w:rPr>
            <w:rFonts w:ascii="仿宋" w:eastAsia="仿宋" w:hAnsi="仿宋" w:cs="仿宋" w:hint="eastAsia"/>
            <w:lang w:eastAsia="zh-CN"/>
          </w:rPr>
          <w:t>(三)、风险监控与控制</w:t>
        </w:r>
        <w:r>
          <w:tab/>
        </w:r>
        <w:r>
          <w:fldChar w:fldCharType="begin"/>
        </w:r>
        <w:r>
          <w:instrText xml:space="preserve"> PAGEREF _Toc10693 \h </w:instrText>
        </w:r>
        <w:r>
          <w:fldChar w:fldCharType="separate"/>
        </w:r>
        <w:r>
          <w:t>33</w:t>
        </w:r>
        <w:r>
          <w:fldChar w:fldCharType="end"/>
        </w:r>
      </w:hyperlink>
    </w:p>
    <w:p>
      <w:pPr>
        <w:pStyle w:val="TOC1"/>
        <w:tabs>
          <w:tab w:val="right" w:leader="dot" w:pos="8306"/>
        </w:tabs>
      </w:pPr>
      <w:hyperlink w:anchor="_Toc6621" w:history="1">
        <w:r>
          <w:rPr>
            <w:rFonts w:ascii="仿宋" w:eastAsia="仿宋" w:hAnsi="仿宋" w:cs="仿宋" w:hint="eastAsia"/>
            <w:lang w:eastAsia="zh-CN"/>
          </w:rPr>
          <w:t>十一、下水道疏通清洗车项目投资规划</w:t>
        </w:r>
        <w:r>
          <w:tab/>
        </w:r>
        <w:r>
          <w:fldChar w:fldCharType="begin"/>
        </w:r>
        <w:r>
          <w:instrText xml:space="preserve"> PAGEREF _Toc6621 \h </w:instrText>
        </w:r>
        <w:r>
          <w:fldChar w:fldCharType="separate"/>
        </w:r>
        <w:r>
          <w:t>34</w:t>
        </w:r>
        <w:r>
          <w:fldChar w:fldCharType="end"/>
        </w:r>
      </w:hyperlink>
    </w:p>
    <w:p>
      <w:pPr>
        <w:pStyle w:val="TOC2"/>
        <w:tabs>
          <w:tab w:val="right" w:leader="dot" w:pos="8306"/>
        </w:tabs>
      </w:pPr>
      <w:hyperlink w:anchor="_Toc26632" w:history="1">
        <w:r>
          <w:rPr>
            <w:rFonts w:ascii="仿宋" w:eastAsia="仿宋" w:hAnsi="仿宋" w:cs="仿宋" w:hint="eastAsia"/>
            <w:lang w:eastAsia="zh-CN"/>
          </w:rPr>
          <w:t>(一)、下水道疏通清洗车项目总投资估算</w:t>
        </w:r>
        <w:r>
          <w:tab/>
        </w:r>
        <w:r>
          <w:fldChar w:fldCharType="begin"/>
        </w:r>
        <w:r>
          <w:instrText xml:space="preserve"> PAGEREF _Toc26632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34" w:history="1">
        <w:r>
          <w:rPr>
            <w:rFonts w:ascii="仿宋" w:eastAsia="仿宋" w:hAnsi="仿宋" w:cs="仿宋" w:hint="eastAsia"/>
            <w:lang w:eastAsia="zh-CN"/>
          </w:rPr>
          <w:t>(二)、资金筹措</w:t>
        </w:r>
        <w:r>
          <w:tab/>
        </w:r>
        <w:r>
          <w:fldChar w:fldCharType="begin"/>
        </w:r>
        <w:r>
          <w:instrText xml:space="preserve"> PAGEREF _Toc7134 \h </w:instrText>
        </w:r>
        <w:r>
          <w:fldChar w:fldCharType="separate"/>
        </w:r>
        <w:r>
          <w:t>35</w:t>
        </w:r>
        <w:r>
          <w:fldChar w:fldCharType="end"/>
        </w:r>
      </w:hyperlink>
    </w:p>
    <w:p>
      <w:pPr>
        <w:pStyle w:val="TOC1"/>
        <w:tabs>
          <w:tab w:val="right" w:leader="dot" w:pos="8306"/>
        </w:tabs>
      </w:pPr>
      <w:hyperlink w:anchor="_Toc30789" w:history="1">
        <w:r>
          <w:rPr>
            <w:rFonts w:ascii="仿宋" w:eastAsia="仿宋" w:hAnsi="仿宋" w:cs="仿宋" w:hint="eastAsia"/>
            <w:lang w:eastAsia="zh-CN"/>
          </w:rPr>
          <w:t>十二、下水道疏通清洗车项目人力资源管理</w:t>
        </w:r>
        <w:r>
          <w:tab/>
        </w:r>
        <w:r>
          <w:fldChar w:fldCharType="begin"/>
        </w:r>
        <w:r>
          <w:instrText xml:space="preserve"> PAGEREF _Toc30789 \h </w:instrText>
        </w:r>
        <w:r>
          <w:fldChar w:fldCharType="separate"/>
        </w:r>
        <w:r>
          <w:t>36</w:t>
        </w:r>
        <w:r>
          <w:fldChar w:fldCharType="end"/>
        </w:r>
      </w:hyperlink>
    </w:p>
    <w:p>
      <w:pPr>
        <w:pStyle w:val="TOC2"/>
        <w:tabs>
          <w:tab w:val="right" w:leader="dot" w:pos="8306"/>
        </w:tabs>
      </w:pPr>
      <w:hyperlink w:anchor="_Toc17033" w:history="1">
        <w:r>
          <w:rPr>
            <w:rFonts w:ascii="仿宋" w:eastAsia="仿宋" w:hAnsi="仿宋" w:cs="仿宋" w:hint="eastAsia"/>
            <w:lang w:eastAsia="zh-CN"/>
          </w:rPr>
          <w:t>(一)、建立健全的预算管理制度</w:t>
        </w:r>
        <w:r>
          <w:tab/>
        </w:r>
        <w:r>
          <w:fldChar w:fldCharType="begin"/>
        </w:r>
        <w:r>
          <w:instrText xml:space="preserve"> PAGEREF _Toc17033 \h </w:instrText>
        </w:r>
        <w:r>
          <w:fldChar w:fldCharType="separate"/>
        </w:r>
        <w:r>
          <w:t>36</w:t>
        </w:r>
        <w:r>
          <w:fldChar w:fldCharType="end"/>
        </w:r>
      </w:hyperlink>
    </w:p>
    <w:p>
      <w:pPr>
        <w:pStyle w:val="TOC2"/>
        <w:tabs>
          <w:tab w:val="right" w:leader="dot" w:pos="8306"/>
        </w:tabs>
      </w:pPr>
      <w:hyperlink w:anchor="_Toc12228" w:history="1">
        <w:r>
          <w:rPr>
            <w:rFonts w:ascii="仿宋" w:eastAsia="仿宋" w:hAnsi="仿宋" w:cs="仿宋" w:hint="eastAsia"/>
            <w:lang w:eastAsia="zh-CN"/>
          </w:rPr>
          <w:t>(二)、加强资金流动监控</w:t>
        </w:r>
        <w:r>
          <w:tab/>
        </w:r>
        <w:r>
          <w:fldChar w:fldCharType="begin"/>
        </w:r>
        <w:r>
          <w:instrText xml:space="preserve"> PAGEREF _Toc12228 \h </w:instrText>
        </w:r>
        <w:r>
          <w:fldChar w:fldCharType="separate"/>
        </w:r>
        <w:r>
          <w:t>38</w:t>
        </w:r>
        <w:r>
          <w:fldChar w:fldCharType="end"/>
        </w:r>
      </w:hyperlink>
    </w:p>
    <w:p>
      <w:pPr>
        <w:pStyle w:val="TOC2"/>
        <w:tabs>
          <w:tab w:val="right" w:leader="dot" w:pos="8306"/>
        </w:tabs>
      </w:pPr>
      <w:hyperlink w:anchor="_Toc1195" w:history="1">
        <w:r>
          <w:rPr>
            <w:rFonts w:ascii="仿宋" w:eastAsia="仿宋" w:hAnsi="仿宋" w:cs="仿宋" w:hint="eastAsia"/>
            <w:lang w:eastAsia="zh-CN"/>
          </w:rPr>
          <w:t>(三)、制定完善的风险控制机制</w:t>
        </w:r>
        <w:r>
          <w:tab/>
        </w:r>
        <w:r>
          <w:fldChar w:fldCharType="begin"/>
        </w:r>
        <w:r>
          <w:instrText xml:space="preserve"> PAGEREF _Toc1195 \h </w:instrText>
        </w:r>
        <w:r>
          <w:fldChar w:fldCharType="separate"/>
        </w:r>
        <w:r>
          <w:t>39</w:t>
        </w:r>
        <w:r>
          <w:fldChar w:fldCharType="end"/>
        </w:r>
      </w:hyperlink>
    </w:p>
    <w:p>
      <w:pPr>
        <w:pStyle w:val="TOC2"/>
        <w:tabs>
          <w:tab w:val="right" w:leader="dot" w:pos="8306"/>
        </w:tabs>
      </w:pPr>
      <w:hyperlink w:anchor="_Toc28192" w:history="1">
        <w:r>
          <w:rPr>
            <w:rFonts w:ascii="仿宋" w:eastAsia="仿宋" w:hAnsi="仿宋" w:cs="仿宋" w:hint="eastAsia"/>
            <w:lang w:eastAsia="zh-CN"/>
          </w:rPr>
          <w:t>(四)、优化成本管理</w:t>
        </w:r>
        <w:r>
          <w:tab/>
        </w:r>
        <w:r>
          <w:fldChar w:fldCharType="begin"/>
        </w:r>
        <w:r>
          <w:instrText xml:space="preserve"> PAGEREF _Toc28192 \h </w:instrText>
        </w:r>
        <w:r>
          <w:fldChar w:fldCharType="separate"/>
        </w:r>
        <w:r>
          <w:t>40</w:t>
        </w:r>
        <w:r>
          <w:fldChar w:fldCharType="end"/>
        </w:r>
      </w:hyperlink>
    </w:p>
    <w:p>
      <w:pPr>
        <w:pStyle w:val="TOC1"/>
        <w:tabs>
          <w:tab w:val="right" w:leader="dot" w:pos="8306"/>
        </w:tabs>
      </w:pPr>
      <w:hyperlink w:anchor="_Toc32622" w:history="1">
        <w:r>
          <w:rPr>
            <w:rFonts w:ascii="仿宋" w:eastAsia="仿宋" w:hAnsi="仿宋" w:cs="仿宋" w:hint="eastAsia"/>
            <w:lang w:eastAsia="zh-CN"/>
          </w:rPr>
          <w:t>十三、下水道疏通清洗车项目实施保障措施</w:t>
        </w:r>
        <w:r>
          <w:tab/>
        </w:r>
        <w:r>
          <w:fldChar w:fldCharType="begin"/>
        </w:r>
        <w:r>
          <w:instrText xml:space="preserve"> PAGEREF _Toc32622 \h </w:instrText>
        </w:r>
        <w:r>
          <w:fldChar w:fldCharType="separate"/>
        </w:r>
        <w:r>
          <w:t>42</w:t>
        </w:r>
        <w:r>
          <w:fldChar w:fldCharType="end"/>
        </w:r>
      </w:hyperlink>
    </w:p>
    <w:p>
      <w:pPr>
        <w:pStyle w:val="TOC2"/>
        <w:tabs>
          <w:tab w:val="right" w:leader="dot" w:pos="8306"/>
        </w:tabs>
      </w:pPr>
      <w:hyperlink w:anchor="_Toc4079" w:history="1">
        <w:r>
          <w:rPr>
            <w:rFonts w:ascii="仿宋" w:eastAsia="仿宋" w:hAnsi="仿宋" w:cs="仿宋" w:hint="eastAsia"/>
            <w:lang w:eastAsia="zh-CN"/>
          </w:rPr>
          <w:t>(一)、下水道疏通清洗车项目实施保障机制</w:t>
        </w:r>
        <w:r>
          <w:tab/>
        </w:r>
        <w:r>
          <w:fldChar w:fldCharType="begin"/>
        </w:r>
        <w:r>
          <w:instrText xml:space="preserve"> PAGEREF _Toc4079 \h </w:instrText>
        </w:r>
        <w:r>
          <w:fldChar w:fldCharType="separate"/>
        </w:r>
        <w:r>
          <w:t>42</w:t>
        </w:r>
        <w:r>
          <w:fldChar w:fldCharType="end"/>
        </w:r>
      </w:hyperlink>
    </w:p>
    <w:p>
      <w:pPr>
        <w:pStyle w:val="TOC2"/>
        <w:tabs>
          <w:tab w:val="right" w:leader="dot" w:pos="8306"/>
        </w:tabs>
      </w:pPr>
      <w:hyperlink w:anchor="_Toc18655" w:history="1">
        <w:r>
          <w:rPr>
            <w:rFonts w:ascii="仿宋" w:eastAsia="仿宋" w:hAnsi="仿宋" w:cs="仿宋" w:hint="eastAsia"/>
            <w:lang w:eastAsia="zh-CN"/>
          </w:rPr>
          <w:t>(二)、下水道疏通清洗车项目法律合规要求</w:t>
        </w:r>
        <w:r>
          <w:tab/>
        </w:r>
        <w:r>
          <w:fldChar w:fldCharType="begin"/>
        </w:r>
        <w:r>
          <w:instrText xml:space="preserve"> PAGEREF _Toc18655 \h </w:instrText>
        </w:r>
        <w:r>
          <w:fldChar w:fldCharType="separate"/>
        </w:r>
        <w:r>
          <w:t>46</w:t>
        </w:r>
        <w:r>
          <w:fldChar w:fldCharType="end"/>
        </w:r>
      </w:hyperlink>
    </w:p>
    <w:p>
      <w:pPr>
        <w:pStyle w:val="TOC2"/>
        <w:tabs>
          <w:tab w:val="right" w:leader="dot" w:pos="8306"/>
        </w:tabs>
      </w:pPr>
      <w:hyperlink w:anchor="_Toc30635" w:history="1">
        <w:r>
          <w:rPr>
            <w:rFonts w:ascii="仿宋" w:eastAsia="仿宋" w:hAnsi="仿宋" w:cs="仿宋" w:hint="eastAsia"/>
            <w:lang w:eastAsia="zh-CN"/>
          </w:rPr>
          <w:t>(三)、下水道疏通清洗车项目合同管理与法律事务</w:t>
        </w:r>
        <w:r>
          <w:tab/>
        </w:r>
        <w:r>
          <w:fldChar w:fldCharType="begin"/>
        </w:r>
        <w:r>
          <w:instrText xml:space="preserve"> PAGEREF _Toc30635 \h </w:instrText>
        </w:r>
        <w:r>
          <w:fldChar w:fldCharType="separate"/>
        </w:r>
        <w:r>
          <w:t>50</w:t>
        </w:r>
        <w:r>
          <w:fldChar w:fldCharType="end"/>
        </w:r>
      </w:hyperlink>
    </w:p>
    <w:p>
      <w:pPr>
        <w:pStyle w:val="TOC2"/>
        <w:tabs>
          <w:tab w:val="right" w:leader="dot" w:pos="8306"/>
        </w:tabs>
      </w:pPr>
      <w:hyperlink w:anchor="_Toc21411" w:history="1">
        <w:r>
          <w:rPr>
            <w:rFonts w:ascii="仿宋" w:eastAsia="仿宋" w:hAnsi="仿宋" w:cs="仿宋" w:hint="eastAsia"/>
            <w:lang w:eastAsia="zh-CN"/>
          </w:rPr>
          <w:t>(四)、下水道疏通清洗车项目知识产权保护策略</w:t>
        </w:r>
        <w:r>
          <w:tab/>
        </w:r>
        <w:r>
          <w:fldChar w:fldCharType="begin"/>
        </w:r>
        <w:r>
          <w:instrText xml:space="preserve"> PAGEREF _Toc21411 \h </w:instrText>
        </w:r>
        <w:r>
          <w:fldChar w:fldCharType="separate"/>
        </w:r>
        <w:r>
          <w:t>56</w:t>
        </w:r>
        <w:r>
          <w:fldChar w:fldCharType="end"/>
        </w:r>
      </w:hyperlink>
    </w:p>
    <w:p>
      <w:pPr>
        <w:pStyle w:val="TOC1"/>
        <w:tabs>
          <w:tab w:val="right" w:leader="dot" w:pos="8306"/>
        </w:tabs>
      </w:pPr>
      <w:hyperlink w:anchor="_Toc26386" w:history="1">
        <w:r>
          <w:rPr>
            <w:rFonts w:ascii="仿宋" w:eastAsia="仿宋" w:hAnsi="仿宋" w:cs="仿宋" w:hint="eastAsia"/>
            <w:lang w:eastAsia="zh-CN"/>
          </w:rPr>
          <w:t>十四、质量管理体系</w:t>
        </w:r>
        <w:r>
          <w:tab/>
        </w:r>
        <w:r>
          <w:fldChar w:fldCharType="begin"/>
        </w:r>
        <w:r>
          <w:instrText xml:space="preserve"> PAGEREF _Toc26386 \h </w:instrText>
        </w:r>
        <w:r>
          <w:fldChar w:fldCharType="separate"/>
        </w:r>
        <w:r>
          <w:t>59</w:t>
        </w:r>
        <w:r>
          <w:fldChar w:fldCharType="end"/>
        </w:r>
      </w:hyperlink>
    </w:p>
    <w:p>
      <w:pPr>
        <w:pStyle w:val="TOC2"/>
        <w:tabs>
          <w:tab w:val="right" w:leader="dot" w:pos="8306"/>
        </w:tabs>
      </w:pPr>
      <w:hyperlink w:anchor="_Toc21869" w:history="1">
        <w:r>
          <w:rPr>
            <w:rFonts w:ascii="仿宋" w:eastAsia="仿宋" w:hAnsi="仿宋" w:cs="仿宋" w:hint="eastAsia"/>
            <w:lang w:eastAsia="zh-CN"/>
          </w:rPr>
          <w:t>(一)、质量目标与方针</w:t>
        </w:r>
        <w:r>
          <w:tab/>
        </w:r>
        <w:r>
          <w:fldChar w:fldCharType="begin"/>
        </w:r>
        <w:r>
          <w:instrText xml:space="preserve"> PAGEREF _Toc21869 \h </w:instrText>
        </w:r>
        <w:r>
          <w:fldChar w:fldCharType="separate"/>
        </w:r>
        <w:r>
          <w:t>59</w:t>
        </w:r>
        <w:r>
          <w:fldChar w:fldCharType="end"/>
        </w:r>
      </w:hyperlink>
    </w:p>
    <w:p>
      <w:pPr>
        <w:pStyle w:val="TOC2"/>
        <w:tabs>
          <w:tab w:val="right" w:leader="dot" w:pos="8306"/>
        </w:tabs>
      </w:pPr>
      <w:hyperlink w:anchor="_Toc29780" w:history="1">
        <w:r>
          <w:rPr>
            <w:rFonts w:ascii="仿宋" w:eastAsia="仿宋" w:hAnsi="仿宋" w:cs="仿宋" w:hint="eastAsia"/>
            <w:lang w:eastAsia="zh-CN"/>
          </w:rPr>
          <w:t>(二)、质量管理责任</w:t>
        </w:r>
        <w:r>
          <w:tab/>
        </w:r>
        <w:r>
          <w:fldChar w:fldCharType="begin"/>
        </w:r>
        <w:r>
          <w:instrText xml:space="preserve"> PAGEREF _Toc29780 \h </w:instrText>
        </w:r>
        <w:r>
          <w:fldChar w:fldCharType="separate"/>
        </w:r>
        <w:r>
          <w:t>60</w:t>
        </w:r>
        <w:r>
          <w:fldChar w:fldCharType="end"/>
        </w:r>
      </w:hyperlink>
    </w:p>
    <w:p>
      <w:pPr>
        <w:pStyle w:val="TOC2"/>
        <w:tabs>
          <w:tab w:val="right" w:leader="dot" w:pos="8306"/>
        </w:tabs>
      </w:pPr>
      <w:hyperlink w:anchor="_Toc28136" w:history="1">
        <w:r>
          <w:rPr>
            <w:rFonts w:ascii="仿宋" w:eastAsia="仿宋" w:hAnsi="仿宋" w:cs="仿宋" w:hint="eastAsia"/>
            <w:lang w:eastAsia="zh-CN"/>
          </w:rPr>
          <w:t>(三)、质量管理体系文件</w:t>
        </w:r>
        <w:r>
          <w:tab/>
        </w:r>
        <w:r>
          <w:fldChar w:fldCharType="begin"/>
        </w:r>
        <w:r>
          <w:instrText xml:space="preserve"> PAGEREF _Toc28136 \h </w:instrText>
        </w:r>
        <w:r>
          <w:fldChar w:fldCharType="separate"/>
        </w:r>
        <w:r>
          <w:t>61</w:t>
        </w:r>
        <w:r>
          <w:fldChar w:fldCharType="end"/>
        </w:r>
      </w:hyperlink>
    </w:p>
    <w:p>
      <w:pPr>
        <w:pStyle w:val="TOC2"/>
        <w:tabs>
          <w:tab w:val="right" w:leader="dot" w:pos="8306"/>
        </w:tabs>
      </w:pPr>
      <w:hyperlink w:anchor="_Toc447" w:history="1">
        <w:r>
          <w:rPr>
            <w:rFonts w:ascii="仿宋" w:eastAsia="仿宋" w:hAnsi="仿宋" w:cs="仿宋" w:hint="eastAsia"/>
            <w:lang w:eastAsia="zh-CN"/>
          </w:rPr>
          <w:t>(四)、质量培训与教育</w:t>
        </w:r>
        <w:r>
          <w:tab/>
        </w:r>
        <w:r>
          <w:fldChar w:fldCharType="begin"/>
        </w:r>
        <w:r>
          <w:instrText xml:space="preserve"> PAGEREF _Toc447 \h </w:instrText>
        </w:r>
        <w:r>
          <w:fldChar w:fldCharType="separate"/>
        </w:r>
        <w:r>
          <w:t>64</w:t>
        </w:r>
        <w:r>
          <w:fldChar w:fldCharType="end"/>
        </w:r>
      </w:hyperlink>
    </w:p>
    <w:p>
      <w:pPr>
        <w:pStyle w:val="TOC2"/>
        <w:tabs>
          <w:tab w:val="right" w:leader="dot" w:pos="8306"/>
        </w:tabs>
      </w:pPr>
      <w:hyperlink w:anchor="_Toc31286" w:history="1">
        <w:r>
          <w:rPr>
            <w:rFonts w:ascii="仿宋" w:eastAsia="仿宋" w:hAnsi="仿宋" w:cs="仿宋" w:hint="eastAsia"/>
            <w:lang w:eastAsia="zh-CN"/>
          </w:rPr>
          <w:t>(五)、质量审核与评价</w:t>
        </w:r>
        <w:r>
          <w:tab/>
        </w:r>
        <w:r>
          <w:fldChar w:fldCharType="begin"/>
        </w:r>
        <w:r>
          <w:instrText xml:space="preserve"> PAGEREF _Toc31286 \h </w:instrText>
        </w:r>
        <w:r>
          <w:fldChar w:fldCharType="separate"/>
        </w:r>
        <w:r>
          <w:t>65</w:t>
        </w:r>
        <w:r>
          <w:fldChar w:fldCharType="end"/>
        </w:r>
      </w:hyperlink>
    </w:p>
    <w:p>
      <w:pPr>
        <w:pStyle w:val="TOC2"/>
        <w:tabs>
          <w:tab w:val="right" w:leader="dot" w:pos="8306"/>
        </w:tabs>
      </w:pPr>
      <w:hyperlink w:anchor="_Toc5070" w:history="1">
        <w:r>
          <w:rPr>
            <w:rFonts w:ascii="仿宋" w:eastAsia="仿宋" w:hAnsi="仿宋" w:cs="仿宋" w:hint="eastAsia"/>
            <w:lang w:eastAsia="zh-CN"/>
          </w:rPr>
          <w:t>(六)、不符合与纠正措施</w:t>
        </w:r>
        <w:r>
          <w:tab/>
        </w:r>
        <w:r>
          <w:fldChar w:fldCharType="begin"/>
        </w:r>
        <w:r>
          <w:instrText xml:space="preserve"> PAGEREF _Toc5070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339"/>
      <w:r>
        <w:rPr>
          <w:rFonts w:ascii="仿宋" w:eastAsia="仿宋" w:hAnsi="仿宋" w:cs="仿宋" w:hint="eastAsia"/>
          <w:sz w:val="28"/>
          <w:lang w:eastAsia="zh-CN"/>
        </w:rPr>
        <w:t>一、下水道疏通清洗车项目建设单位说明</w:t>
      </w:r>
      <w:bookmarkEnd w:id="2"/>
    </w:p>
    <w:p>
      <w:pPr>
        <w:pStyle w:val="Heading2"/>
        <w:rPr>
          <w:rFonts w:ascii="仿宋" w:eastAsia="仿宋" w:hAnsi="仿宋" w:cs="仿宋" w:hint="eastAsia"/>
          <w:lang w:eastAsia="zh-CN"/>
        </w:rPr>
      </w:pPr>
      <w:bookmarkStart w:id="3" w:name="_Toc12921"/>
      <w:r>
        <w:rPr>
          <w:rFonts w:ascii="仿宋" w:eastAsia="仿宋" w:hAnsi="仿宋" w:cs="仿宋" w:hint="eastAsia"/>
          <w:lang w:eastAsia="zh-CN"/>
        </w:rPr>
        <w:t>(一)、下水道疏通清洗车项目承办单位基本情况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21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下水道疏通清洗车项目承办单位的XXXX，我们着眼于实现可持续的经济效益。通过技术创新和解决方案的提供，公司预计在下水道疏通清洗车项目执行期间将获得可观的收入增长。这一收入来源主要包括下水道疏通清洗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同时，我们注重成本控制和效率提升，以确保下水道疏通清洗车项目的可持续盈利。透过精细的管理和资源优化，公司期望实现下水道疏通清洗车项目利润最大化。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下水道疏通清洗车项目实施进行全面的投资评估，包括下水道疏通清洗车项目启动阶段的资金投入和后续运营成本。通过对下水道疏通清洗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下水道疏通清洗车项目实施过程中具备足够的资金流动性，公司将进行详尽的现金流分析。这包括资金需求的合理预测、下水道疏通清洗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593"/>
      <w:r>
        <w:rPr>
          <w:rFonts w:ascii="仿宋" w:eastAsia="仿宋" w:hAnsi="仿宋" w:cs="仿宋" w:hint="eastAsia"/>
          <w:sz w:val="28"/>
          <w:lang w:eastAsia="zh-CN"/>
        </w:rPr>
        <w:t>二、下水道疏通清洗车项目危机管理</w:t>
      </w:r>
      <w:bookmarkEnd w:id="5"/>
    </w:p>
    <w:p>
      <w:pPr>
        <w:pStyle w:val="Heading2"/>
        <w:rPr>
          <w:rFonts w:ascii="仿宋" w:eastAsia="仿宋" w:hAnsi="仿宋" w:cs="仿宋" w:hint="eastAsia"/>
          <w:lang w:eastAsia="zh-CN"/>
        </w:rPr>
      </w:pPr>
      <w:bookmarkStart w:id="6" w:name="_Toc1862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下水道疏通清洗车项目危机管理中，危机预警与识别是确保下水道疏通清洗车项目稳健运行的核心步骤。通过建立全面的监测机制，下水道疏通清洗车项目团队旨在及时发现和理解潜在的风险和危机因素，以便采取及时的预防和应对措施，确保下水道疏通清洗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下水道疏通清洗车项目团队全面分析了整个下水道疏通清洗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下水道疏通清洗车项目团队着重于明确定义下水道疏通清洗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下水道疏通清洗车项目进展的持续监控，团队能够及时发现潜在问题并作出迅速反应。下水道疏通清洗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在这一阶段，团队的专业素养和反应速度将发挥至关重要的作用，以确保潜在危机能够在初期得到有效的处理，最大程度地减轻负面影响。通过危机预警与识别，下水道疏通清洗车项目得以更有序、可控地推进。</w:t>
      </w:r>
    </w:p>
    <w:p>
      <w:pPr>
        <w:pStyle w:val="Heading2"/>
        <w:ind w:firstLine="560" w:firstLineChars="200"/>
        <w:rPr>
          <w:rFonts w:ascii="仿宋" w:eastAsia="仿宋" w:hAnsi="仿宋" w:cs="仿宋" w:hint="eastAsia"/>
          <w:sz w:val="28"/>
          <w:lang w:eastAsia="zh-CN"/>
        </w:rPr>
      </w:pPr>
      <w:bookmarkStart w:id="7" w:name="_Toc3207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在危机发生时，下水道疏通清洗车项目团队立即行动，成立了应急小组。该小组的任务是迅速制定并实施紧急应对措施，以最小化潜在损失。以下是采取的主要措施：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暂停下水道疏通清洗车项目进度：为遏制危机蔓延，下水道疏通清洗车项目暂时停止进行，以便全面评估当前状况。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资源重新分配：重新评估下水道疏通清洗车项目资源的分配，确保最大限度地减小损失。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实时沟通：与关键利益相关者建立实时沟通机制，向他们传递下水道疏通清洗车项目危机的实际状况，保障下水道疏通清洗车项目核心利益。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在紧急应对的同时，下水道疏通清洗车项目团队强调了团队协作和有效沟通的重要性。以下是团队协作的关键举措：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信息共享机制：建立了信息共享平台，确保团队成员能够及时获取下水道疏通清洗车项目危机的实时信息。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领导者沟通：下水道疏通清洗车项目领导者通过定期会议和即时沟通工具，指导团队应对危机，保持团队稳定运行。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随着危机得到初步控制，下水道疏通清洗车项目团队转向制定恢复计划，以确保下水道疏通清洗车项目能够从中迅速恢复。主要恢复计划包括：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修复受损的进度计划：重新评估下水道疏通清洗车项目进度，制定修复计划，确保下水道疏通清洗车项目尽快回归正常进程。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重新调整资源分配：优化资源分配，确保下水道疏通清洗车项目在有限资源下高效运转。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风险管理机制加强：对下水道疏通清洗车项目风险进行全面评估，制定更强化的风险管理策略，以预防未来可能的危机。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993"/>
      <w:r>
        <w:rPr>
          <w:rFonts w:ascii="仿宋" w:eastAsia="仿宋" w:hAnsi="仿宋" w:cs="仿宋" w:hint="eastAsia"/>
          <w:sz w:val="28"/>
          <w:lang w:eastAsia="zh-CN"/>
        </w:rPr>
        <w:t>三、下水道疏通清洗车项目绩效评估</w:t>
      </w:r>
      <w:bookmarkEnd w:id="8"/>
    </w:p>
    <w:p>
      <w:pPr>
        <w:pStyle w:val="Heading2"/>
        <w:rPr>
          <w:rFonts w:ascii="仿宋" w:eastAsia="仿宋" w:hAnsi="仿宋" w:cs="仿宋" w:hint="eastAsia"/>
          <w:lang w:eastAsia="zh-CN"/>
        </w:rPr>
      </w:pPr>
      <w:bookmarkStart w:id="9" w:name="_Toc1988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下水道疏通清洗车项目中，我们设计了一套全面的绩效评估指标，以确保下水道疏通清洗车项目的可控和成功交付。这些指标跨足下水道疏通清洗车项目目标、成本、进度和质量等多个维度，为我们提供了全面洞察下水道疏通清洗车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目标达成率是我们关注的首要指标。我们设定了明确的目标，并通过定期监测和评估，迅速发现并应对潜在的目标偏差。这为下水道疏通清洗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成本绩效是另一个核心关注点。通过实际成本与预算成本的对比分析，我们深入了解成本差异的原因，及时调整资源分配，保持下水道疏通清洗车项目在经济效益方面的合理水平。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进度作为关键的绩效指标之一，得到了精心的关注。我们制定了详细的下水道疏通清洗车项目进度计划，并设立了进度符合度指标，确保实际进度与计划进度保持一致。这使我们能够快速发现和解决潜在的进度问题，保持下水道疏通清洗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下水道疏通清洗车项目绩效的不可或缺的一环。我们引入了一系列的质量标准和客户满意度指标，以确保下水道疏通清洗车项目交付的成果在质量上达到或超越预期水平。通过持续监测这些指标，我们努力提升下水道疏通清洗车项目整体质量水平，为下水道疏通清洗车项目的成功交付提供有力保障。通过这些科学且全面的绩效评估，我们能够更好地引导下水道疏通清洗车项目的持续改进，确保下水道疏通清洗车项目目标的顺利达成。</w:t>
      </w:r>
    </w:p>
    <w:p>
      <w:pPr>
        <w:pStyle w:val="Heading2"/>
        <w:ind w:firstLine="560" w:firstLineChars="200"/>
        <w:rPr>
          <w:rFonts w:ascii="仿宋" w:eastAsia="仿宋" w:hAnsi="仿宋" w:cs="仿宋" w:hint="eastAsia"/>
          <w:sz w:val="28"/>
          <w:lang w:eastAsia="zh-CN"/>
        </w:rPr>
      </w:pPr>
      <w:bookmarkStart w:id="10" w:name="_Toc483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绩效评估是下水道疏通清洗车项目中的关键环节，为确保下水道疏通清洗车项目达到预期目标，我们采用了多层次、多维度的绩效评估方法。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下水道疏通清洗车项目的战略目标对齐，确保每个决策和行动都与下水道疏通清洗车项目整体目标保持一致。团队会定期召开战略对齐会议，审视当前工作与下水道疏通清洗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下水道疏通清洗车项目进度、质量、成本和风险等方面。这些指标通过数据收集和分析，为下水道疏通清洗车项目管理团队提供了客观的评估依据。例如，我们通过下水道疏通清洗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下水道疏通清洗车项目内部，还考虑了下水道疏通清洗车项目对外部环境的影响。我们定期进行干系人满意度调查，以了解各利益相关方对下水道疏通清洗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这种多层次、多角度的绩效评估方法，使得我们能够全面了解下水道疏通清洗车项目的运行状态，及时做出调整，确保下水道疏通清洗车项目在不断变化的环境中保持稳健前行。</w:t>
      </w:r>
    </w:p>
    <w:p>
      <w:pPr>
        <w:pStyle w:val="Heading2"/>
        <w:ind w:firstLine="560" w:firstLineChars="200"/>
        <w:rPr>
          <w:rFonts w:ascii="仿宋" w:eastAsia="仿宋" w:hAnsi="仿宋" w:cs="仿宋" w:hint="eastAsia"/>
          <w:sz w:val="28"/>
          <w:lang w:eastAsia="zh-CN"/>
        </w:rPr>
      </w:pPr>
      <w:bookmarkStart w:id="11" w:name="_Toc2694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为了确保下水道疏通清洗车项目的有效管理和不断优化，我们采用了精心设计的绩效评估周期。这个周期旨在实现灵活、实时和全面的评估，以适应下水道疏通清洗车项目执行中的各种挑战。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下水道疏通清洗车项目的不同需求，分为短期、中期和长期。短期评估关注每个迭代或工作周期，以及时发现和解决当前任务中的问题。中期评估涵盖几个迭代，深入了解整体下水道疏通清洗车项目的趋势和性能。长期评估则着眼于整个下水道疏通清洗车项目阶段，确保下水道疏通清洗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下水道疏通清洗车项目管理工具和协作平台，团队成员能够随时更新和分享下水道疏通清洗车项目数据。这种实时性的反馈机制使我们能够及时察觉潜在问题，快速调整，保持下水道疏通清洗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下水道疏通清洗车项目的决策制定密不可分。每个周期的下水道疏通清洗车项目回顾会议成为集体总结经验、识别问题深层次原因并找到创新解决方案的平台。这种定期的反思与调整机制使下水道疏通清洗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89"/>
      <w:r>
        <w:rPr>
          <w:rFonts w:ascii="仿宋" w:eastAsia="仿宋" w:hAnsi="仿宋" w:cs="仿宋" w:hint="eastAsia"/>
          <w:sz w:val="28"/>
          <w:lang w:eastAsia="zh-CN"/>
        </w:rPr>
        <w:t>四、下水道疏通清洗车项目土建工程</w:t>
      </w:r>
      <w:bookmarkEnd w:id="12"/>
    </w:p>
    <w:p>
      <w:pPr>
        <w:pStyle w:val="Heading2"/>
        <w:rPr>
          <w:rFonts w:ascii="仿宋" w:eastAsia="仿宋" w:hAnsi="仿宋" w:cs="仿宋" w:hint="eastAsia"/>
          <w:lang w:eastAsia="zh-CN"/>
        </w:rPr>
      </w:pPr>
      <w:bookmarkStart w:id="13" w:name="_Toc2852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在下水道疏通清洗车项目的建筑工程设计中，我们将秉承一系列重要的设计原则，以确保下水道疏通清洗车项目建筑在功能、美观、可持续性等方面达到最佳效果。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首要原则是确保建筑的功能性得到最大化的发挥。我们将充分理解下水道疏通清洗车项目的实际需求，合理布局各个功能区域，保证建筑在满足业务需求的同时，提供高效的工作环境。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在建筑设计中，我们将综合考虑建设和运营成本。通过精细的经济效益分析，确保设计方案在高效利用资源的同时，对下水道疏通清洗车项目的长期盈利能力有积极的贡献。</w:t>
      </w:r>
    </w:p>
    <w:p>
      <w:pPr>
        <w:pStyle w:val="Heading2"/>
        <w:ind w:firstLine="560" w:firstLineChars="200"/>
        <w:rPr>
          <w:rFonts w:ascii="仿宋" w:eastAsia="仿宋" w:hAnsi="仿宋" w:cs="仿宋" w:hint="eastAsia"/>
          <w:sz w:val="28"/>
          <w:lang w:eastAsia="zh-CN"/>
        </w:rPr>
      </w:pPr>
      <w:bookmarkStart w:id="14" w:name="_Toc108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下水道疏通清洗车项目的土建工程设计中，我们将精准设定设计年限，结合下水道疏通清洗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下水道疏通清洗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01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下水道疏通清洗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下水道疏通清洗车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下水道疏通清洗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38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本期工程下水道疏通清洗车项目预计总建筑面积XXX平方米，其中：计容建筑面积XXX平方米，计划建筑工程投资XX万元，占下水道疏通清洗车项目总投资的XX%。</w:t>
      </w:r>
    </w:p>
    <w:p>
      <w:pPr>
        <w:pStyle w:val="Heading1"/>
        <w:ind w:firstLine="560" w:firstLineChars="200"/>
        <w:rPr>
          <w:rFonts w:ascii="仿宋" w:eastAsia="仿宋" w:hAnsi="仿宋" w:cs="仿宋" w:hint="eastAsia"/>
          <w:sz w:val="28"/>
          <w:lang w:eastAsia="zh-CN"/>
        </w:rPr>
      </w:pPr>
      <w:bookmarkStart w:id="17" w:name="_Toc765"/>
      <w:r>
        <w:rPr>
          <w:rFonts w:ascii="仿宋" w:eastAsia="仿宋" w:hAnsi="仿宋" w:cs="仿宋" w:hint="eastAsia"/>
          <w:sz w:val="28"/>
          <w:lang w:eastAsia="zh-CN"/>
        </w:rPr>
        <w:t>五、下水道疏通清洗车项目文档管理</w:t>
      </w:r>
      <w:bookmarkEnd w:id="17"/>
    </w:p>
    <w:p>
      <w:pPr>
        <w:pStyle w:val="Heading2"/>
        <w:rPr>
          <w:rFonts w:ascii="仿宋" w:eastAsia="仿宋" w:hAnsi="仿宋" w:cs="仿宋" w:hint="eastAsia"/>
          <w:lang w:eastAsia="zh-CN"/>
        </w:rPr>
      </w:pPr>
      <w:bookmarkStart w:id="18" w:name="_Toc2159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下水道疏通清洗车项目高度重视文档的质量和准确性，以支持下水道疏通清洗车项目的各项活动和决策。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文档的编制始于下水道疏通清洗车项目计划的初期，我们制定了详细的文档编制计划，明确了每个文档的内容、格式和编写责任人。在下水道疏通清洗车项目启动阶段，我们首先编制了下水道疏通清洗车项目章程，明确定义了下水道疏通清洗车项目的目标、范围、风险等关键要素。随后，下水道疏通清洗车项目团队根据计划陆续编制了需求文档、设计文档、测试文档等各类文档，确保下水道疏通清洗车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下水道疏通清洗车项目管理中的重要环节，旨在确保下水道疏通清洗车项目文档符合质量标准和下水道疏通清洗车项目需求。在下水道疏通清洗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下水道疏通清洗车项目相关利益方和专业领域的专家对文档进行独立审查。这有助于获取更全面、客观的反馈，确保下水道疏通清洗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在文档编制与审查方面建立了严格的管理机制，通过规范的流程和多维度的审查，确保下水道疏通清洗车项目文档的质量、准确性和可靠性，为下水道疏通清洗车项目的顺利推进提供了有力支持。</w:t>
      </w:r>
    </w:p>
    <w:p>
      <w:pPr>
        <w:pStyle w:val="Heading2"/>
        <w:ind w:firstLine="560" w:firstLineChars="200"/>
        <w:rPr>
          <w:rFonts w:ascii="仿宋" w:eastAsia="仿宋" w:hAnsi="仿宋" w:cs="仿宋" w:hint="eastAsia"/>
          <w:sz w:val="28"/>
          <w:lang w:eastAsia="zh-CN"/>
        </w:rPr>
      </w:pPr>
      <w:bookmarkStart w:id="19" w:name="_Toc1360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在下水道疏通清洗车项目中，我们致力于优化文档发布与分发过程，以确保信息的高效传递和团队间协作的顺畅进行。以下是我们采取的关键优化策略：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我们通过多渠道发布文档，包括电子邮件、下水道疏通清洗车项目管理平台、内部网站等，以满足不同团队成员的偏好和需求。多渠道发布确保了信息的全面覆盖。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我们采用了精细的权限控制，确保只有授权人员可以访问敏感信息。这种安全措施保护了下水道疏通清洗车项目文档的机密性，防止了未经授权的信息泄露。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0794"/>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下水道疏通清洗车项目生命周期中一个至关重要的环节，直接关系到下水道疏通清洗车项目信息的长期保存和历史记录的完整性。在下水道疏通清洗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https://d.book118.com/686023002011010035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A63073"/>
    <w:rsid w:val="24A630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02300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2024-01-16T21:18:00Z</dcterms:created>
  <dcterms:modified xsi:type="dcterms:W3CDTF">2024-01-16T21:19:00Z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856D356FF5C44A5E8A54DAC6D5DD12A7_11</vt:lpwstr>
  </property>
  <property fmtid="{D5CDD505-2E9C-101B-9397-08002B2CF9AE}" pid="3" name="KSOProductBuildVer">
    <vt:lpwstr>2052-12.1.0.16120</vt:lpwstr>
  </property>
</Properties>
</file>