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汽车后视镜竞争策略分析报告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4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val="en-GB"/>
          </w:rPr>
          <w:t>一、汽车后视镜危机管理与应对策略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val="en-GB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val="en-GB"/>
          </w:rPr>
          <w:t>(十)、汽车后视镜行业竞争者识别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val="en-GB"/>
          </w:rPr>
          <w:t>四、汽车后视镜行业发展现状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val="en-GB"/>
          </w:rPr>
          <w:t>(一)、汽车后视镜行业整体概况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2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_Toc18322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4" w:history="1">
        <w:r>
          <w:rPr>
            <w:rFonts w:ascii="仿宋" w:eastAsia="仿宋" w:hAnsi="仿宋" w:cs="仿宋" w:hint="eastAsia"/>
            <w:lang w:val="en-GB"/>
          </w:rPr>
          <w:t>五、公司简介</w:t>
        </w:r>
        <w:r>
          <w:tab/>
        </w:r>
        <w:r>
          <w:fldChar w:fldCharType="begin"/>
        </w:r>
        <w:r>
          <w:instrText xml:space="preserve"> PAGEREF _Toc20304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8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_Toc24828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val="en-GB"/>
          </w:rPr>
          <w:t>六、汽车后视镜定价策略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8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6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_Toc27446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val="en-GB"/>
          </w:rPr>
          <w:t>七、技术与生产管理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val="en-GB"/>
          </w:rPr>
          <w:t>八、汽车后视镜行业竞争对选址的影响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02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val="en-GB"/>
          </w:rPr>
          <w:t>九、汽车后视镜新型运营方式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9" w:history="1">
        <w:r>
          <w:rPr>
            <w:rFonts w:ascii="仿宋" w:eastAsia="仿宋" w:hAnsi="仿宋" w:cs="仿宋" w:hint="eastAsia"/>
            <w:lang w:val="en-GB"/>
          </w:rPr>
          <w:t>十、汽车后视镜消费者市场分析</w:t>
        </w:r>
        <w:r>
          <w:tab/>
        </w:r>
        <w:r>
          <w:fldChar w:fldCharType="begin"/>
        </w:r>
        <w:r>
          <w:instrText xml:space="preserve"> PAGEREF _Toc9929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val="en-GB"/>
          </w:rPr>
          <w:t>十一、汽车后视镜人才战略与团队建设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val="en-GB"/>
          </w:rPr>
          <w:t>十二、汽车后视镜风险管理与合规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7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_Toc19757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val="en-GB"/>
          </w:rPr>
          <w:t>十三、汽车后视镜行业高质量发展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val="en-GB"/>
          </w:rPr>
          <w:t>十四、汽车后视镜可持续发展战略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8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_Toc20648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4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374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汽车后视镜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8827"/>
      <w:r>
        <w:rPr>
          <w:rFonts w:ascii="仿宋" w:eastAsia="仿宋" w:hAnsi="仿宋" w:cs="仿宋" w:hint="eastAsia"/>
          <w:sz w:val="28"/>
          <w:lang w:val="en-GB"/>
        </w:rPr>
        <w:t>一、汽车后视镜危机管理与应对策略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7845"/>
      <w:r>
        <w:rPr>
          <w:rFonts w:ascii="仿宋" w:eastAsia="仿宋" w:hAnsi="仿宋" w:cs="仿宋" w:hint="eastAsia"/>
          <w:lang w:val="en-GB"/>
        </w:rPr>
        <w:t>(一)、危机预警与应急计划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一、危机预警与监测体系的建立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应对复杂多变的商业环境，公司决定构建一套健全且高效的危机预警体系。此体系不仅将实时监测市场动态，还将深入分析经济环境和政策变化等多个层面，旨在及时发现并应对可能对公司经营产生负面影响的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测方面，公司将充分利用现代信息技术和数据分析工具，通过社交媒体分析、消费者调查以及竞争对手行为追踪等手段，全面把握市场脉搏。此外，公司还将密切关注国内外经济趋势、汇率波动等宏观经济因素，以及与公司业务相关的政策法规变化，确保公司经营策略与外部环境的动态变化保持同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实现这一目标，公司将建立一支专业的危机预警团队，负责数据的收集、整理和分析工作。该团队将与公司的其他部门紧密合作，确保信息的及时传递和有效应用。同时，公司将定期对预警系统进行评估和优化，以提高其准确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二、应急计划的制定与执行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在危机预警体系的基础上，公司决定制定一套详尽的应急计划。该计划将明确各部门的职责和应对步骤，确保在危机爆发时能够迅速做出反应，最大限度地减少损失。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应急计划将根据不同类型的危机制定相应的应对策略。例如，在面对市场竞争压力时，公司将调整营销策略，加大产品创新力度；在遭遇自然灾害等不可抗力因素时，公司将启动业务连续性计划，确保公司运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应急计划的有效执行，公司将定期组织模拟演练和培训活动，提高员工的危机意识和应对能力。同时，公司将建立应急指挥中心，负责在危机发生时统一协调各部门的行动和资源，确保公司的快速响应和高效处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2154"/>
      <w:r>
        <w:rPr>
          <w:rFonts w:ascii="仿宋" w:eastAsia="仿宋" w:hAnsi="仿宋" w:cs="仿宋" w:hint="eastAsia"/>
          <w:sz w:val="28"/>
          <w:lang w:val="en-GB"/>
        </w:rPr>
        <w:t>(二)、公关与危机沟通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公关策略方面，公司将建立专业的公关团队，由资深公关专业人士组成。该团队将负责制定和执行全面的公关策略，包括品牌推广、形象建设、社会责任传播等方面。通过与媒体建立紧密的关系，公司将确保信息的及时传播和准确传递。在公关活动中，公司将强调透明度和真实性，确保公众对公司的认知是真实、全面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危机沟通团队的建立与培训是公司危机管理的重要组成部分。该团队将由危机管理专业人士、法务团队、高管层成员等组成。他们将负责在危机发生时的信息发布、危机应对策略的制定和执行。团队成员将接受定期的危机沟通培训，提高其在紧急情况下的应变能力和沟通技巧。培训内容将涵盖公关原则、媒体交往、社交媒体管理等多个方面，以确保团队在危机时能够迅速而有效地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社交媒体管理与舆情监测是公司危机沟通的重要环节。公司将加强对社交媒体的管理，建立完善的社交媒体监测系统。通过对各类社交媒体平台的实时监控，公司将及时了解公众对公司的关切点、舆论走向。在危机时，公司将积极参与社交媒体的互动，通过积极回应、解释公司立场等方式，引导舆论走向。同时，公司将保持高度警惕，及时发现和应对社交媒体上的谣言和负面信息，以避免信息传播的不当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关系维护与合作伙伴关系建设是公司危机管理的基石。公司将注重与各利益相关方的关系维护和合作伙伴关系建设。通过定期的交流活动、企业社会责任汽车后视镜项目的推动等方式，公司将增进与员工、客户、供应商、投资者等各方的良好关系。在危机时，公司将充分发挥各方关系的积极作用，争取更多理解和支持。与关键合作伙伴之间，公司将建立长期稳定的合作机制，共同应对危机，形成危机共建共享的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形象修复与长期声誉管理是公司在危机后重要的工作。公司将根据危机的具体情况，制定相应的形象修复策略。通过开展品牌形象宣传、产品升级、社会公益活动等多种手段，公司将努力恢复公众对其的信任。长期声誉管理方面，公司将不仅仅在危机时关注形象维护，而是通过日常经营和企业社会责任的全面推动，树立积极向上的企业形象，增强公众对公司的好感度和认同感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4177"/>
      <w:r>
        <w:rPr>
          <w:rFonts w:ascii="仿宋" w:eastAsia="仿宋" w:hAnsi="仿宋" w:cs="仿宋" w:hint="eastAsia"/>
          <w:sz w:val="28"/>
          <w:lang w:val="en-GB"/>
        </w:rPr>
        <w:t>(三)、媒体关系与舆情管理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媒体关系建设：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积极构建与各类媒体的良好关系。这包括与新闻机构、汽车后视镜行业媒体、社交媒体等多个媒体渠道的沟通与合作。建立定期的媒体沟通渠道，向媒体提供及时准确的企业信息，展示公司的发展成就和社会责任履行，以确保对外信息传递的一致性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舆情监测与分析：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全面的舆情监测系统，跟踪主流媒体、社交媒体和专业论坛等多个平台的舆情信息。通过先进的舆情分析工具，实时监测与公司相关的正面和负面舆情，深度分析舆情数据，及时了解公众关注点，为公司决策提供科学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危机舆情处理：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健全的危机舆情处理机制，包括危机应对预案、危机沟通团队等。在危机事件发生时，公司将迅速做出反应，通过透明的信息发布、迅速的问题解决和积极的危机沟通，及时平息不良舆情，保护企业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定期发布信息：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https://d.book118.com/686024022221010040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汽车后视镜竞争策略分析报告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563E5D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6563E5D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602402222101004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2024-01-08T21:11:00Z</dcterms:created>
  <dcterms:modified xsi:type="dcterms:W3CDTF">2024-01-08T21:11:52Z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C61EA395ABCC4B9AB12F8B93D504D0DA_11</vt:lpwstr>
  </property>
  <property fmtid="{D5CDD505-2E9C-101B-9397-08002B2CF9AE}" pid="3" name="KSOProductBuildVer">
    <vt:lpwstr>2052-12.1.0.16120</vt:lpwstr>
  </property>
</Properties>
</file>