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压缩式城市垃圾收集车项目规划设计纲要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181" w:history="1">
        <w:r>
          <w:rPr>
            <w:rFonts w:ascii="仿宋" w:eastAsia="仿宋" w:hAnsi="仿宋" w:cs="仿宋" w:hint="eastAsia"/>
            <w:lang w:eastAsia="zh-CN"/>
          </w:rPr>
          <w:t>概论</w:t>
        </w:r>
        <w:r>
          <w:tab/>
        </w:r>
        <w:r>
          <w:fldChar w:fldCharType="begin"/>
        </w:r>
        <w:r>
          <w:instrText xml:space="preserve"> PAGEREF _Toc18181 \h </w:instrText>
        </w:r>
        <w:r>
          <w:fldChar w:fldCharType="separate"/>
        </w:r>
        <w:r>
          <w:t>3</w:t>
        </w:r>
        <w:r>
          <w:fldChar w:fldCharType="end"/>
        </w:r>
      </w:hyperlink>
    </w:p>
    <w:p>
      <w:pPr>
        <w:pStyle w:val="TOC1"/>
        <w:tabs>
          <w:tab w:val="right" w:leader="dot" w:pos="8306"/>
        </w:tabs>
      </w:pPr>
      <w:hyperlink w:anchor="_Toc14076" w:history="1">
        <w:r>
          <w:rPr>
            <w:rFonts w:ascii="仿宋" w:eastAsia="仿宋" w:hAnsi="仿宋" w:cs="仿宋" w:hint="eastAsia"/>
            <w:lang w:eastAsia="zh-CN"/>
          </w:rPr>
          <w:t>一、压缩式城市垃圾收集车项目绩效评估</w:t>
        </w:r>
        <w:r>
          <w:tab/>
        </w:r>
        <w:r>
          <w:fldChar w:fldCharType="begin"/>
        </w:r>
        <w:r>
          <w:instrText xml:space="preserve"> PAGEREF _Toc14076 \h </w:instrText>
        </w:r>
        <w:r>
          <w:fldChar w:fldCharType="separate"/>
        </w:r>
        <w:r>
          <w:t>3</w:t>
        </w:r>
        <w:r>
          <w:fldChar w:fldCharType="end"/>
        </w:r>
      </w:hyperlink>
    </w:p>
    <w:p>
      <w:pPr>
        <w:pStyle w:val="TOC2"/>
        <w:tabs>
          <w:tab w:val="right" w:leader="dot" w:pos="8306"/>
        </w:tabs>
      </w:pPr>
      <w:hyperlink w:anchor="_Toc31479" w:history="1">
        <w:r>
          <w:rPr>
            <w:rFonts w:ascii="仿宋" w:eastAsia="仿宋" w:hAnsi="仿宋" w:cs="仿宋" w:hint="eastAsia"/>
            <w:lang w:eastAsia="zh-CN"/>
          </w:rPr>
          <w:t>(一)、绩效评估指标</w:t>
        </w:r>
        <w:r>
          <w:tab/>
        </w:r>
        <w:r>
          <w:fldChar w:fldCharType="begin"/>
        </w:r>
        <w:r>
          <w:instrText xml:space="preserve"> PAGEREF _Toc31479 \h </w:instrText>
        </w:r>
        <w:r>
          <w:fldChar w:fldCharType="separate"/>
        </w:r>
        <w:r>
          <w:t>3</w:t>
        </w:r>
        <w:r>
          <w:fldChar w:fldCharType="end"/>
        </w:r>
      </w:hyperlink>
    </w:p>
    <w:p>
      <w:pPr>
        <w:pStyle w:val="TOC2"/>
        <w:tabs>
          <w:tab w:val="right" w:leader="dot" w:pos="8306"/>
        </w:tabs>
      </w:pPr>
      <w:hyperlink w:anchor="_Toc18839" w:history="1">
        <w:r>
          <w:rPr>
            <w:rFonts w:ascii="仿宋" w:eastAsia="仿宋" w:hAnsi="仿宋" w:cs="仿宋" w:hint="eastAsia"/>
            <w:lang w:eastAsia="zh-CN"/>
          </w:rPr>
          <w:t>(二)、绩效评估方法</w:t>
        </w:r>
        <w:r>
          <w:tab/>
        </w:r>
        <w:r>
          <w:fldChar w:fldCharType="begin"/>
        </w:r>
        <w:r>
          <w:instrText xml:space="preserve"> PAGEREF _Toc18839 \h </w:instrText>
        </w:r>
        <w:r>
          <w:fldChar w:fldCharType="separate"/>
        </w:r>
        <w:r>
          <w:t>4</w:t>
        </w:r>
        <w:r>
          <w:fldChar w:fldCharType="end"/>
        </w:r>
      </w:hyperlink>
    </w:p>
    <w:p>
      <w:pPr>
        <w:pStyle w:val="TOC2"/>
        <w:tabs>
          <w:tab w:val="right" w:leader="dot" w:pos="8306"/>
        </w:tabs>
      </w:pPr>
      <w:hyperlink w:anchor="_Toc19316" w:history="1">
        <w:r>
          <w:rPr>
            <w:rFonts w:ascii="仿宋" w:eastAsia="仿宋" w:hAnsi="仿宋" w:cs="仿宋" w:hint="eastAsia"/>
            <w:lang w:eastAsia="zh-CN"/>
          </w:rPr>
          <w:t>(三)、绩效评估周期</w:t>
        </w:r>
        <w:r>
          <w:tab/>
        </w:r>
        <w:r>
          <w:fldChar w:fldCharType="begin"/>
        </w:r>
        <w:r>
          <w:instrText xml:space="preserve"> PAGEREF _Toc19316 \h </w:instrText>
        </w:r>
        <w:r>
          <w:fldChar w:fldCharType="separate"/>
        </w:r>
        <w:r>
          <w:t>5</w:t>
        </w:r>
        <w:r>
          <w:fldChar w:fldCharType="end"/>
        </w:r>
      </w:hyperlink>
    </w:p>
    <w:p>
      <w:pPr>
        <w:pStyle w:val="TOC1"/>
        <w:tabs>
          <w:tab w:val="right" w:leader="dot" w:pos="8306"/>
        </w:tabs>
      </w:pPr>
      <w:hyperlink w:anchor="_Toc1105" w:history="1">
        <w:r>
          <w:rPr>
            <w:rFonts w:ascii="仿宋" w:eastAsia="仿宋" w:hAnsi="仿宋" w:cs="仿宋" w:hint="eastAsia"/>
            <w:lang w:eastAsia="zh-CN"/>
          </w:rPr>
          <w:t>二、压缩式城市垃圾收集车项目危机管理</w:t>
        </w:r>
        <w:r>
          <w:tab/>
        </w:r>
        <w:r>
          <w:fldChar w:fldCharType="begin"/>
        </w:r>
        <w:r>
          <w:instrText xml:space="preserve"> PAGEREF _Toc1105 \h </w:instrText>
        </w:r>
        <w:r>
          <w:fldChar w:fldCharType="separate"/>
        </w:r>
        <w:r>
          <w:t>6</w:t>
        </w:r>
        <w:r>
          <w:fldChar w:fldCharType="end"/>
        </w:r>
      </w:hyperlink>
    </w:p>
    <w:p>
      <w:pPr>
        <w:pStyle w:val="TOC2"/>
        <w:tabs>
          <w:tab w:val="right" w:leader="dot" w:pos="8306"/>
        </w:tabs>
      </w:pPr>
      <w:hyperlink w:anchor="_Toc18252" w:history="1">
        <w:r>
          <w:rPr>
            <w:rFonts w:ascii="仿宋" w:eastAsia="仿宋" w:hAnsi="仿宋" w:cs="仿宋" w:hint="eastAsia"/>
            <w:lang w:eastAsia="zh-CN"/>
          </w:rPr>
          <w:t>(一)、危机预警与识别</w:t>
        </w:r>
        <w:r>
          <w:tab/>
        </w:r>
        <w:r>
          <w:fldChar w:fldCharType="begin"/>
        </w:r>
        <w:r>
          <w:instrText xml:space="preserve"> PAGEREF _Toc18252 \h </w:instrText>
        </w:r>
        <w:r>
          <w:fldChar w:fldCharType="separate"/>
        </w:r>
        <w:r>
          <w:t>6</w:t>
        </w:r>
        <w:r>
          <w:fldChar w:fldCharType="end"/>
        </w:r>
      </w:hyperlink>
    </w:p>
    <w:p>
      <w:pPr>
        <w:pStyle w:val="TOC2"/>
        <w:tabs>
          <w:tab w:val="right" w:leader="dot" w:pos="8306"/>
        </w:tabs>
      </w:pPr>
      <w:hyperlink w:anchor="_Toc31452" w:history="1">
        <w:r>
          <w:rPr>
            <w:rFonts w:ascii="仿宋" w:eastAsia="仿宋" w:hAnsi="仿宋" w:cs="仿宋" w:hint="eastAsia"/>
            <w:lang w:eastAsia="zh-CN"/>
          </w:rPr>
          <w:t>(二)、危机应对与恢复</w:t>
        </w:r>
        <w:r>
          <w:tab/>
        </w:r>
        <w:r>
          <w:fldChar w:fldCharType="begin"/>
        </w:r>
        <w:r>
          <w:instrText xml:space="preserve"> PAGEREF _Toc31452 \h </w:instrText>
        </w:r>
        <w:r>
          <w:fldChar w:fldCharType="separate"/>
        </w:r>
        <w:r>
          <w:t>7</w:t>
        </w:r>
        <w:r>
          <w:fldChar w:fldCharType="end"/>
        </w:r>
      </w:hyperlink>
    </w:p>
    <w:p>
      <w:pPr>
        <w:pStyle w:val="TOC1"/>
        <w:tabs>
          <w:tab w:val="right" w:leader="dot" w:pos="8306"/>
        </w:tabs>
      </w:pPr>
      <w:hyperlink w:anchor="_Toc23319" w:history="1">
        <w:r>
          <w:rPr>
            <w:rFonts w:ascii="仿宋" w:eastAsia="仿宋" w:hAnsi="仿宋" w:cs="仿宋" w:hint="eastAsia"/>
            <w:lang w:eastAsia="zh-CN"/>
          </w:rPr>
          <w:t>三、工艺说明</w:t>
        </w:r>
        <w:r>
          <w:tab/>
        </w:r>
        <w:r>
          <w:fldChar w:fldCharType="begin"/>
        </w:r>
        <w:r>
          <w:instrText xml:space="preserve"> PAGEREF _Toc23319 \h </w:instrText>
        </w:r>
        <w:r>
          <w:fldChar w:fldCharType="separate"/>
        </w:r>
        <w:r>
          <w:t>9</w:t>
        </w:r>
        <w:r>
          <w:fldChar w:fldCharType="end"/>
        </w:r>
      </w:hyperlink>
    </w:p>
    <w:p>
      <w:pPr>
        <w:pStyle w:val="TOC2"/>
        <w:tabs>
          <w:tab w:val="right" w:leader="dot" w:pos="8306"/>
        </w:tabs>
      </w:pPr>
      <w:hyperlink w:anchor="_Toc14417" w:history="1">
        <w:r>
          <w:rPr>
            <w:rFonts w:ascii="仿宋" w:eastAsia="仿宋" w:hAnsi="仿宋" w:cs="仿宋" w:hint="eastAsia"/>
            <w:lang w:eastAsia="zh-CN"/>
          </w:rPr>
          <w:t>(一)、技术管理特点</w:t>
        </w:r>
        <w:r>
          <w:tab/>
        </w:r>
        <w:r>
          <w:fldChar w:fldCharType="begin"/>
        </w:r>
        <w:r>
          <w:instrText xml:space="preserve"> PAGEREF _Toc14417 \h </w:instrText>
        </w:r>
        <w:r>
          <w:fldChar w:fldCharType="separate"/>
        </w:r>
        <w:r>
          <w:t>9</w:t>
        </w:r>
        <w:r>
          <w:fldChar w:fldCharType="end"/>
        </w:r>
      </w:hyperlink>
    </w:p>
    <w:p>
      <w:pPr>
        <w:pStyle w:val="TOC2"/>
        <w:tabs>
          <w:tab w:val="right" w:leader="dot" w:pos="8306"/>
        </w:tabs>
      </w:pPr>
      <w:hyperlink w:anchor="_Toc6865" w:history="1">
        <w:r>
          <w:rPr>
            <w:rFonts w:ascii="仿宋" w:eastAsia="仿宋" w:hAnsi="仿宋" w:cs="仿宋" w:hint="eastAsia"/>
            <w:lang w:eastAsia="zh-CN"/>
          </w:rPr>
          <w:t>(二)、压缩式城市垃圾收集车项目工艺技术设计方案</w:t>
        </w:r>
        <w:r>
          <w:tab/>
        </w:r>
        <w:r>
          <w:fldChar w:fldCharType="begin"/>
        </w:r>
        <w:r>
          <w:instrText xml:space="preserve"> PAGEREF _Toc6865 \h </w:instrText>
        </w:r>
        <w:r>
          <w:fldChar w:fldCharType="separate"/>
        </w:r>
        <w:r>
          <w:t>10</w:t>
        </w:r>
        <w:r>
          <w:fldChar w:fldCharType="end"/>
        </w:r>
      </w:hyperlink>
    </w:p>
    <w:p>
      <w:pPr>
        <w:pStyle w:val="TOC2"/>
        <w:tabs>
          <w:tab w:val="right" w:leader="dot" w:pos="8306"/>
        </w:tabs>
      </w:pPr>
      <w:hyperlink w:anchor="_Toc26879" w:history="1">
        <w:r>
          <w:rPr>
            <w:rFonts w:ascii="仿宋" w:eastAsia="仿宋" w:hAnsi="仿宋" w:cs="仿宋" w:hint="eastAsia"/>
            <w:lang w:eastAsia="zh-CN"/>
          </w:rPr>
          <w:t>(三)、设备选型方案</w:t>
        </w:r>
        <w:r>
          <w:tab/>
        </w:r>
        <w:r>
          <w:fldChar w:fldCharType="begin"/>
        </w:r>
        <w:r>
          <w:instrText xml:space="preserve"> PAGEREF _Toc26879 \h </w:instrText>
        </w:r>
        <w:r>
          <w:fldChar w:fldCharType="separate"/>
        </w:r>
        <w:r>
          <w:t>12</w:t>
        </w:r>
        <w:r>
          <w:fldChar w:fldCharType="end"/>
        </w:r>
      </w:hyperlink>
    </w:p>
    <w:p>
      <w:pPr>
        <w:pStyle w:val="TOC1"/>
        <w:tabs>
          <w:tab w:val="right" w:leader="dot" w:pos="8306"/>
        </w:tabs>
      </w:pPr>
      <w:hyperlink w:anchor="_Toc12506" w:history="1">
        <w:r>
          <w:rPr>
            <w:rFonts w:ascii="仿宋" w:eastAsia="仿宋" w:hAnsi="仿宋" w:cs="仿宋" w:hint="eastAsia"/>
            <w:lang w:eastAsia="zh-CN"/>
          </w:rPr>
          <w:t>四、压缩式城市垃圾收集车项目选址可行性分析</w:t>
        </w:r>
        <w:r>
          <w:tab/>
        </w:r>
        <w:r>
          <w:fldChar w:fldCharType="begin"/>
        </w:r>
        <w:r>
          <w:instrText xml:space="preserve"> PAGEREF _Toc12506 \h </w:instrText>
        </w:r>
        <w:r>
          <w:fldChar w:fldCharType="separate"/>
        </w:r>
        <w:r>
          <w:t>13</w:t>
        </w:r>
        <w:r>
          <w:fldChar w:fldCharType="end"/>
        </w:r>
      </w:hyperlink>
    </w:p>
    <w:p>
      <w:pPr>
        <w:pStyle w:val="TOC2"/>
        <w:tabs>
          <w:tab w:val="right" w:leader="dot" w:pos="8306"/>
        </w:tabs>
      </w:pPr>
      <w:hyperlink w:anchor="_Toc18375" w:history="1">
        <w:r>
          <w:rPr>
            <w:rFonts w:ascii="仿宋" w:eastAsia="仿宋" w:hAnsi="仿宋" w:cs="仿宋" w:hint="eastAsia"/>
            <w:lang w:eastAsia="zh-CN"/>
          </w:rPr>
          <w:t>(一)、压缩式城市垃圾收集车项目选址</w:t>
        </w:r>
        <w:r>
          <w:tab/>
        </w:r>
        <w:r>
          <w:fldChar w:fldCharType="begin"/>
        </w:r>
        <w:r>
          <w:instrText xml:space="preserve"> PAGEREF _Toc18375 \h </w:instrText>
        </w:r>
        <w:r>
          <w:fldChar w:fldCharType="separate"/>
        </w:r>
        <w:r>
          <w:t>13</w:t>
        </w:r>
        <w:r>
          <w:fldChar w:fldCharType="end"/>
        </w:r>
      </w:hyperlink>
    </w:p>
    <w:p>
      <w:pPr>
        <w:pStyle w:val="TOC2"/>
        <w:tabs>
          <w:tab w:val="right" w:leader="dot" w:pos="8306"/>
        </w:tabs>
      </w:pPr>
      <w:hyperlink w:anchor="_Toc26226" w:history="1">
        <w:r>
          <w:rPr>
            <w:rFonts w:ascii="仿宋" w:eastAsia="仿宋" w:hAnsi="仿宋" w:cs="仿宋" w:hint="eastAsia"/>
            <w:lang w:eastAsia="zh-CN"/>
          </w:rPr>
          <w:t>(二)、用地控制指标</w:t>
        </w:r>
        <w:r>
          <w:tab/>
        </w:r>
        <w:r>
          <w:fldChar w:fldCharType="begin"/>
        </w:r>
        <w:r>
          <w:instrText xml:space="preserve"> PAGEREF _Toc26226 \h </w:instrText>
        </w:r>
        <w:r>
          <w:fldChar w:fldCharType="separate"/>
        </w:r>
        <w:r>
          <w:t>13</w:t>
        </w:r>
        <w:r>
          <w:fldChar w:fldCharType="end"/>
        </w:r>
      </w:hyperlink>
    </w:p>
    <w:p>
      <w:pPr>
        <w:pStyle w:val="TOC2"/>
        <w:tabs>
          <w:tab w:val="right" w:leader="dot" w:pos="8306"/>
        </w:tabs>
      </w:pPr>
      <w:hyperlink w:anchor="_Toc4936" w:history="1">
        <w:r>
          <w:rPr>
            <w:rFonts w:ascii="仿宋" w:eastAsia="仿宋" w:hAnsi="仿宋" w:cs="仿宋" w:hint="eastAsia"/>
            <w:lang w:eastAsia="zh-CN"/>
          </w:rPr>
          <w:t>(三)、节约用地措施</w:t>
        </w:r>
        <w:r>
          <w:tab/>
        </w:r>
        <w:r>
          <w:fldChar w:fldCharType="begin"/>
        </w:r>
        <w:r>
          <w:instrText xml:space="preserve"> PAGEREF _Toc4936 \h </w:instrText>
        </w:r>
        <w:r>
          <w:fldChar w:fldCharType="separate"/>
        </w:r>
        <w:r>
          <w:t>15</w:t>
        </w:r>
        <w:r>
          <w:fldChar w:fldCharType="end"/>
        </w:r>
      </w:hyperlink>
    </w:p>
    <w:p>
      <w:pPr>
        <w:pStyle w:val="TOC2"/>
        <w:tabs>
          <w:tab w:val="right" w:leader="dot" w:pos="8306"/>
        </w:tabs>
      </w:pPr>
      <w:hyperlink w:anchor="_Toc6323" w:history="1">
        <w:r>
          <w:rPr>
            <w:rFonts w:ascii="仿宋" w:eastAsia="仿宋" w:hAnsi="仿宋" w:cs="仿宋" w:hint="eastAsia"/>
            <w:lang w:eastAsia="zh-CN"/>
          </w:rPr>
          <w:t>(四)、总图布置方案</w:t>
        </w:r>
        <w:r>
          <w:tab/>
        </w:r>
        <w:r>
          <w:fldChar w:fldCharType="begin"/>
        </w:r>
        <w:r>
          <w:instrText xml:space="preserve"> PAGEREF _Toc6323 \h </w:instrText>
        </w:r>
        <w:r>
          <w:fldChar w:fldCharType="separate"/>
        </w:r>
        <w:r>
          <w:t>16</w:t>
        </w:r>
        <w:r>
          <w:fldChar w:fldCharType="end"/>
        </w:r>
      </w:hyperlink>
    </w:p>
    <w:p>
      <w:pPr>
        <w:pStyle w:val="TOC2"/>
        <w:tabs>
          <w:tab w:val="right" w:leader="dot" w:pos="8306"/>
        </w:tabs>
      </w:pPr>
      <w:hyperlink w:anchor="_Toc12638" w:history="1">
        <w:r>
          <w:rPr>
            <w:rFonts w:ascii="仿宋" w:eastAsia="仿宋" w:hAnsi="仿宋" w:cs="仿宋" w:hint="eastAsia"/>
            <w:lang w:eastAsia="zh-CN"/>
          </w:rPr>
          <w:t>(五)、选址综合评价</w:t>
        </w:r>
        <w:r>
          <w:tab/>
        </w:r>
        <w:r>
          <w:fldChar w:fldCharType="begin"/>
        </w:r>
        <w:r>
          <w:instrText xml:space="preserve"> PAGEREF _Toc12638 \h </w:instrText>
        </w:r>
        <w:r>
          <w:fldChar w:fldCharType="separate"/>
        </w:r>
        <w:r>
          <w:t>17</w:t>
        </w:r>
        <w:r>
          <w:fldChar w:fldCharType="end"/>
        </w:r>
      </w:hyperlink>
    </w:p>
    <w:p>
      <w:pPr>
        <w:pStyle w:val="TOC1"/>
        <w:tabs>
          <w:tab w:val="right" w:leader="dot" w:pos="8306"/>
        </w:tabs>
      </w:pPr>
      <w:hyperlink w:anchor="_Toc18052" w:history="1">
        <w:r>
          <w:rPr>
            <w:rFonts w:ascii="仿宋" w:eastAsia="仿宋" w:hAnsi="仿宋" w:cs="仿宋" w:hint="eastAsia"/>
            <w:lang w:eastAsia="zh-CN"/>
          </w:rPr>
          <w:t>五、压缩式城市垃圾收集车项目建设背景及必要性分析</w:t>
        </w:r>
        <w:r>
          <w:tab/>
        </w:r>
        <w:r>
          <w:fldChar w:fldCharType="begin"/>
        </w:r>
        <w:r>
          <w:instrText xml:space="preserve"> PAGEREF _Toc18052 \h </w:instrText>
        </w:r>
        <w:r>
          <w:fldChar w:fldCharType="separate"/>
        </w:r>
        <w:r>
          <w:t>19</w:t>
        </w:r>
        <w:r>
          <w:fldChar w:fldCharType="end"/>
        </w:r>
      </w:hyperlink>
    </w:p>
    <w:p>
      <w:pPr>
        <w:pStyle w:val="TOC2"/>
        <w:tabs>
          <w:tab w:val="right" w:leader="dot" w:pos="8306"/>
        </w:tabs>
      </w:pPr>
      <w:hyperlink w:anchor="_Toc7119" w:history="1">
        <w:r>
          <w:rPr>
            <w:rFonts w:ascii="仿宋" w:eastAsia="仿宋" w:hAnsi="仿宋" w:cs="仿宋" w:hint="eastAsia"/>
            <w:lang w:eastAsia="zh-CN"/>
          </w:rPr>
          <w:t>(一)、压缩式城市垃圾收集车项目背景分析</w:t>
        </w:r>
        <w:r>
          <w:tab/>
        </w:r>
        <w:r>
          <w:fldChar w:fldCharType="begin"/>
        </w:r>
        <w:r>
          <w:instrText xml:space="preserve"> PAGEREF _Toc7119 \h </w:instrText>
        </w:r>
        <w:r>
          <w:fldChar w:fldCharType="separate"/>
        </w:r>
        <w:r>
          <w:t>19</w:t>
        </w:r>
        <w:r>
          <w:fldChar w:fldCharType="end"/>
        </w:r>
      </w:hyperlink>
    </w:p>
    <w:p>
      <w:pPr>
        <w:pStyle w:val="TOC2"/>
        <w:tabs>
          <w:tab w:val="right" w:leader="dot" w:pos="8306"/>
        </w:tabs>
      </w:pPr>
      <w:hyperlink w:anchor="_Toc1834" w:history="1">
        <w:r>
          <w:rPr>
            <w:rFonts w:ascii="仿宋" w:eastAsia="仿宋" w:hAnsi="仿宋" w:cs="仿宋" w:hint="eastAsia"/>
            <w:lang w:eastAsia="zh-CN"/>
          </w:rPr>
          <w:t>(二)、压缩式城市垃圾收集车项目建设必要性分析</w:t>
        </w:r>
        <w:r>
          <w:tab/>
        </w:r>
        <w:r>
          <w:fldChar w:fldCharType="begin"/>
        </w:r>
        <w:r>
          <w:instrText xml:space="preserve"> PAGEREF _Toc1834 \h </w:instrText>
        </w:r>
        <w:r>
          <w:fldChar w:fldCharType="separate"/>
        </w:r>
        <w:r>
          <w:t>20</w:t>
        </w:r>
        <w:r>
          <w:fldChar w:fldCharType="end"/>
        </w:r>
      </w:hyperlink>
    </w:p>
    <w:p>
      <w:pPr>
        <w:pStyle w:val="TOC1"/>
        <w:tabs>
          <w:tab w:val="right" w:leader="dot" w:pos="8306"/>
        </w:tabs>
      </w:pPr>
      <w:hyperlink w:anchor="_Toc18194" w:history="1">
        <w:r>
          <w:rPr>
            <w:rFonts w:ascii="仿宋" w:eastAsia="仿宋" w:hAnsi="仿宋" w:cs="仿宋" w:hint="eastAsia"/>
            <w:lang w:eastAsia="zh-CN"/>
          </w:rPr>
          <w:t>六、压缩式城市垃圾收集车项目可持续发展</w:t>
        </w:r>
        <w:r>
          <w:tab/>
        </w:r>
        <w:r>
          <w:fldChar w:fldCharType="begin"/>
        </w:r>
        <w:r>
          <w:instrText xml:space="preserve"> PAGEREF _Toc18194 \h </w:instrText>
        </w:r>
        <w:r>
          <w:fldChar w:fldCharType="separate"/>
        </w:r>
        <w:r>
          <w:t>22</w:t>
        </w:r>
        <w:r>
          <w:fldChar w:fldCharType="end"/>
        </w:r>
      </w:hyperlink>
    </w:p>
    <w:p>
      <w:pPr>
        <w:pStyle w:val="TOC2"/>
        <w:tabs>
          <w:tab w:val="right" w:leader="dot" w:pos="8306"/>
        </w:tabs>
      </w:pPr>
      <w:hyperlink w:anchor="_Toc30304" w:history="1">
        <w:r>
          <w:rPr>
            <w:rFonts w:ascii="仿宋" w:eastAsia="仿宋" w:hAnsi="仿宋" w:cs="仿宋" w:hint="eastAsia"/>
            <w:lang w:eastAsia="zh-CN"/>
          </w:rPr>
          <w:t>(一)、可持续战略与实践</w:t>
        </w:r>
        <w:r>
          <w:tab/>
        </w:r>
        <w:r>
          <w:fldChar w:fldCharType="begin"/>
        </w:r>
        <w:r>
          <w:instrText xml:space="preserve"> PAGEREF _Toc30304 \h </w:instrText>
        </w:r>
        <w:r>
          <w:fldChar w:fldCharType="separate"/>
        </w:r>
        <w:r>
          <w:t>22</w:t>
        </w:r>
        <w:r>
          <w:fldChar w:fldCharType="end"/>
        </w:r>
      </w:hyperlink>
    </w:p>
    <w:p>
      <w:pPr>
        <w:pStyle w:val="TOC2"/>
        <w:tabs>
          <w:tab w:val="right" w:leader="dot" w:pos="8306"/>
        </w:tabs>
      </w:pPr>
      <w:hyperlink w:anchor="_Toc31890" w:history="1">
        <w:r>
          <w:rPr>
            <w:rFonts w:ascii="仿宋" w:eastAsia="仿宋" w:hAnsi="仿宋" w:cs="仿宋" w:hint="eastAsia"/>
            <w:lang w:eastAsia="zh-CN"/>
          </w:rPr>
          <w:t>(二)、环保与社会责任</w:t>
        </w:r>
        <w:r>
          <w:tab/>
        </w:r>
        <w:r>
          <w:fldChar w:fldCharType="begin"/>
        </w:r>
        <w:r>
          <w:instrText xml:space="preserve"> PAGEREF _Toc31890 \h </w:instrText>
        </w:r>
        <w:r>
          <w:fldChar w:fldCharType="separate"/>
        </w:r>
        <w:r>
          <w:t>23</w:t>
        </w:r>
        <w:r>
          <w:fldChar w:fldCharType="end"/>
        </w:r>
      </w:hyperlink>
    </w:p>
    <w:p>
      <w:pPr>
        <w:pStyle w:val="TOC1"/>
        <w:tabs>
          <w:tab w:val="right" w:leader="dot" w:pos="8306"/>
        </w:tabs>
      </w:pPr>
      <w:hyperlink w:anchor="_Toc18968" w:history="1">
        <w:r>
          <w:rPr>
            <w:rFonts w:ascii="仿宋" w:eastAsia="仿宋" w:hAnsi="仿宋" w:cs="仿宋" w:hint="eastAsia"/>
            <w:lang w:eastAsia="zh-CN"/>
          </w:rPr>
          <w:t>七、压缩式城市垃圾收集车项目人力资源管理</w:t>
        </w:r>
        <w:r>
          <w:tab/>
        </w:r>
        <w:r>
          <w:fldChar w:fldCharType="begin"/>
        </w:r>
        <w:r>
          <w:instrText xml:space="preserve"> PAGEREF _Toc18968 \h </w:instrText>
        </w:r>
        <w:r>
          <w:fldChar w:fldCharType="separate"/>
        </w:r>
        <w:r>
          <w:t>24</w:t>
        </w:r>
        <w:r>
          <w:fldChar w:fldCharType="end"/>
        </w:r>
      </w:hyperlink>
    </w:p>
    <w:p>
      <w:pPr>
        <w:pStyle w:val="TOC2"/>
        <w:tabs>
          <w:tab w:val="right" w:leader="dot" w:pos="8306"/>
        </w:tabs>
      </w:pPr>
      <w:hyperlink w:anchor="_Toc11237" w:history="1">
        <w:r>
          <w:rPr>
            <w:rFonts w:ascii="仿宋" w:eastAsia="仿宋" w:hAnsi="仿宋" w:cs="仿宋" w:hint="eastAsia"/>
            <w:lang w:eastAsia="zh-CN"/>
          </w:rPr>
          <w:t>(一)、建立健全的预算管理制度</w:t>
        </w:r>
        <w:r>
          <w:tab/>
        </w:r>
        <w:r>
          <w:fldChar w:fldCharType="begin"/>
        </w:r>
        <w:r>
          <w:instrText xml:space="preserve"> PAGEREF _Toc11237 \h </w:instrText>
        </w:r>
        <w:r>
          <w:fldChar w:fldCharType="separate"/>
        </w:r>
        <w:r>
          <w:t>24</w:t>
        </w:r>
        <w:r>
          <w:fldChar w:fldCharType="end"/>
        </w:r>
      </w:hyperlink>
    </w:p>
    <w:p>
      <w:pPr>
        <w:pStyle w:val="TOC2"/>
        <w:tabs>
          <w:tab w:val="right" w:leader="dot" w:pos="8306"/>
        </w:tabs>
      </w:pPr>
      <w:hyperlink w:anchor="_Toc10065" w:history="1">
        <w:r>
          <w:rPr>
            <w:rFonts w:ascii="仿宋" w:eastAsia="仿宋" w:hAnsi="仿宋" w:cs="仿宋" w:hint="eastAsia"/>
            <w:lang w:eastAsia="zh-CN"/>
          </w:rPr>
          <w:t>(二)、加强资金流动监控</w:t>
        </w:r>
        <w:r>
          <w:tab/>
        </w:r>
        <w:r>
          <w:fldChar w:fldCharType="begin"/>
        </w:r>
        <w:r>
          <w:instrText xml:space="preserve"> PAGEREF _Toc10065 \h </w:instrText>
        </w:r>
        <w:r>
          <w:fldChar w:fldCharType="separate"/>
        </w:r>
        <w:r>
          <w:t>25</w:t>
        </w:r>
        <w:r>
          <w:fldChar w:fldCharType="end"/>
        </w:r>
      </w:hyperlink>
    </w:p>
    <w:p>
      <w:pPr>
        <w:pStyle w:val="TOC2"/>
        <w:tabs>
          <w:tab w:val="right" w:leader="dot" w:pos="8306"/>
        </w:tabs>
      </w:pPr>
      <w:hyperlink w:anchor="_Toc4805" w:history="1">
        <w:r>
          <w:rPr>
            <w:rFonts w:ascii="仿宋" w:eastAsia="仿宋" w:hAnsi="仿宋" w:cs="仿宋" w:hint="eastAsia"/>
            <w:lang w:eastAsia="zh-CN"/>
          </w:rPr>
          <w:t>(三)、制定完善的风险控制机制</w:t>
        </w:r>
        <w:r>
          <w:tab/>
        </w:r>
        <w:r>
          <w:fldChar w:fldCharType="begin"/>
        </w:r>
        <w:r>
          <w:instrText xml:space="preserve"> PAGEREF _Toc4805 \h </w:instrText>
        </w:r>
        <w:r>
          <w:fldChar w:fldCharType="separate"/>
        </w:r>
        <w:r>
          <w:t>27</w:t>
        </w:r>
        <w:r>
          <w:fldChar w:fldCharType="end"/>
        </w:r>
      </w:hyperlink>
    </w:p>
    <w:p>
      <w:pPr>
        <w:pStyle w:val="TOC2"/>
        <w:tabs>
          <w:tab w:val="right" w:leader="dot" w:pos="8306"/>
        </w:tabs>
      </w:pPr>
      <w:hyperlink w:anchor="_Toc13999" w:history="1">
        <w:r>
          <w:rPr>
            <w:rFonts w:ascii="仿宋" w:eastAsia="仿宋" w:hAnsi="仿宋" w:cs="仿宋" w:hint="eastAsia"/>
            <w:lang w:eastAsia="zh-CN"/>
          </w:rPr>
          <w:t>(四)、优化成本管理</w:t>
        </w:r>
        <w:r>
          <w:tab/>
        </w:r>
        <w:r>
          <w:fldChar w:fldCharType="begin"/>
        </w:r>
        <w:r>
          <w:instrText xml:space="preserve"> PAGEREF _Toc13999 \h </w:instrText>
        </w:r>
        <w:r>
          <w:fldChar w:fldCharType="separate"/>
        </w:r>
        <w:r>
          <w:t>28</w:t>
        </w:r>
        <w:r>
          <w:fldChar w:fldCharType="end"/>
        </w:r>
      </w:hyperlink>
    </w:p>
    <w:p>
      <w:pPr>
        <w:pStyle w:val="TOC1"/>
        <w:tabs>
          <w:tab w:val="right" w:leader="dot" w:pos="8306"/>
        </w:tabs>
      </w:pPr>
      <w:hyperlink w:anchor="_Toc22995" w:history="1">
        <w:r>
          <w:rPr>
            <w:rFonts w:ascii="仿宋" w:eastAsia="仿宋" w:hAnsi="仿宋" w:cs="仿宋" w:hint="eastAsia"/>
            <w:lang w:eastAsia="zh-CN"/>
          </w:rPr>
          <w:t>八、压缩式城市垃圾收集车项目计划安排</w:t>
        </w:r>
        <w:r>
          <w:tab/>
        </w:r>
        <w:r>
          <w:fldChar w:fldCharType="begin"/>
        </w:r>
        <w:r>
          <w:instrText xml:space="preserve"> PAGEREF _Toc22995 \h </w:instrText>
        </w:r>
        <w:r>
          <w:fldChar w:fldCharType="separate"/>
        </w:r>
        <w:r>
          <w:t>30</w:t>
        </w:r>
        <w:r>
          <w:fldChar w:fldCharType="end"/>
        </w:r>
      </w:hyperlink>
    </w:p>
    <w:p>
      <w:pPr>
        <w:pStyle w:val="TOC2"/>
        <w:tabs>
          <w:tab w:val="right" w:leader="dot" w:pos="8306"/>
        </w:tabs>
      </w:pPr>
      <w:hyperlink w:anchor="_Toc16049" w:history="1">
        <w:r>
          <w:rPr>
            <w:rFonts w:ascii="仿宋" w:eastAsia="仿宋" w:hAnsi="仿宋" w:cs="仿宋" w:hint="eastAsia"/>
            <w:lang w:eastAsia="zh-CN"/>
          </w:rPr>
          <w:t>(一)、建设周期</w:t>
        </w:r>
        <w:r>
          <w:tab/>
        </w:r>
        <w:r>
          <w:fldChar w:fldCharType="begin"/>
        </w:r>
        <w:r>
          <w:instrText xml:space="preserve"> PAGEREF _Toc16049 \h </w:instrText>
        </w:r>
        <w:r>
          <w:fldChar w:fldCharType="separate"/>
        </w:r>
        <w:r>
          <w:t>30</w:t>
        </w:r>
        <w:r>
          <w:fldChar w:fldCharType="end"/>
        </w:r>
      </w:hyperlink>
    </w:p>
    <w:p>
      <w:pPr>
        <w:pStyle w:val="TOC2"/>
        <w:tabs>
          <w:tab w:val="right" w:leader="dot" w:pos="8306"/>
        </w:tabs>
      </w:pPr>
      <w:hyperlink w:anchor="_Toc29801" w:history="1">
        <w:r>
          <w:rPr>
            <w:rFonts w:ascii="仿宋" w:eastAsia="仿宋" w:hAnsi="仿宋" w:cs="仿宋" w:hint="eastAsia"/>
            <w:lang w:eastAsia="zh-CN"/>
          </w:rPr>
          <w:t>(二)、建设进度</w:t>
        </w:r>
        <w:r>
          <w:tab/>
        </w:r>
        <w:r>
          <w:fldChar w:fldCharType="begin"/>
        </w:r>
        <w:r>
          <w:instrText xml:space="preserve"> PAGEREF _Toc29801 \h </w:instrText>
        </w:r>
        <w:r>
          <w:fldChar w:fldCharType="separate"/>
        </w:r>
        <w:r>
          <w:t>31</w:t>
        </w:r>
        <w:r>
          <w:fldChar w:fldCharType="end"/>
        </w:r>
      </w:hyperlink>
    </w:p>
    <w:p>
      <w:pPr>
        <w:pStyle w:val="TOC2"/>
        <w:tabs>
          <w:tab w:val="right" w:leader="dot" w:pos="8306"/>
        </w:tabs>
      </w:pPr>
      <w:hyperlink w:anchor="_Toc30906" w:history="1">
        <w:r>
          <w:rPr>
            <w:rFonts w:ascii="仿宋" w:eastAsia="仿宋" w:hAnsi="仿宋" w:cs="仿宋" w:hint="eastAsia"/>
            <w:lang w:eastAsia="zh-CN"/>
          </w:rPr>
          <w:t>(三)、进度安排注意事项</w:t>
        </w:r>
        <w:r>
          <w:tab/>
        </w:r>
        <w:r>
          <w:fldChar w:fldCharType="begin"/>
        </w:r>
        <w:r>
          <w:instrText xml:space="preserve"> PAGEREF _Toc30906 \h </w:instrText>
        </w:r>
        <w:r>
          <w:fldChar w:fldCharType="separate"/>
        </w:r>
        <w:r>
          <w:t>32</w:t>
        </w:r>
        <w:r>
          <w:fldChar w:fldCharType="end"/>
        </w:r>
      </w:hyperlink>
    </w:p>
    <w:p>
      <w:pPr>
        <w:pStyle w:val="TOC2"/>
        <w:tabs>
          <w:tab w:val="right" w:leader="dot" w:pos="8306"/>
        </w:tabs>
      </w:pPr>
      <w:hyperlink w:anchor="_Toc17415" w:history="1">
        <w:r>
          <w:rPr>
            <w:rFonts w:ascii="仿宋" w:eastAsia="仿宋" w:hAnsi="仿宋" w:cs="仿宋" w:hint="eastAsia"/>
            <w:lang w:eastAsia="zh-CN"/>
          </w:rPr>
          <w:t>(四)、人力资源配置</w:t>
        </w:r>
        <w:r>
          <w:tab/>
        </w:r>
        <w:r>
          <w:fldChar w:fldCharType="begin"/>
        </w:r>
        <w:r>
          <w:instrText xml:space="preserve"> PAGEREF _Toc17415 \h </w:instrText>
        </w:r>
        <w:r>
          <w:fldChar w:fldCharType="separate"/>
        </w:r>
        <w:r>
          <w:t>33</w:t>
        </w:r>
        <w:r>
          <w:fldChar w:fldCharType="end"/>
        </w:r>
      </w:hyperlink>
    </w:p>
    <w:p>
      <w:pPr>
        <w:pStyle w:val="TOC1"/>
        <w:tabs>
          <w:tab w:val="right" w:leader="dot" w:pos="8306"/>
        </w:tabs>
      </w:pPr>
      <w:hyperlink w:anchor="_Toc16206" w:history="1">
        <w:r>
          <w:rPr>
            <w:rFonts w:ascii="仿宋" w:eastAsia="仿宋" w:hAnsi="仿宋" w:cs="仿宋" w:hint="eastAsia"/>
            <w:lang w:eastAsia="zh-CN"/>
          </w:rPr>
          <w:t>九、压缩式城市垃圾收集车项目技术管理</w:t>
        </w:r>
        <w:r>
          <w:tab/>
        </w:r>
        <w:r>
          <w:fldChar w:fldCharType="begin"/>
        </w:r>
        <w:r>
          <w:instrText xml:space="preserve"> PAGEREF _Toc16206 \h </w:instrText>
        </w:r>
        <w:r>
          <w:fldChar w:fldCharType="separate"/>
        </w:r>
        <w:r>
          <w:t>34</w:t>
        </w:r>
        <w:r>
          <w:fldChar w:fldCharType="end"/>
        </w:r>
      </w:hyperlink>
    </w:p>
    <w:p>
      <w:pPr>
        <w:pStyle w:val="TOC2"/>
        <w:tabs>
          <w:tab w:val="right" w:leader="dot" w:pos="8306"/>
        </w:tabs>
      </w:pPr>
      <w:hyperlink w:anchor="_Toc17440" w:history="1">
        <w:r>
          <w:rPr>
            <w:rFonts w:ascii="仿宋" w:eastAsia="仿宋" w:hAnsi="仿宋" w:cs="仿宋" w:hint="eastAsia"/>
            <w:lang w:eastAsia="zh-CN"/>
          </w:rPr>
          <w:t>(一)、技术方案选用方向</w:t>
        </w:r>
        <w:r>
          <w:tab/>
        </w:r>
        <w:r>
          <w:fldChar w:fldCharType="begin"/>
        </w:r>
        <w:r>
          <w:instrText xml:space="preserve"> PAGEREF _Toc17440 \h </w:instrText>
        </w:r>
        <w:r>
          <w:fldChar w:fldCharType="separate"/>
        </w:r>
        <w:r>
          <w:t>34</w:t>
        </w:r>
        <w:r>
          <w:fldChar w:fldCharType="end"/>
        </w:r>
      </w:hyperlink>
    </w:p>
    <w:p>
      <w:pPr>
        <w:pStyle w:val="TOC2"/>
        <w:tabs>
          <w:tab w:val="right" w:leader="dot" w:pos="8306"/>
        </w:tabs>
      </w:pPr>
      <w:hyperlink w:anchor="_Toc26406" w:history="1">
        <w:r>
          <w:rPr>
            <w:rFonts w:ascii="仿宋" w:eastAsia="仿宋" w:hAnsi="仿宋" w:cs="仿宋" w:hint="eastAsia"/>
            <w:lang w:eastAsia="zh-CN"/>
          </w:rPr>
          <w:t>(二)、工艺技术方案选用原则</w:t>
        </w:r>
        <w:r>
          <w:tab/>
        </w:r>
        <w:r>
          <w:fldChar w:fldCharType="begin"/>
        </w:r>
        <w:r>
          <w:instrText xml:space="preserve"> PAGEREF _Toc26406 \h </w:instrText>
        </w:r>
        <w:r>
          <w:fldChar w:fldCharType="separate"/>
        </w:r>
        <w:r>
          <w:t>36</w:t>
        </w:r>
        <w:r>
          <w:fldChar w:fldCharType="end"/>
        </w:r>
      </w:hyperlink>
    </w:p>
    <w:p>
      <w:pPr>
        <w:pStyle w:val="TOC2"/>
        <w:tabs>
          <w:tab w:val="right" w:leader="dot" w:pos="8306"/>
        </w:tabs>
      </w:pPr>
      <w:hyperlink w:anchor="_Toc26959" w:history="1">
        <w:r>
          <w:rPr>
            <w:rFonts w:ascii="仿宋" w:eastAsia="仿宋" w:hAnsi="仿宋" w:cs="仿宋" w:hint="eastAsia"/>
            <w:lang w:eastAsia="zh-CN"/>
          </w:rPr>
          <w:t>(三)、工艺技术方案要求</w:t>
        </w:r>
        <w:r>
          <w:tab/>
        </w:r>
        <w:r>
          <w:fldChar w:fldCharType="begin"/>
        </w:r>
        <w:r>
          <w:instrText xml:space="preserve"> PAGEREF _Toc26959 \h </w:instrText>
        </w:r>
        <w:r>
          <w:fldChar w:fldCharType="separate"/>
        </w:r>
        <w:r>
          <w:t>38</w:t>
        </w:r>
        <w:r>
          <w:fldChar w:fldCharType="end"/>
        </w:r>
      </w:hyperlink>
    </w:p>
    <w:p>
      <w:pPr>
        <w:pStyle w:val="TOC1"/>
        <w:tabs>
          <w:tab w:val="right" w:leader="dot" w:pos="8306"/>
        </w:tabs>
      </w:pPr>
      <w:hyperlink w:anchor="_Toc25107" w:history="1">
        <w:r>
          <w:rPr>
            <w:rFonts w:ascii="仿宋" w:eastAsia="仿宋" w:hAnsi="仿宋" w:cs="仿宋" w:hint="eastAsia"/>
            <w:lang w:eastAsia="zh-CN"/>
          </w:rPr>
          <w:t>十、压缩式城市垃圾收集车项目社会影响</w:t>
        </w:r>
        <w:r>
          <w:tab/>
        </w:r>
        <w:r>
          <w:fldChar w:fldCharType="begin"/>
        </w:r>
        <w:r>
          <w:instrText xml:space="preserve"> PAGEREF _Toc25107 \h </w:instrText>
        </w:r>
        <w:r>
          <w:fldChar w:fldCharType="separate"/>
        </w:r>
        <w:r>
          <w:t>41</w:t>
        </w:r>
        <w:r>
          <w:fldChar w:fldCharType="end"/>
        </w:r>
      </w:hyperlink>
    </w:p>
    <w:p>
      <w:pPr>
        <w:pStyle w:val="TOC2"/>
        <w:tabs>
          <w:tab w:val="right" w:leader="dot" w:pos="8306"/>
        </w:tabs>
      </w:pPr>
      <w:hyperlink w:anchor="_Toc30528" w:history="1">
        <w:r>
          <w:rPr>
            <w:rFonts w:ascii="仿宋" w:eastAsia="仿宋" w:hAnsi="仿宋" w:cs="仿宋" w:hint="eastAsia"/>
            <w:lang w:eastAsia="zh-CN"/>
          </w:rPr>
          <w:t>(一)、社会责任与义务</w:t>
        </w:r>
        <w:r>
          <w:tab/>
        </w:r>
        <w:r>
          <w:fldChar w:fldCharType="begin"/>
        </w:r>
        <w:r>
          <w:instrText xml:space="preserve"> PAGEREF _Toc30528 \h </w:instrText>
        </w:r>
        <w:r>
          <w:fldChar w:fldCharType="separate"/>
        </w:r>
        <w:r>
          <w:t>41</w:t>
        </w:r>
        <w:r>
          <w:fldChar w:fldCharType="end"/>
        </w:r>
      </w:hyperlink>
    </w:p>
    <w:p>
      <w:pPr>
        <w:pStyle w:val="TOC2"/>
        <w:tabs>
          <w:tab w:val="right" w:leader="dot" w:pos="8306"/>
        </w:tabs>
      </w:pPr>
      <w:hyperlink w:anchor="_Toc450" w:history="1">
        <w:r>
          <w:rPr>
            <w:rFonts w:ascii="仿宋" w:eastAsia="仿宋" w:hAnsi="仿宋" w:cs="仿宋" w:hint="eastAsia"/>
            <w:lang w:eastAsia="zh-CN"/>
          </w:rPr>
          <w:t>(二)、社会参与与沟通</w:t>
        </w:r>
        <w:r>
          <w:tab/>
        </w:r>
        <w:r>
          <w:fldChar w:fldCharType="begin"/>
        </w:r>
        <w:r>
          <w:instrText xml:space="preserve"> PAGEREF _Toc450 \h </w:instrText>
        </w:r>
        <w:r>
          <w:fldChar w:fldCharType="separate"/>
        </w:r>
        <w:r>
          <w:t>41</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342" w:history="1">
        <w:r>
          <w:rPr>
            <w:rFonts w:ascii="仿宋" w:eastAsia="仿宋" w:hAnsi="仿宋" w:cs="仿宋" w:hint="eastAsia"/>
            <w:lang w:eastAsia="zh-CN"/>
          </w:rPr>
          <w:t>十一、生产安全保护</w:t>
        </w:r>
        <w:r>
          <w:tab/>
        </w:r>
        <w:r>
          <w:fldChar w:fldCharType="begin"/>
        </w:r>
        <w:r>
          <w:instrText xml:space="preserve"> PAGEREF _Toc27342 \h </w:instrText>
        </w:r>
        <w:r>
          <w:fldChar w:fldCharType="separate"/>
        </w:r>
        <w:r>
          <w:t>42</w:t>
        </w:r>
        <w:r>
          <w:fldChar w:fldCharType="end"/>
        </w:r>
      </w:hyperlink>
    </w:p>
    <w:p>
      <w:pPr>
        <w:pStyle w:val="TOC2"/>
        <w:tabs>
          <w:tab w:val="right" w:leader="dot" w:pos="8306"/>
        </w:tabs>
      </w:pPr>
      <w:hyperlink w:anchor="_Toc8676" w:history="1">
        <w:r>
          <w:rPr>
            <w:rFonts w:ascii="仿宋" w:eastAsia="仿宋" w:hAnsi="仿宋" w:cs="仿宋" w:hint="eastAsia"/>
            <w:lang w:eastAsia="zh-CN"/>
          </w:rPr>
          <w:t>(一)、消防安全</w:t>
        </w:r>
        <w:r>
          <w:tab/>
        </w:r>
        <w:r>
          <w:fldChar w:fldCharType="begin"/>
        </w:r>
        <w:r>
          <w:instrText xml:space="preserve"> PAGEREF _Toc8676 \h </w:instrText>
        </w:r>
        <w:r>
          <w:fldChar w:fldCharType="separate"/>
        </w:r>
        <w:r>
          <w:t>42</w:t>
        </w:r>
        <w:r>
          <w:fldChar w:fldCharType="end"/>
        </w:r>
      </w:hyperlink>
    </w:p>
    <w:p>
      <w:pPr>
        <w:pStyle w:val="TOC2"/>
        <w:tabs>
          <w:tab w:val="right" w:leader="dot" w:pos="8306"/>
        </w:tabs>
      </w:pPr>
      <w:hyperlink w:anchor="_Toc16934" w:history="1">
        <w:r>
          <w:rPr>
            <w:rFonts w:ascii="仿宋" w:eastAsia="仿宋" w:hAnsi="仿宋" w:cs="仿宋" w:hint="eastAsia"/>
            <w:lang w:eastAsia="zh-CN"/>
          </w:rPr>
          <w:t>(二)、防火防爆总图布置措施</w:t>
        </w:r>
        <w:r>
          <w:tab/>
        </w:r>
        <w:r>
          <w:fldChar w:fldCharType="begin"/>
        </w:r>
        <w:r>
          <w:instrText xml:space="preserve"> PAGEREF _Toc16934 \h </w:instrText>
        </w:r>
        <w:r>
          <w:fldChar w:fldCharType="separate"/>
        </w:r>
        <w:r>
          <w:t>44</w:t>
        </w:r>
        <w:r>
          <w:fldChar w:fldCharType="end"/>
        </w:r>
      </w:hyperlink>
    </w:p>
    <w:p>
      <w:pPr>
        <w:pStyle w:val="TOC2"/>
        <w:tabs>
          <w:tab w:val="right" w:leader="dot" w:pos="8306"/>
        </w:tabs>
      </w:pPr>
      <w:hyperlink w:anchor="_Toc31811" w:history="1">
        <w:r>
          <w:rPr>
            <w:rFonts w:ascii="仿宋" w:eastAsia="仿宋" w:hAnsi="仿宋" w:cs="仿宋" w:hint="eastAsia"/>
            <w:lang w:eastAsia="zh-CN"/>
          </w:rPr>
          <w:t>(三)、自然灾害防范措施</w:t>
        </w:r>
        <w:r>
          <w:tab/>
        </w:r>
        <w:r>
          <w:fldChar w:fldCharType="begin"/>
        </w:r>
        <w:r>
          <w:instrText xml:space="preserve"> PAGEREF _Toc31811 \h </w:instrText>
        </w:r>
        <w:r>
          <w:fldChar w:fldCharType="separate"/>
        </w:r>
        <w:r>
          <w:t>45</w:t>
        </w:r>
        <w:r>
          <w:fldChar w:fldCharType="end"/>
        </w:r>
      </w:hyperlink>
    </w:p>
    <w:p>
      <w:pPr>
        <w:pStyle w:val="TOC2"/>
        <w:tabs>
          <w:tab w:val="right" w:leader="dot" w:pos="8306"/>
        </w:tabs>
      </w:pPr>
      <w:hyperlink w:anchor="_Toc31473" w:history="1">
        <w:r>
          <w:rPr>
            <w:rFonts w:ascii="仿宋" w:eastAsia="仿宋" w:hAnsi="仿宋" w:cs="仿宋" w:hint="eastAsia"/>
            <w:lang w:eastAsia="zh-CN"/>
          </w:rPr>
          <w:t>(四)、安全色及安全标志使用要求</w:t>
        </w:r>
        <w:r>
          <w:tab/>
        </w:r>
        <w:r>
          <w:fldChar w:fldCharType="begin"/>
        </w:r>
        <w:r>
          <w:instrText xml:space="preserve"> PAGEREF _Toc31473 \h </w:instrText>
        </w:r>
        <w:r>
          <w:fldChar w:fldCharType="separate"/>
        </w:r>
        <w:r>
          <w:t>46</w:t>
        </w:r>
        <w:r>
          <w:fldChar w:fldCharType="end"/>
        </w:r>
      </w:hyperlink>
    </w:p>
    <w:p>
      <w:pPr>
        <w:pStyle w:val="TOC2"/>
        <w:tabs>
          <w:tab w:val="right" w:leader="dot" w:pos="8306"/>
        </w:tabs>
      </w:pPr>
      <w:hyperlink w:anchor="_Toc16073" w:history="1">
        <w:r>
          <w:rPr>
            <w:rFonts w:ascii="仿宋" w:eastAsia="仿宋" w:hAnsi="仿宋" w:cs="仿宋" w:hint="eastAsia"/>
            <w:lang w:eastAsia="zh-CN"/>
          </w:rPr>
          <w:t>(五)、防尘防毒措施</w:t>
        </w:r>
        <w:r>
          <w:tab/>
        </w:r>
        <w:r>
          <w:fldChar w:fldCharType="begin"/>
        </w:r>
        <w:r>
          <w:instrText xml:space="preserve"> PAGEREF _Toc16073 \h </w:instrText>
        </w:r>
        <w:r>
          <w:fldChar w:fldCharType="separate"/>
        </w:r>
        <w:r>
          <w:t>47</w:t>
        </w:r>
        <w:r>
          <w:fldChar w:fldCharType="end"/>
        </w:r>
      </w:hyperlink>
    </w:p>
    <w:p>
      <w:pPr>
        <w:pStyle w:val="TOC2"/>
        <w:tabs>
          <w:tab w:val="right" w:leader="dot" w:pos="8306"/>
        </w:tabs>
      </w:pPr>
      <w:hyperlink w:anchor="_Toc7885" w:history="1">
        <w:r>
          <w:rPr>
            <w:rFonts w:ascii="仿宋" w:eastAsia="仿宋" w:hAnsi="仿宋" w:cs="仿宋" w:hint="eastAsia"/>
            <w:lang w:eastAsia="zh-CN"/>
          </w:rPr>
          <w:t>(六)、防静电、触电防护及防雷措施</w:t>
        </w:r>
        <w:r>
          <w:tab/>
        </w:r>
        <w:r>
          <w:fldChar w:fldCharType="begin"/>
        </w:r>
        <w:r>
          <w:instrText xml:space="preserve"> PAGEREF _Toc7885 \h </w:instrText>
        </w:r>
        <w:r>
          <w:fldChar w:fldCharType="separate"/>
        </w:r>
        <w:r>
          <w:t>48</w:t>
        </w:r>
        <w:r>
          <w:fldChar w:fldCharType="end"/>
        </w:r>
      </w:hyperlink>
    </w:p>
    <w:p>
      <w:pPr>
        <w:pStyle w:val="TOC2"/>
        <w:tabs>
          <w:tab w:val="right" w:leader="dot" w:pos="8306"/>
        </w:tabs>
      </w:pPr>
      <w:hyperlink w:anchor="_Toc31371" w:history="1">
        <w:r>
          <w:rPr>
            <w:rFonts w:ascii="仿宋" w:eastAsia="仿宋" w:hAnsi="仿宋" w:cs="仿宋" w:hint="eastAsia"/>
            <w:lang w:eastAsia="zh-CN"/>
          </w:rPr>
          <w:t>(七)、机械设备安全保障措施</w:t>
        </w:r>
        <w:r>
          <w:tab/>
        </w:r>
        <w:r>
          <w:fldChar w:fldCharType="begin"/>
        </w:r>
        <w:r>
          <w:instrText xml:space="preserve"> PAGEREF _Toc31371 \h </w:instrText>
        </w:r>
        <w:r>
          <w:fldChar w:fldCharType="separate"/>
        </w:r>
        <w:r>
          <w:t>50</w:t>
        </w:r>
        <w:r>
          <w:fldChar w:fldCharType="end"/>
        </w:r>
      </w:hyperlink>
    </w:p>
    <w:p>
      <w:pPr>
        <w:pStyle w:val="TOC1"/>
        <w:tabs>
          <w:tab w:val="right" w:leader="dot" w:pos="8306"/>
        </w:tabs>
      </w:pPr>
      <w:hyperlink w:anchor="_Toc14500" w:history="1">
        <w:r>
          <w:rPr>
            <w:rFonts w:ascii="仿宋" w:eastAsia="仿宋" w:hAnsi="仿宋" w:cs="仿宋" w:hint="eastAsia"/>
            <w:lang w:eastAsia="zh-CN"/>
          </w:rPr>
          <w:t>十二、压缩式城市垃圾收集车项目创新与研发</w:t>
        </w:r>
        <w:r>
          <w:tab/>
        </w:r>
        <w:r>
          <w:fldChar w:fldCharType="begin"/>
        </w:r>
        <w:r>
          <w:instrText xml:space="preserve"> PAGEREF _Toc14500 \h </w:instrText>
        </w:r>
        <w:r>
          <w:fldChar w:fldCharType="separate"/>
        </w:r>
        <w:r>
          <w:t>51</w:t>
        </w:r>
        <w:r>
          <w:fldChar w:fldCharType="end"/>
        </w:r>
      </w:hyperlink>
    </w:p>
    <w:p>
      <w:pPr>
        <w:pStyle w:val="TOC2"/>
        <w:tabs>
          <w:tab w:val="right" w:leader="dot" w:pos="8306"/>
        </w:tabs>
      </w:pPr>
      <w:hyperlink w:anchor="_Toc31823" w:history="1">
        <w:r>
          <w:rPr>
            <w:rFonts w:ascii="仿宋" w:eastAsia="仿宋" w:hAnsi="仿宋" w:cs="仿宋" w:hint="eastAsia"/>
            <w:lang w:eastAsia="zh-CN"/>
          </w:rPr>
          <w:t>(一)、创新策略与方向</w:t>
        </w:r>
        <w:r>
          <w:tab/>
        </w:r>
        <w:r>
          <w:fldChar w:fldCharType="begin"/>
        </w:r>
        <w:r>
          <w:instrText xml:space="preserve"> PAGEREF _Toc31823 \h </w:instrText>
        </w:r>
        <w:r>
          <w:fldChar w:fldCharType="separate"/>
        </w:r>
        <w:r>
          <w:t>51</w:t>
        </w:r>
        <w:r>
          <w:fldChar w:fldCharType="end"/>
        </w:r>
      </w:hyperlink>
    </w:p>
    <w:p>
      <w:pPr>
        <w:pStyle w:val="TOC2"/>
        <w:tabs>
          <w:tab w:val="right" w:leader="dot" w:pos="8306"/>
        </w:tabs>
      </w:pPr>
      <w:hyperlink w:anchor="_Toc8607" w:history="1">
        <w:r>
          <w:rPr>
            <w:rFonts w:ascii="仿宋" w:eastAsia="仿宋" w:hAnsi="仿宋" w:cs="仿宋" w:hint="eastAsia"/>
            <w:lang w:eastAsia="zh-CN"/>
          </w:rPr>
          <w:t>(二)、研发规划与投入</w:t>
        </w:r>
        <w:r>
          <w:tab/>
        </w:r>
        <w:r>
          <w:fldChar w:fldCharType="begin"/>
        </w:r>
        <w:r>
          <w:instrText xml:space="preserve"> PAGEREF _Toc8607 \h </w:instrText>
        </w:r>
        <w:r>
          <w:fldChar w:fldCharType="separate"/>
        </w:r>
        <w:r>
          <w:t>53</w:t>
        </w:r>
        <w:r>
          <w:fldChar w:fldCharType="end"/>
        </w:r>
      </w:hyperlink>
    </w:p>
    <w:p>
      <w:pPr>
        <w:pStyle w:val="TOC1"/>
        <w:tabs>
          <w:tab w:val="right" w:leader="dot" w:pos="8306"/>
        </w:tabs>
      </w:pPr>
      <w:hyperlink w:anchor="_Toc25131" w:history="1">
        <w:r>
          <w:rPr>
            <w:rFonts w:ascii="仿宋" w:eastAsia="仿宋" w:hAnsi="仿宋" w:cs="仿宋" w:hint="eastAsia"/>
            <w:lang w:eastAsia="zh-CN"/>
          </w:rPr>
          <w:t>十三、压缩式城市垃圾收集车项目实施保障措施</w:t>
        </w:r>
        <w:r>
          <w:tab/>
        </w:r>
        <w:r>
          <w:fldChar w:fldCharType="begin"/>
        </w:r>
        <w:r>
          <w:instrText xml:space="preserve"> PAGEREF _Toc25131 \h </w:instrText>
        </w:r>
        <w:r>
          <w:fldChar w:fldCharType="separate"/>
        </w:r>
        <w:r>
          <w:t>54</w:t>
        </w:r>
        <w:r>
          <w:fldChar w:fldCharType="end"/>
        </w:r>
      </w:hyperlink>
    </w:p>
    <w:p>
      <w:pPr>
        <w:pStyle w:val="TOC2"/>
        <w:tabs>
          <w:tab w:val="right" w:leader="dot" w:pos="8306"/>
        </w:tabs>
      </w:pPr>
      <w:hyperlink w:anchor="_Toc19141" w:history="1">
        <w:r>
          <w:rPr>
            <w:rFonts w:ascii="仿宋" w:eastAsia="仿宋" w:hAnsi="仿宋" w:cs="仿宋" w:hint="eastAsia"/>
            <w:lang w:eastAsia="zh-CN"/>
          </w:rPr>
          <w:t>(一)、压缩式城市垃圾收集车项目实施保障机制</w:t>
        </w:r>
        <w:r>
          <w:tab/>
        </w:r>
        <w:r>
          <w:fldChar w:fldCharType="begin"/>
        </w:r>
        <w:r>
          <w:instrText xml:space="preserve"> PAGEREF _Toc19141 \h </w:instrText>
        </w:r>
        <w:r>
          <w:fldChar w:fldCharType="separate"/>
        </w:r>
        <w:r>
          <w:t>54</w:t>
        </w:r>
        <w:r>
          <w:fldChar w:fldCharType="end"/>
        </w:r>
      </w:hyperlink>
    </w:p>
    <w:p>
      <w:pPr>
        <w:pStyle w:val="TOC2"/>
        <w:tabs>
          <w:tab w:val="right" w:leader="dot" w:pos="8306"/>
        </w:tabs>
      </w:pPr>
      <w:hyperlink w:anchor="_Toc7979" w:history="1">
        <w:r>
          <w:rPr>
            <w:rFonts w:ascii="仿宋" w:eastAsia="仿宋" w:hAnsi="仿宋" w:cs="仿宋" w:hint="eastAsia"/>
            <w:lang w:eastAsia="zh-CN"/>
          </w:rPr>
          <w:t>(二)、压缩式城市垃圾收集车项目法律合规要求</w:t>
        </w:r>
        <w:r>
          <w:tab/>
        </w:r>
        <w:r>
          <w:fldChar w:fldCharType="begin"/>
        </w:r>
        <w:r>
          <w:instrText xml:space="preserve"> PAGEREF _Toc7979 \h </w:instrText>
        </w:r>
        <w:r>
          <w:fldChar w:fldCharType="separate"/>
        </w:r>
        <w:r>
          <w:t>58</w:t>
        </w:r>
        <w:r>
          <w:fldChar w:fldCharType="end"/>
        </w:r>
      </w:hyperlink>
    </w:p>
    <w:p>
      <w:pPr>
        <w:pStyle w:val="TOC2"/>
        <w:tabs>
          <w:tab w:val="right" w:leader="dot" w:pos="8306"/>
        </w:tabs>
      </w:pPr>
      <w:hyperlink w:anchor="_Toc4234" w:history="1">
        <w:r>
          <w:rPr>
            <w:rFonts w:ascii="仿宋" w:eastAsia="仿宋" w:hAnsi="仿宋" w:cs="仿宋" w:hint="eastAsia"/>
            <w:lang w:eastAsia="zh-CN"/>
          </w:rPr>
          <w:t>(三)、压缩式城市垃圾收集车项目合同管理与法律事务</w:t>
        </w:r>
        <w:r>
          <w:tab/>
        </w:r>
        <w:r>
          <w:fldChar w:fldCharType="begin"/>
        </w:r>
        <w:r>
          <w:instrText xml:space="preserve"> PAGEREF _Toc4234 \h </w:instrText>
        </w:r>
        <w:r>
          <w:fldChar w:fldCharType="separate"/>
        </w:r>
        <w:r>
          <w:t>63</w:t>
        </w:r>
        <w:r>
          <w:fldChar w:fldCharType="end"/>
        </w:r>
      </w:hyperlink>
    </w:p>
    <w:p>
      <w:pPr>
        <w:pStyle w:val="TOC2"/>
        <w:tabs>
          <w:tab w:val="right" w:leader="dot" w:pos="8306"/>
        </w:tabs>
      </w:pPr>
      <w:hyperlink w:anchor="_Toc25894" w:history="1">
        <w:r>
          <w:rPr>
            <w:rFonts w:ascii="仿宋" w:eastAsia="仿宋" w:hAnsi="仿宋" w:cs="仿宋" w:hint="eastAsia"/>
            <w:lang w:eastAsia="zh-CN"/>
          </w:rPr>
          <w:t>(四)、压缩式城市垃圾收集车项目知识产权保护策略</w:t>
        </w:r>
        <w:r>
          <w:tab/>
        </w:r>
        <w:r>
          <w:fldChar w:fldCharType="begin"/>
        </w:r>
        <w:r>
          <w:instrText xml:space="preserve"> PAGEREF _Toc25894 \h </w:instrText>
        </w:r>
        <w:r>
          <w:fldChar w:fldCharType="separate"/>
        </w:r>
        <w:r>
          <w:t>69</w:t>
        </w:r>
        <w:r>
          <w:fldChar w:fldCharType="end"/>
        </w:r>
      </w:hyperlink>
    </w:p>
    <w:p>
      <w:pPr>
        <w:pStyle w:val="TOC1"/>
        <w:tabs>
          <w:tab w:val="right" w:leader="dot" w:pos="8306"/>
        </w:tabs>
      </w:pPr>
      <w:hyperlink w:anchor="_Toc20440" w:history="1">
        <w:r>
          <w:rPr>
            <w:rFonts w:ascii="仿宋" w:eastAsia="仿宋" w:hAnsi="仿宋" w:cs="仿宋" w:hint="eastAsia"/>
            <w:lang w:eastAsia="zh-CN"/>
          </w:rPr>
          <w:t>十四、供应链管理</w:t>
        </w:r>
        <w:r>
          <w:tab/>
        </w:r>
        <w:r>
          <w:fldChar w:fldCharType="begin"/>
        </w:r>
        <w:r>
          <w:instrText xml:space="preserve"> PAGEREF _Toc20440 \h </w:instrText>
        </w:r>
        <w:r>
          <w:fldChar w:fldCharType="separate"/>
        </w:r>
        <w:r>
          <w:t>72</w:t>
        </w:r>
        <w:r>
          <w:fldChar w:fldCharType="end"/>
        </w:r>
      </w:hyperlink>
    </w:p>
    <w:p>
      <w:pPr>
        <w:pStyle w:val="TOC2"/>
        <w:tabs>
          <w:tab w:val="right" w:leader="dot" w:pos="8306"/>
        </w:tabs>
      </w:pPr>
      <w:hyperlink w:anchor="_Toc28193" w:history="1">
        <w:r>
          <w:rPr>
            <w:rFonts w:ascii="仿宋" w:eastAsia="仿宋" w:hAnsi="仿宋" w:cs="仿宋" w:hint="eastAsia"/>
            <w:lang w:eastAsia="zh-CN"/>
          </w:rPr>
          <w:t>(一)、供应链战略规划</w:t>
        </w:r>
        <w:r>
          <w:tab/>
        </w:r>
        <w:r>
          <w:fldChar w:fldCharType="begin"/>
        </w:r>
        <w:r>
          <w:instrText xml:space="preserve"> PAGEREF _Toc28193 \h </w:instrText>
        </w:r>
        <w:r>
          <w:fldChar w:fldCharType="separate"/>
        </w:r>
        <w:r>
          <w:t>72</w:t>
        </w:r>
        <w:r>
          <w:fldChar w:fldCharType="end"/>
        </w:r>
      </w:hyperlink>
    </w:p>
    <w:p>
      <w:pPr>
        <w:pStyle w:val="TOC2"/>
        <w:tabs>
          <w:tab w:val="right" w:leader="dot" w:pos="8306"/>
        </w:tabs>
      </w:pPr>
      <w:hyperlink w:anchor="_Toc28759" w:history="1">
        <w:r>
          <w:rPr>
            <w:rFonts w:ascii="仿宋" w:eastAsia="仿宋" w:hAnsi="仿宋" w:cs="仿宋" w:hint="eastAsia"/>
            <w:lang w:eastAsia="zh-CN"/>
          </w:rPr>
          <w:t>(二)、供应商选择与合作</w:t>
        </w:r>
        <w:r>
          <w:tab/>
        </w:r>
        <w:r>
          <w:fldChar w:fldCharType="begin"/>
        </w:r>
        <w:r>
          <w:instrText xml:space="preserve"> PAGEREF _Toc28759 \h </w:instrText>
        </w:r>
        <w:r>
          <w:fldChar w:fldCharType="separate"/>
        </w:r>
        <w:r>
          <w:t>74</w:t>
        </w:r>
        <w:r>
          <w:fldChar w:fldCharType="end"/>
        </w:r>
      </w:hyperlink>
    </w:p>
    <w:p>
      <w:pPr>
        <w:pStyle w:val="TOC2"/>
        <w:tabs>
          <w:tab w:val="right" w:leader="dot" w:pos="8306"/>
        </w:tabs>
      </w:pPr>
      <w:hyperlink w:anchor="_Toc10744" w:history="1">
        <w:r>
          <w:rPr>
            <w:rFonts w:ascii="仿宋" w:eastAsia="仿宋" w:hAnsi="仿宋" w:cs="仿宋" w:hint="eastAsia"/>
            <w:lang w:eastAsia="zh-CN"/>
          </w:rPr>
          <w:t>(三)、物流与库存管理</w:t>
        </w:r>
        <w:r>
          <w:tab/>
        </w:r>
        <w:r>
          <w:fldChar w:fldCharType="begin"/>
        </w:r>
        <w:r>
          <w:instrText xml:space="preserve"> PAGEREF _Toc10744 \h </w:instrText>
        </w:r>
        <w:r>
          <w:fldChar w:fldCharType="separate"/>
        </w:r>
        <w:r>
          <w:t>75</w:t>
        </w:r>
        <w:r>
          <w:fldChar w:fldCharType="end"/>
        </w:r>
      </w:hyperlink>
    </w:p>
    <w:p>
      <w:pPr>
        <w:pStyle w:val="TOC1"/>
        <w:tabs>
          <w:tab w:val="right" w:leader="dot" w:pos="8306"/>
        </w:tabs>
      </w:pPr>
      <w:hyperlink w:anchor="_Toc30205" w:history="1">
        <w:r>
          <w:rPr>
            <w:rFonts w:ascii="仿宋" w:eastAsia="仿宋" w:hAnsi="仿宋" w:cs="仿宋" w:hint="eastAsia"/>
            <w:lang w:eastAsia="zh-CN"/>
          </w:rPr>
          <w:t>十五、利益相关者分析与沟通计划</w:t>
        </w:r>
        <w:r>
          <w:tab/>
        </w:r>
        <w:r>
          <w:fldChar w:fldCharType="begin"/>
        </w:r>
        <w:r>
          <w:instrText xml:space="preserve"> PAGEREF _Toc30205 \h </w:instrText>
        </w:r>
        <w:r>
          <w:fldChar w:fldCharType="separate"/>
        </w:r>
        <w:r>
          <w:t>76</w:t>
        </w:r>
        <w:r>
          <w:fldChar w:fldCharType="end"/>
        </w:r>
      </w:hyperlink>
    </w:p>
    <w:p>
      <w:pPr>
        <w:pStyle w:val="TOC2"/>
        <w:tabs>
          <w:tab w:val="right" w:leader="dot" w:pos="8306"/>
        </w:tabs>
      </w:pPr>
      <w:hyperlink w:anchor="_Toc14884" w:history="1">
        <w:r>
          <w:rPr>
            <w:rFonts w:ascii="仿宋" w:eastAsia="仿宋" w:hAnsi="仿宋" w:cs="仿宋" w:hint="eastAsia"/>
            <w:lang w:eastAsia="zh-CN"/>
          </w:rPr>
          <w:t>(一)、利益相关者分析</w:t>
        </w:r>
        <w:r>
          <w:tab/>
        </w:r>
        <w:r>
          <w:fldChar w:fldCharType="begin"/>
        </w:r>
        <w:r>
          <w:instrText xml:space="preserve"> PAGEREF _Toc14884 \h </w:instrText>
        </w:r>
        <w:r>
          <w:fldChar w:fldCharType="separate"/>
        </w:r>
        <w:r>
          <w:t>76</w:t>
        </w:r>
        <w:r>
          <w:fldChar w:fldCharType="end"/>
        </w:r>
      </w:hyperlink>
    </w:p>
    <w:p>
      <w:pPr>
        <w:pStyle w:val="TOC2"/>
        <w:tabs>
          <w:tab w:val="right" w:leader="dot" w:pos="8306"/>
        </w:tabs>
      </w:pPr>
      <w:hyperlink w:anchor="_Toc31799" w:history="1">
        <w:r>
          <w:rPr>
            <w:rFonts w:ascii="仿宋" w:eastAsia="仿宋" w:hAnsi="仿宋" w:cs="仿宋" w:hint="eastAsia"/>
            <w:lang w:eastAsia="zh-CN"/>
          </w:rPr>
          <w:t>(二)、沟通计划</w:t>
        </w:r>
        <w:r>
          <w:tab/>
        </w:r>
        <w:r>
          <w:fldChar w:fldCharType="begin"/>
        </w:r>
        <w:r>
          <w:instrText xml:space="preserve"> PAGEREF _Toc31799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18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076"/>
      <w:r>
        <w:rPr>
          <w:rFonts w:ascii="仿宋" w:eastAsia="仿宋" w:hAnsi="仿宋" w:cs="仿宋" w:hint="eastAsia"/>
          <w:sz w:val="28"/>
          <w:lang w:eastAsia="zh-CN"/>
        </w:rPr>
        <w:t>一、压缩式城市垃圾收集车项目绩效评估</w:t>
      </w:r>
      <w:bookmarkEnd w:id="2"/>
    </w:p>
    <w:p>
      <w:pPr>
        <w:pStyle w:val="Heading2"/>
        <w:rPr>
          <w:rFonts w:ascii="仿宋" w:eastAsia="仿宋" w:hAnsi="仿宋" w:cs="仿宋" w:hint="eastAsia"/>
          <w:lang w:eastAsia="zh-CN"/>
        </w:rPr>
      </w:pPr>
      <w:bookmarkStart w:id="3" w:name="_Toc31479"/>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城市垃圾收集车项目中，我们设计了一套全面的绩效评估指标，以确保压缩式城市垃圾收集车项目的可控和成功交付。这些指标跨足压缩式城市垃圾收集车项目目标、成本、进度和质量等多个维度，为我们提供了全面洞察压缩式城市垃圾收集车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目标达成率是我们关注的首要指标。我们设定了明确的目标，并通过定期监测和评估，迅速发现并应对潜在的目标偏差。这为压缩式城市垃圾收集车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成本绩效是另一个核心关注点。通过实际成本与预算成本的对比分析，我们深入了解成本差异的原因，及时调整资源分配，保持压缩式城市垃圾收集车项目在经济效益方面的合理水平。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进度作为关键的绩效指标之一，得到了精心的关注。我们制定了详细的压缩式城市垃圾收集车项目进度计划，并设立了进度符合度指标，确保实际进度与计划进度保持一致。这使我们能够快速发现和解决潜在的进度问题，保持压缩式城市垃圾收集车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压缩式城市垃圾收集车项目绩效的不可或缺的一环。我们引入了一系列的质量标准和客户满意度指标，以确保压缩式城市垃圾收集车项目交付的成果在质量上达到或超越预期水平。通过持续监测这些指标，我们努力提升压缩式城市垃圾收集车项目整体质量水平，为压缩式城市垃圾收集车项目的成功交付提供有力保障。通过这些科学且全面的绩效评估，我们能够更好地引导压缩式城市垃圾收集车项目的持续改进，确保压缩式城市垃圾收集车项目目标的顺利达成。</w:t>
      </w:r>
    </w:p>
    <w:p>
      <w:pPr>
        <w:pStyle w:val="Heading2"/>
        <w:ind w:firstLine="560" w:firstLineChars="200"/>
        <w:rPr>
          <w:rFonts w:ascii="仿宋" w:eastAsia="仿宋" w:hAnsi="仿宋" w:cs="仿宋" w:hint="eastAsia"/>
          <w:sz w:val="28"/>
          <w:lang w:eastAsia="zh-CN"/>
        </w:rPr>
      </w:pPr>
      <w:bookmarkStart w:id="4" w:name="_Toc18839"/>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绩效评估是压缩式城市垃圾收集车项目中的关键环节，为确保压缩式城市垃圾收集车项目达到预期目标，我们采用了多层次、多维度的绩效评估方法。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压缩式城市垃圾收集车项目的战略目标对齐，确保每个决策和行动都与压缩式城市垃圾收集车项目整体目标保持一致。团队会定期召开战略对齐会议，审视当前工作与压缩式城市垃圾收集车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压缩式城市垃圾收集车项目进度、质量、成本和风险等方面。这些指标通过数据收集和分析，为压缩式城市垃圾收集车项目管理团队提供了客观的评估依据。例如，我们通过压缩式城市垃圾收集车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压缩式城市垃圾收集车项目内部，还考虑了压缩式城市垃圾收集车项目对外部环境的影响。我们定期进行干系人满意度调查，以了解各利益相关方对压缩式城市垃圾收集车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这种多层次、多角度的绩效评估方法，使得我们能够全面了解压缩式城市垃圾收集车项目的运行状态，及时做出调整，确保压缩式城市垃圾收集车项目在不断变化的环境中保持稳健前行。</w:t>
      </w:r>
    </w:p>
    <w:p>
      <w:pPr>
        <w:pStyle w:val="Heading2"/>
        <w:ind w:firstLine="560" w:firstLineChars="200"/>
        <w:rPr>
          <w:rFonts w:ascii="仿宋" w:eastAsia="仿宋" w:hAnsi="仿宋" w:cs="仿宋" w:hint="eastAsia"/>
          <w:sz w:val="28"/>
          <w:lang w:eastAsia="zh-CN"/>
        </w:rPr>
      </w:pPr>
      <w:bookmarkStart w:id="5" w:name="_Toc1931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为了确保压缩式城市垃圾收集车项目的有效管理和不断优化，我们采用了精心设计的绩效评估周期。这个周期旨在实现灵活、实时和全面的评估，以适应压缩式城市垃圾收集车项目执行中的各种挑战。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压缩式城市垃圾收集车项目的不同需求，分为短期、中期和长期。短期评估关注每个迭代或工作周期，以及时发现和解决当前任务中的问题。中期评估涵盖几个迭代，深入了解整体压缩式城市垃圾收集车项目的趋势和性能。长期评估则着眼于整个压缩式城市垃圾收集车项目阶段，确保压缩式城市垃圾收集车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压缩式城市垃圾收集车项目管理工具和协作平台，团队成员能够随时更新和分享压缩式城市垃圾收集车项目数据。这种实时性的反馈机制使我们能够及时察觉潜在问题，快速调整，保持压缩式城市垃圾收集车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压缩式城市垃圾收集车项目的决策制定密不可分。每个周期的压缩式城市垃圾收集车项目回顾会议成为集体总结经验、识别问题深层次原因并找到创新解决方案的平台。这种定期的反思与调整机制使压缩式城市垃圾收集车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105"/>
      <w:r>
        <w:rPr>
          <w:rFonts w:ascii="仿宋" w:eastAsia="仿宋" w:hAnsi="仿宋" w:cs="仿宋" w:hint="eastAsia"/>
          <w:sz w:val="28"/>
          <w:lang w:eastAsia="zh-CN"/>
        </w:rPr>
        <w:t>二、压缩式城市垃圾收集车项目危机管理</w:t>
      </w:r>
      <w:bookmarkEnd w:id="6"/>
    </w:p>
    <w:p>
      <w:pPr>
        <w:pStyle w:val="Heading2"/>
        <w:rPr>
          <w:rFonts w:ascii="仿宋" w:eastAsia="仿宋" w:hAnsi="仿宋" w:cs="仿宋" w:hint="eastAsia"/>
          <w:lang w:eastAsia="zh-CN"/>
        </w:rPr>
      </w:pPr>
      <w:bookmarkStart w:id="7" w:name="_Toc18252"/>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城市垃圾收集车项目危机管理中，危机预警与识别是确保压缩式城市垃圾收集车项目稳健运行的核心步骤。通过建立全面的监测机制，压缩式城市垃圾收集车项目团队旨在及时发现和理解潜在的风险和危机因素，以便采取及时的预防和应对措施，确保压缩式城市垃圾收集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压缩式城市垃圾收集车项目团队全面分析了整个压缩式城市垃圾收集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压缩式城市垃圾收集车项目团队着重于明确定义压缩式城市垃圾收集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压缩式城市垃圾收集车项目进展的持续监控，团队能够及时发现潜在问题并作出迅速反应。压缩式城市垃圾收集车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压缩式城市垃圾收集车项目得以更有序、可控地推进。</w:t>
      </w:r>
    </w:p>
    <w:p>
      <w:pPr>
        <w:pStyle w:val="Heading2"/>
        <w:ind w:firstLine="560" w:firstLineChars="200"/>
        <w:rPr>
          <w:rFonts w:ascii="仿宋" w:eastAsia="仿宋" w:hAnsi="仿宋" w:cs="仿宋" w:hint="eastAsia"/>
          <w:sz w:val="28"/>
          <w:lang w:eastAsia="zh-CN"/>
        </w:rPr>
      </w:pPr>
      <w:bookmarkStart w:id="8" w:name="_Toc31452"/>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在危机发生时，压缩式城市垃圾收集车项目团队立即行动，成立了应急小组。该小组的任务是迅速制定并实施紧急应对措施，以最小化潜在损失。以下是采取的主要措施：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暂停压缩式城市垃圾收集车项目进度：为遏制危机蔓延，压缩式城市垃圾收集车项目暂时停止进行，以便全面评估当前状况。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资源重新分配：重新评估压缩式城市垃圾收集车项目资源的分配，确保最大限度地减小损失。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实时沟通：与关键利益相关者建立实时沟通机制，向他们传递压缩式城市垃圾收集车项目危机的实际状况，保障压缩式城市垃圾收集车项目核心利益。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在紧急应对的同时，压缩式城市垃圾收集车项目团队强调了团队协作和有效沟通的重要性。以下是团队协作的关键举措：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信息共享机制：建立了信息共享平台，确保团队成员能够及时获取压缩式城市垃圾收集车项目危机的实时信息。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领导者沟通：压缩式城市垃圾收集车项目领导者通过定期会议和即时沟通工具，指导团队应对危机，保持团队稳定运行。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随着危机得到初步控制，压缩式城市垃圾收集车项目团队转向制定恢复计划，以确保压缩式城市垃圾收集车项目能够从中迅速恢复。主要恢复计划包括：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修复受损的进度计划：重新评估压缩式城市垃圾收集车项目进度，制定修复计划，确保压缩式城市垃圾收集车项目尽快回归正常进程。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重新调整资源分配：优化资源分配，确保压缩式城市垃圾收集车项目在有限资源下高效运转。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风险管理机制加强：对压缩式城市垃圾收集车项目风险进行全面评估，制定更强化的风险管理策略，以预防未来可能的危机。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3319"/>
      <w:r>
        <w:rPr>
          <w:rFonts w:ascii="仿宋" w:eastAsia="仿宋" w:hAnsi="仿宋" w:cs="仿宋" w:hint="eastAsia"/>
          <w:sz w:val="28"/>
          <w:lang w:eastAsia="zh-CN"/>
        </w:rPr>
        <w:t>三、工艺说明</w:t>
      </w:r>
      <w:bookmarkEnd w:id="9"/>
    </w:p>
    <w:p>
      <w:pPr>
        <w:pStyle w:val="Heading2"/>
        <w:rPr>
          <w:rFonts w:ascii="仿宋" w:eastAsia="仿宋" w:hAnsi="仿宋" w:cs="仿宋" w:hint="eastAsia"/>
          <w:lang w:eastAsia="zh-CN"/>
        </w:rPr>
      </w:pPr>
      <w:bookmarkStart w:id="10" w:name="_Toc14417"/>
      <w:r>
        <w:rPr>
          <w:rFonts w:ascii="仿宋" w:eastAsia="仿宋" w:hAnsi="仿宋" w:cs="仿宋" w:hint="eastAsia"/>
          <w:lang w:eastAsia="zh-CN"/>
        </w:rPr>
        <w:t>(一)、技术管理特点</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压缩式城市垃圾收集车项目的技术管理特点体现在其创新导向。通过引入最先进的技术趋势和解决方案，压缩式城市垃圾收集车项目致力于提升科技含量、提高质量和效率水平。这意味着我们将采用最新的工具和方法，确保压缩式城市垃圾收集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压缩式城市垃圾收集车项目技术管理的显著特征。通过整合不同领域的技术资源，我们实现了跨学科的协同工作。这有助于优化技术架构，提高整体效能。此外，整合性策略还促进了不同技术团队之间的紧密沟通和高效合作，确保压缩式城市垃圾收集车项目各方面的技术都能得到协同发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压缩式城市垃圾收集车项目所采用的技术。通过不断优化技术方案，压缩式城市垃圾收集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压缩式城市垃圾收集车项目团队将在压缩式城市垃圾收集车项目初期识别可能的技术风险，并采取相应的预防和应对措施。通过建立健全的风险评估机制，压缩式城市垃圾收集车项目能够在实施过程中及时发现并解决潜在的技术问题，保障压缩式城市垃圾收集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压缩式城市垃圾收集车项目中，技术将成为压缩式城市垃圾收集车项目成功的有力支持。这一深度剖析揭示了技术管理在压缩式城市垃圾收集车项目实施中的关键作用，为压缩式城市垃圾收集车项目的技术基础奠定了坚实的基础。</w:t>
      </w:r>
    </w:p>
    <w:p>
      <w:pPr>
        <w:pStyle w:val="Heading2"/>
        <w:ind w:firstLine="560" w:firstLineChars="200"/>
        <w:rPr>
          <w:rFonts w:ascii="仿宋" w:eastAsia="仿宋" w:hAnsi="仿宋" w:cs="仿宋" w:hint="eastAsia"/>
          <w:sz w:val="28"/>
          <w:lang w:eastAsia="zh-CN"/>
        </w:rPr>
      </w:pPr>
      <w:bookmarkStart w:id="11" w:name="_Toc6865"/>
      <w:r>
        <w:rPr>
          <w:rFonts w:ascii="仿宋" w:eastAsia="仿宋" w:hAnsi="仿宋" w:cs="仿宋" w:hint="eastAsia"/>
          <w:sz w:val="28"/>
          <w:lang w:eastAsia="zh-CN"/>
        </w:rPr>
        <w:t>(二)、压缩式城市垃圾收集车项目工艺技术设计方案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压缩式城市垃圾收集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压缩式城市垃圾收集车项目将严格按照相关行业规范要求进行组织。通过有效控制产品质量，压缩式城市垃圾收集车项目将致力于为顾客提供优质的压缩式城市垃圾收集车项目产品和良好的服务。这体现了压缩式城市垃圾收集车项目对于生产活动合规性和质量标准的高度重视，为压缩式城市垃圾收集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压缩式城市垃圾收集车项目注重生态效益和清洁生产原则。压缩式城市垃圾收集车项目建设将紧密结合地方特色经济发展，与社会经济发展规划和区域环境保护规划方案相协调一致。通过与当地区域自然生态系统的结合，压缩式城市垃圾收集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压缩式城市垃圾收集车项目产品具有多样化的客户需求和个性化的特点。因此，压缩式城市垃圾收集车项目产品规格品种多样，且单批生产数量较小。为满足这一特点，压缩式城市垃圾收集车项目承办单位将建设先进的柔性制造生产线。通过广泛应用柔性制造技术，压缩式城市垃圾收集车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总体而言，压缩式城市垃圾收集车项目采用的技术具有较高的技术含量和自动化水平，处于国内先进水平。这一技术选用不仅体现了对生产效率、质量和环境友好性的高标准要求，同时为压缩式城市垃圾收集车项目的可持续发展奠定了坚实的基础。</w:t>
      </w:r>
    </w:p>
    <w:p>
      <w:pPr>
        <w:pStyle w:val="Heading2"/>
        <w:ind w:firstLine="560" w:firstLineChars="200"/>
        <w:rPr>
          <w:rFonts w:ascii="仿宋" w:eastAsia="仿宋" w:hAnsi="仿宋" w:cs="仿宋" w:hint="eastAsia"/>
          <w:sz w:val="28"/>
          <w:lang w:eastAsia="zh-CN"/>
        </w:rPr>
      </w:pPr>
      <w:bookmarkStart w:id="12" w:name="_Toc26879"/>
      <w:r>
        <w:rPr>
          <w:rFonts w:ascii="仿宋" w:eastAsia="仿宋" w:hAnsi="仿宋" w:cs="仿宋" w:hint="eastAsia"/>
          <w:sz w:val="28"/>
          <w:lang w:eastAsia="zh-CN"/>
        </w:rPr>
        <w:t>(三)、设备选型方案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为确保压缩式城市垃圾收集车项目的高效生产和技术实施，我们制定了一套精心设计的设备选型方案，以满足压缩式城市垃圾收集车项目生产、质量和环保的要求。该方案的主要特点如下：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压缩式城市垃圾收集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压缩式城市垃圾收集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3" w:name="_Toc12506"/>
      <w:r>
        <w:rPr>
          <w:rFonts w:ascii="仿宋" w:eastAsia="仿宋" w:hAnsi="仿宋" w:cs="仿宋" w:hint="eastAsia"/>
          <w:sz w:val="28"/>
          <w:lang w:eastAsia="zh-CN"/>
        </w:rPr>
        <w:t>四、压缩式城市垃圾收集车项目选址可行性分析</w:t>
      </w:r>
      <w:bookmarkEnd w:id="13"/>
    </w:p>
    <w:p>
      <w:pPr>
        <w:pStyle w:val="Heading2"/>
        <w:rPr>
          <w:rFonts w:ascii="仿宋" w:eastAsia="仿宋" w:hAnsi="仿宋" w:cs="仿宋" w:hint="eastAsia"/>
          <w:lang w:eastAsia="zh-CN"/>
        </w:rPr>
      </w:pPr>
      <w:bookmarkStart w:id="14" w:name="_Toc18375"/>
      <w:r>
        <w:rPr>
          <w:rFonts w:ascii="仿宋" w:eastAsia="仿宋" w:hAnsi="仿宋" w:cs="仿宋" w:hint="eastAsia"/>
          <w:lang w:eastAsia="zh-CN"/>
        </w:rPr>
        <w:t>(一)、压缩式城市垃圾收集车项目选址</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该压缩式城市垃圾收集车项目选址位于XX省XX市XX区XXX街道</w:t>
      </w:r>
    </w:p>
    <w:p>
      <w:pPr>
        <w:pStyle w:val="Heading2"/>
        <w:ind w:firstLine="560" w:firstLineChars="200"/>
        <w:rPr>
          <w:rFonts w:ascii="仿宋" w:eastAsia="仿宋" w:hAnsi="仿宋" w:cs="仿宋" w:hint="eastAsia"/>
          <w:sz w:val="28"/>
          <w:lang w:eastAsia="zh-CN"/>
        </w:rPr>
      </w:pPr>
      <w:bookmarkStart w:id="15" w:name="_Toc26226"/>
      <w:r>
        <w:rPr>
          <w:rFonts w:ascii="仿宋" w:eastAsia="仿宋" w:hAnsi="仿宋" w:cs="仿宋" w:hint="eastAsia"/>
          <w:sz w:val="28"/>
          <w:lang w:eastAsia="zh-CN"/>
        </w:rPr>
        <w:t>(二)、用地控制指标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压缩式城市垃圾收集车项目的征地面积将根据压缩式城市垃圾收集车项目的实际规模和需求进行精确规划。具体面积XXX平方米，旨在确保压缩式城市垃圾收集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净用地面积是在征地面积基础上去除不可利用面积后的实际可开发用地。具体面积XXX平方米，考虑到环保、交通、安全等多方面因素，以确保压缩式城市垃圾收集车项目在整体利用效率上达到最优。</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压缩式城市垃圾收集车项目计划建设的建筑总规模具体面积XXX平方米。这一规模的确定综合考虑了压缩式城市垃圾收集车项目的性质、规模，以及城市规划的相关要求，确保建筑布局与周边环境协调一致。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绿地率是压缩式城市垃圾收集车项目用地中被规划为绿地的比例。具体面积XXX平方米，旨在通过合理规划绿地，改善压缩式城市垃圾收集车项目周边环境，提升居民生活质量，并符合城市整体绿化规划。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容积率是用地上可以建设的建筑总体积与用地面积之比。具体面积XXX，通过合理的容积率规划，确保压缩式城市垃圾收集车项目建筑规模与周边环境和谐共生。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压缩式城市垃圾收集车项目选址与当地城市规划相一致，具体面积XXX平方米。通过与城市规划部门深入沟通，确保压缩式城市垃圾收集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压缩式城市垃圾收集车项目选址符合当地产业政策，具体面积XXX平方米。这包括压缩式城市垃圾收集车项目对当地经济的促进作用，以及对相关产业的带动效应，确保压缩式城市垃圾收集车项目与地方政府的产业政策保持一致，促进共赢合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压缩式城市垃圾收集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确保压缩式城市垃圾收集车项目选址具备必要的公共设施配套，具体面积XXX平方米。这包括交通便利性、教育、医疗等基础设施，以提高居民生活品质，使得压缩式城市垃圾收集车项目选址更具吸引力。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考虑用地总体要求对当地社会稳定性的影响，具体面积XXX平方米。通过深入了解当地社区反馈，确保压缩式城市垃圾收集车项目的选址和建设过程对当地社会和谐稳定产生积极作用。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压缩式城市垃圾收集车项目选址不仅符合法规和规划，还在实际操作中具有可行性。这一全面规划将为压缩式城市垃圾收集车项目的成功实施提供坚实的基础，确保压缩式城市垃圾收集车项目选址阶段就能够奠定良好的发展基础。</w:t>
      </w:r>
    </w:p>
    <w:p>
      <w:pPr>
        <w:pStyle w:val="Heading2"/>
        <w:ind w:firstLine="560" w:firstLineChars="200"/>
        <w:rPr>
          <w:rFonts w:ascii="仿宋" w:eastAsia="仿宋" w:hAnsi="仿宋" w:cs="仿宋" w:hint="eastAsia"/>
          <w:sz w:val="28"/>
          <w:lang w:eastAsia="zh-CN"/>
        </w:rPr>
      </w:pPr>
      <w:bookmarkStart w:id="16" w:name="_Toc4936"/>
      <w:r>
        <w:rPr>
          <w:rFonts w:ascii="仿宋" w:eastAsia="仿宋" w:hAnsi="仿宋" w:cs="仿宋" w:hint="eastAsia"/>
          <w:sz w:val="28"/>
          <w:lang w:eastAsia="zh-CN"/>
        </w:rPr>
        <w:t>(三)、节约用地措施</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压缩式城市垃圾收集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压缩式城市垃圾收集车项目的设备规划和空间设计中，我们将采取灵活设备布局的措施。设备布局将根据实际需求进行灵活设计，避免不必要的浪费。通过合理规划设备摆放位置，我们将提高设备的利用率，减少设备间距，以确保压缩式城市垃圾收集车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压缩式城市垃圾收集车项目内部引入共享设施的概念，例如共享会议室、办公区等。通过这种方式，我们可以减少对资源的重复建设，提高资源共享效率，从而减小压缩式城市垃圾收集车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7" w:name="_Toc6323"/>
      <w:r>
        <w:rPr>
          <w:rFonts w:ascii="仿宋" w:eastAsia="仿宋" w:hAnsi="仿宋" w:cs="仿宋" w:hint="eastAsia"/>
          <w:sz w:val="28"/>
          <w:lang w:eastAsia="zh-CN"/>
        </w:rPr>
        <w:t>(四)、总图布置方案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https://d.book118.com/686050054201010102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压缩式城市垃圾收集车项目规划设计纲要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D7343BA"/>
    <w:rsid w:val="3D7343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8605005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2024-03-03T04:13:00Z</dcterms:created>
  <dcterms:modified xsi:type="dcterms:W3CDTF">2024-03-03T04:13:28Z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D5C7CC0D596D42F893DA5221E601219A_11</vt:lpwstr>
  </property>
  <property fmtid="{D5CDD505-2E9C-101B-9397-08002B2CF9AE}" pid="3" name="KSOProductBuildVer">
    <vt:lpwstr>2052-12.1.0.16388</vt:lpwstr>
  </property>
</Properties>
</file>